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32"/>
          <w:szCs w:val="32"/>
        </w:rPr>
      </w:pPr>
      <w:r>
        <w:rPr>
          <w:sz w:val="32"/>
          <w:szCs w:val="32"/>
        </w:rPr>
        <w:t>Strombelastbarkeit mit Temperatur und Häufung</w:t>
      </w:r>
    </w:p>
    <w:p>
      <w:pPr>
        <w:pStyle w:val="Normal"/>
        <w:rPr/>
      </w:pPr>
      <w:r>
        <w:rPr/>
        <w:t xml:space="preserve">Neben der Verlegeart und der Umgebungstemperatur spielt bei der Kabeldimensionierung auch die Anzahl der Leitungen, die verlegt werden, eine Rolle. </w:t>
      </w:r>
    </w:p>
    <w:p>
      <w:pPr>
        <w:pStyle w:val="Normal"/>
        <w:rPr/>
      </w:pPr>
      <w:r>
        <w:rPr/>
        <w:t xml:space="preserve">Liegen Leitungen direkt aneinander wärmen diese sich gegenseitig auf. Das hat zur Folge, dass die Wärme, welche sich in einem Kabel bildet, nicht so gut über die Umgebungsluft abgeführt werden kann. Somit reduziert sich die maximale Strombelastbarkeit </w:t>
      </w:r>
      <w:r>
        <w:rPr/>
      </w:r>
      <m:oMath xmlns:m="http://schemas.openxmlformats.org/officeDocument/2006/math">
        <m:sSub>
          <m:e>
            <m:r>
              <w:rPr>
                <w:rFonts w:ascii="Cambria Math" w:hAnsi="Cambria Math"/>
              </w:rPr>
              <m:t xml:space="preserve">I</m:t>
            </m:r>
          </m:e>
          <m:sub>
            <m:r>
              <w:rPr>
                <w:rFonts w:ascii="Cambria Math" w:hAnsi="Cambria Math"/>
              </w:rPr>
              <m:t xml:space="preserve">z</m:t>
            </m:r>
          </m:sub>
        </m:sSub>
      </m:oMath>
      <w:r>
        <w:rPr/>
        <w:t xml:space="preserve"> einer Leitung. </w:t>
      </w:r>
    </w:p>
    <w:p>
      <w:pPr>
        <w:pStyle w:val="Normal"/>
        <w:rPr/>
      </w:pPr>
      <w:r>
        <w:rPr/>
        <w:t>Die folgende Abbildung enthält die Umrechnungsfaktoren, die verwendet werden müssen, wenn mehrere Leitungen bzw. Stromkreise zusammengelegt werden.</w:t>
      </w:r>
    </w:p>
    <w:p>
      <w:pPr>
        <w:pStyle w:val="Normal"/>
        <w:rPr/>
      </w:pPr>
      <w:r>
        <w:rPr/>
        <w:drawing>
          <wp:inline distT="0" distB="0" distL="0" distR="0">
            <wp:extent cx="6026150" cy="32512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026150" cy="3251200"/>
                    </a:xfrm>
                    <a:prstGeom prst="rect">
                      <a:avLst/>
                    </a:prstGeom>
                  </pic:spPr>
                </pic:pic>
              </a:graphicData>
            </a:graphic>
          </wp:inline>
        </w:drawing>
      </w:r>
    </w:p>
    <w:p>
      <w:pPr>
        <w:pStyle w:val="Normal"/>
        <w:rPr/>
      </w:pPr>
      <w:r>
        <w:rPr/>
        <w:t xml:space="preserve">Die letzte Formel wird jetzt um einen weiteren Faktor für die Häufung ergänzt: </w:t>
      </w:r>
    </w:p>
    <w:p>
      <w:pPr>
        <w:pStyle w:val="Normal"/>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jc w:val="left"/>
        <w:rPr>
          <w:sz w:val="20"/>
          <w:szCs w:val="20"/>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z</m:t>
              </m:r>
            </m:sub>
          </m:sSub>
          <m:r>
            <w:rPr>
              <w:rFonts w:ascii="Cambria Math" w:hAnsi="Cambria Math"/>
            </w:rPr>
            <m:t xml:space="preserve">=</m:t>
          </m:r>
          <m:r>
            <w:rPr>
              <w:rFonts w:ascii="Cambria Math" w:hAnsi="Cambria Math"/>
            </w:rPr>
            <m:t xml:space="preserve">Strombelastbarkeit</m:t>
          </m:r>
          <m:r>
            <w:rPr>
              <w:rFonts w:ascii="Cambria Math" w:hAnsi="Cambria Math"/>
            </w:rPr>
            <m:t xml:space="preserve">der</m:t>
          </m:r>
          <m:r>
            <w:rPr>
              <w:rFonts w:ascii="Cambria Math" w:hAnsi="Cambria Math"/>
            </w:rPr>
            <m:t xml:space="preserve">Leitung</m:t>
          </m:r>
          <m:r>
            <w:rPr>
              <w:rFonts w:ascii="Cambria Math" w:hAnsi="Cambria Math"/>
            </w:rPr>
            <m:t xml:space="preserve">bei</m:t>
          </m:r>
          <m:r>
            <w:rPr>
              <w:rFonts w:ascii="Cambria Math" w:hAnsi="Cambria Math"/>
            </w:rPr>
            <m:t xml:space="preserve">abweichenden</m:t>
          </m:r>
          <m:r>
            <w:rPr>
              <w:rFonts w:ascii="Cambria Math" w:hAnsi="Cambria Math"/>
            </w:rPr>
            <m:t xml:space="preserve">Bedingungen</m:t>
          </m:r>
        </m:oMath>
      </m:oMathPara>
    </w:p>
    <w:p>
      <w:pPr>
        <w:pStyle w:val="Normal"/>
        <w:jc w:val="left"/>
        <w:rPr>
          <w:sz w:val="20"/>
          <w:szCs w:val="20"/>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
            <w:rPr>
              <w:rFonts w:ascii="Cambria Math" w:hAnsi="Cambria Math"/>
            </w:rPr>
            <m:t xml:space="preserve">Strombelastbarkeit</m:t>
          </m:r>
          <m:r>
            <w:rPr>
              <w:rFonts w:ascii="Cambria Math" w:hAnsi="Cambria Math"/>
            </w:rPr>
            <m:t xml:space="preserve">der</m:t>
          </m:r>
          <m:r>
            <w:rPr>
              <w:rFonts w:ascii="Cambria Math" w:hAnsi="Cambria Math"/>
            </w:rPr>
            <m:t xml:space="preserve">Leitung</m:t>
          </m:r>
          <m:r>
            <w:rPr>
              <w:rFonts w:ascii="Cambria Math" w:hAnsi="Cambria Math"/>
            </w:rPr>
            <m:t xml:space="preserve">laut</m:t>
          </m:r>
          <m:r>
            <w:rPr>
              <w:rFonts w:ascii="Cambria Math" w:hAnsi="Cambria Math"/>
            </w:rPr>
            <m:t xml:space="preserve">Tabelle</m:t>
          </m:r>
        </m:oMath>
      </m:oMathPara>
    </w:p>
    <w:p>
      <w:pPr>
        <w:pStyle w:val="Normal"/>
        <w:jc w:val="left"/>
        <w:rPr>
          <w:sz w:val="20"/>
          <w:szCs w:val="20"/>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Umrechnungsfaktor</m:t>
          </m:r>
          <m:r>
            <w:rPr>
              <w:rFonts w:ascii="Cambria Math" w:hAnsi="Cambria Math"/>
            </w:rPr>
            <m:t xml:space="preserve">bei</m:t>
          </m:r>
          <m:r>
            <w:rPr>
              <w:rFonts w:ascii="Cambria Math" w:hAnsi="Cambria Math"/>
            </w:rPr>
            <m:t xml:space="preserve">abweichender</m:t>
          </m:r>
          <m:r>
            <w:rPr>
              <w:rFonts w:ascii="Cambria Math" w:hAnsi="Cambria Math"/>
            </w:rPr>
            <m:t xml:space="preserve">Umgebungstemperatur</m:t>
          </m:r>
        </m:oMath>
      </m:oMathPara>
    </w:p>
    <w:p>
      <w:pPr>
        <w:pStyle w:val="Normal"/>
        <w:jc w:val="left"/>
        <w:rPr>
          <w:sz w:val="20"/>
          <w:szCs w:val="20"/>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Umrechnungsfaktor</m:t>
          </m:r>
          <m:r>
            <w:rPr>
              <w:rFonts w:ascii="Cambria Math" w:hAnsi="Cambria Math"/>
            </w:rPr>
            <m:t xml:space="preserve">für</m:t>
          </m:r>
          <m:r>
            <w:rPr>
              <w:rFonts w:ascii="Cambria Math" w:hAnsi="Cambria Math"/>
            </w:rPr>
            <m:t xml:space="preserve">die</m:t>
          </m:r>
          <m:r>
            <w:rPr>
              <w:rFonts w:ascii="Cambria Math" w:hAnsi="Cambria Math"/>
            </w:rPr>
            <m:t xml:space="preserve">Häufung</m:t>
          </m:r>
          <m:r>
            <w:rPr>
              <w:rFonts w:ascii="Cambria Math" w:hAnsi="Cambria Math"/>
            </w:rPr>
            <m:t xml:space="preserve">von</m:t>
          </m:r>
          <m:r>
            <w:rPr>
              <w:rFonts w:ascii="Cambria Math" w:hAnsi="Cambria Math"/>
            </w:rPr>
            <m:t xml:space="preserve">Kabeln</m:t>
          </m:r>
        </m:oMath>
      </m:oMathPara>
    </w:p>
    <w:p>
      <w:pPr>
        <w:pStyle w:val="Normal"/>
        <w:rPr>
          <w:sz w:val="20"/>
          <w:szCs w:val="20"/>
        </w:rPr>
      </w:pPr>
      <w:r>
        <w:rPr>
          <w:sz w:val="20"/>
          <w:szCs w:val="20"/>
        </w:rPr>
      </w:r>
    </w:p>
    <w:p>
      <w:pPr>
        <w:pStyle w:val="Normal"/>
        <w:spacing w:before="0" w:after="0"/>
        <w:rPr>
          <w:b/>
          <w:b/>
          <w:bCs/>
        </w:rPr>
      </w:pPr>
      <w:r>
        <w:rPr>
          <w:b/>
          <w:bCs/>
        </w:rPr>
        <w:t>Aufgabe)</w:t>
      </w:r>
    </w:p>
    <w:p>
      <w:pPr>
        <w:pStyle w:val="Normal"/>
        <w:rPr/>
      </w:pPr>
      <w:r>
        <w:rPr/>
        <w:t>In einem geschlossenen Elektro-Installationsrohr an der Wand sollen zwei Mantelleitungen mit jeweils 3 Adern verlegt werden. Beide Stromkreise sind über einen 16A-LS-Schalter abgesichert.</w:t>
      </w:r>
    </w:p>
    <w:p>
      <w:pPr>
        <w:pStyle w:val="Normal"/>
        <w:rPr/>
      </w:pPr>
      <w:r>
        <w:rPr/>
        <w:t>Wie groß muss der Querschnitt der Adern sein, wenn die Umgebungstemperatur bei 35°C liegt?</w:t>
      </w:r>
    </w:p>
    <w:p>
      <w:pPr>
        <w:pStyle w:val="Normal"/>
        <w:spacing w:before="0" w:after="200"/>
        <w:rPr/>
      </w:pPr>
      <w:r>
        <w:rPr/>
        <w:t>2,5mm</w:t>
      </w:r>
      <w:r>
        <w:rPr>
          <w:vertAlign w:val="superscript"/>
        </w:rPr>
        <w:t>2</w:t>
      </w:r>
    </w:p>
    <w:sectPr>
      <w:headerReference w:type="default" r:id="rId3"/>
      <w:type w:val="nextPage"/>
      <w:pgSz w:w="11906" w:h="16838"/>
      <w:pgMar w:left="1417" w:right="1417"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Cs/>
        <w:sz w:val="18"/>
        <w:szCs w:val="20"/>
      </w:rPr>
    </w:pPr>
    <w:r>
      <w:drawing>
        <wp:anchor behindDoc="0" distT="0" distB="0" distL="114300" distR="0" simplePos="0" locked="0" layoutInCell="0" allowOverlap="1" relativeHeight="3">
          <wp:simplePos x="0" y="0"/>
          <wp:positionH relativeFrom="margin">
            <wp:align>right</wp:align>
          </wp:positionH>
          <wp:positionV relativeFrom="paragraph">
            <wp:posOffset>4445</wp:posOffset>
          </wp:positionV>
          <wp:extent cx="1020445" cy="683895"/>
          <wp:effectExtent l="0" t="0" r="0" b="0"/>
          <wp:wrapTight wrapText="bothSides">
            <wp:wrapPolygon edited="0">
              <wp:start x="-6" y="0"/>
              <wp:lineTo x="-6" y="21055"/>
              <wp:lineTo x="21364" y="21055"/>
              <wp:lineTo x="21364" y="0"/>
              <wp:lineTo x="-6" y="0"/>
            </wp:wrapPolygon>
          </wp:wrapTight>
          <wp:docPr id="2"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9" descr=""/>
                  <pic:cNvPicPr>
                    <a:picLocks noChangeAspect="1" noChangeArrowheads="1"/>
                  </pic:cNvPicPr>
                </pic:nvPicPr>
                <pic:blipFill>
                  <a:blip r:embed="rId1"/>
                  <a:stretch>
                    <a:fillRect/>
                  </a:stretch>
                </pic:blipFill>
                <pic:spPr bwMode="auto">
                  <a:xfrm>
                    <a:off x="0" y="0"/>
                    <a:ext cx="1020445" cy="683895"/>
                  </a:xfrm>
                  <a:prstGeom prst="rect">
                    <a:avLst/>
                  </a:prstGeom>
                </pic:spPr>
              </pic:pic>
            </a:graphicData>
          </a:graphic>
        </wp:anchor>
      </w:drawing>
    </w:r>
    <w:r>
      <w:rPr>
        <w:bCs/>
        <w:sz w:val="18"/>
        <w:szCs w:val="20"/>
      </w:rPr>
      <w:t>Klasse: ITA U</w:t>
    </w:r>
  </w:p>
  <w:p>
    <w:pPr>
      <w:pStyle w:val="Normal"/>
      <w:numPr>
        <w:ilvl w:val="0"/>
        <w:numId w:val="0"/>
      </w:numPr>
      <w:tabs>
        <w:tab w:val="clear" w:pos="708"/>
        <w:tab w:val="left" w:pos="1105" w:leader="none"/>
      </w:tabs>
      <w:spacing w:lineRule="auto" w:line="240" w:before="0" w:after="0"/>
      <w:outlineLvl w:val="0"/>
      <w:rPr>
        <w:rFonts w:ascii="Calibri" w:hAnsi="Calibri"/>
        <w:bCs/>
        <w:sz w:val="18"/>
        <w:szCs w:val="20"/>
      </w:rPr>
    </w:pPr>
    <w:r>
      <w:rPr>
        <w:bCs/>
        <w:sz w:val="18"/>
        <w:szCs w:val="20"/>
      </w:rPr>
      <w:t>Fach: ET</w:t>
      <w:tab/>
    </w:r>
  </w:p>
  <w:p>
    <w:pPr>
      <w:pStyle w:val="Normal"/>
      <w:numPr>
        <w:ilvl w:val="0"/>
        <w:numId w:val="0"/>
      </w:numPr>
      <w:tabs>
        <w:tab w:val="clear" w:pos="708"/>
        <w:tab w:val="left" w:pos="1105" w:leader="none"/>
      </w:tabs>
      <w:spacing w:lineRule="auto" w:line="240" w:before="0" w:after="0"/>
      <w:outlineLvl w:val="0"/>
      <w:rPr>
        <w:rFonts w:ascii="Calibri" w:hAnsi="Calibri"/>
        <w:bCs/>
        <w:sz w:val="18"/>
        <w:szCs w:val="20"/>
      </w:rPr>
    </w:pPr>
    <w:r>
      <w:rPr>
        <w:bCs/>
        <w:sz w:val="18"/>
        <w:szCs w:val="20"/>
      </w:rPr>
      <w:t>LS: AS 1.1/LS 1.1.3</w:t>
    </w:r>
  </w:p>
  <w:p>
    <w:pPr>
      <w:pStyle w:val="Normal"/>
      <w:numPr>
        <w:ilvl w:val="0"/>
        <w:numId w:val="0"/>
      </w:numPr>
      <w:tabs>
        <w:tab w:val="clear" w:pos="708"/>
        <w:tab w:val="left" w:pos="1105" w:leader="none"/>
      </w:tabs>
      <w:spacing w:lineRule="auto" w:line="240" w:before="0" w:after="0"/>
      <w:outlineLvl w:val="0"/>
      <w:rPr>
        <w:rFonts w:ascii="Calibri" w:hAnsi="Calibri"/>
        <w:bCs/>
        <w:sz w:val="18"/>
        <w:szCs w:val="20"/>
      </w:rPr>
    </w:pPr>
    <w:r>
      <w:rPr>
        <w:bCs/>
        <w:sz w:val="18"/>
        <w:szCs w:val="20"/>
      </w:rPr>
      <w:t>Datum:</w:t>
    </w:r>
  </w:p>
  <w:p>
    <w:pPr>
      <w:pStyle w:val="Header"/>
      <w:rPr/>
    </w:pPr>
    <w:r>
      <w:rPr/>
      <mc:AlternateContent>
        <mc:Choice Requires="wps">
          <w:drawing>
            <wp:anchor behindDoc="1" distT="0" distB="0" distL="0" distR="0" simplePos="0" locked="0" layoutInCell="0" allowOverlap="1" relativeHeight="6" wp14:anchorId="0974E950">
              <wp:simplePos x="0" y="0"/>
              <wp:positionH relativeFrom="column">
                <wp:posOffset>42545</wp:posOffset>
              </wp:positionH>
              <wp:positionV relativeFrom="paragraph">
                <wp:posOffset>149860</wp:posOffset>
              </wp:positionV>
              <wp:extent cx="5709920" cy="635"/>
              <wp:effectExtent l="635" t="3810" r="635" b="3175"/>
              <wp:wrapNone/>
              <wp:docPr id="3" name="Gerader Verbinder 2"/>
              <a:graphic xmlns:a="http://schemas.openxmlformats.org/drawingml/2006/main">
                <a:graphicData uri="http://schemas.microsoft.com/office/word/2010/wordprocessingShape">
                  <wps:wsp>
                    <wps:cNvSpPr/>
                    <wps:spPr>
                      <a:xfrm>
                        <a:off x="0" y="0"/>
                        <a:ext cx="57099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35pt,11.8pt" to="452.9pt,11.8pt" ID="Gerader Verbinder 2" stroked="t" o:allowincell="f" style="position:absolute" wp14:anchorId="0974E950">
              <v:stroke color="black" weight="6480" joinstyle="miter" endcap="flat"/>
              <v:fill o:detectmouseclick="t" on="false"/>
              <w10:wrap type="none"/>
            </v:line>
          </w:pict>
        </mc:Fallback>
      </mc:AlternateConten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5c32"/>
    <w:pPr>
      <w:widowControl/>
      <w:bidi w:val="0"/>
      <w:spacing w:lineRule="auto" w:line="360" w:before="0" w:after="200"/>
      <w:jc w:val="left"/>
    </w:pPr>
    <w:rPr>
      <w:rFonts w:eastAsia="" w:eastAsiaTheme="minorEastAsia" w:ascii="Calibri" w:hAnsi="Calibri" w:cs=""/>
      <w:color w:val="auto"/>
      <w:kern w:val="0"/>
      <w:sz w:val="22"/>
      <w:szCs w:val="22"/>
      <w:lang w:eastAsia="de-DE" w:val="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545c32"/>
    <w:rPr>
      <w:rFonts w:eastAsia="" w:eastAsiaTheme="minorEastAsia"/>
      <w:lang w:eastAsia="de-DE"/>
    </w:rPr>
  </w:style>
  <w:style w:type="character" w:styleId="FuzeileZchn" w:customStyle="1">
    <w:name w:val="Fußzeile Zchn"/>
    <w:basedOn w:val="DefaultParagraphFont"/>
    <w:link w:val="Footer"/>
    <w:uiPriority w:val="99"/>
    <w:qFormat/>
    <w:rsid w:val="00545c32"/>
    <w:rPr>
      <w:rFonts w:eastAsia="" w:eastAsiaTheme="minorEastAsia"/>
      <w:lang w:eastAsia="de-D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545c32"/>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45c32"/>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545c32"/>
    <w:pPr>
      <w:widowControl/>
      <w:bidi w:val="0"/>
      <w:spacing w:lineRule="auto" w:line="240" w:before="0" w:after="0"/>
      <w:jc w:val="left"/>
    </w:pPr>
    <w:rPr>
      <w:rFonts w:eastAsia="" w:eastAsiaTheme="minorEastAsia" w:ascii="Calibri" w:hAnsi="Calibri" w:cs=""/>
      <w:color w:val="auto"/>
      <w:kern w:val="0"/>
      <w:sz w:val="22"/>
      <w:szCs w:val="22"/>
      <w:lang w:eastAsia="de-DE" w:val="de-DE" w:bidi="ar-SA"/>
    </w:rPr>
  </w:style>
  <w:style w:type="paragraph" w:styleId="ListParagraph">
    <w:name w:val="List Paragraph"/>
    <w:basedOn w:val="Normal"/>
    <w:uiPriority w:val="34"/>
    <w:qFormat/>
    <w:rsid w:val="00c33c12"/>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545c32"/>
    <w:pPr>
      <w:spacing w:after="0" w:line="240" w:lineRule="auto"/>
    </w:pPr>
    <w:rPr>
      <w:rFonts w:eastAsiaTheme="minorEastAsia"/>
      <w:lang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LibreOffice/7.4.1.2$MacOSX_X86_64 LibreOffice_project/3c58a8f3a960df8bc8fd77b461821e42c061c5f0</Application>
  <AppVersion>15.0000</AppVersion>
  <Pages>2</Pages>
  <Words>143</Words>
  <Characters>890</Characters>
  <CharactersWithSpaces>1025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2022-07-28T09:23:00Z</dcterms:created>
  <dc:creator>S. Epping</dc:creator>
  <dc:description/>
  <dc:language>en-US</dc:language>
  <cp:lastModifiedBy/>
  <dcterms:modified xsi:type="dcterms:W3CDTF">2022-09-29T09:22:20Z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