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t>
      </w:r>
      <w:r>
        <w:rPr>
          <w:rFonts w:cs="Arial" w:ascii="Arial" w:hAnsi="Arial"/>
          <w:b/>
          <w:sz w:val="32"/>
          <w:szCs w:val="32"/>
        </w:rPr>
        <w:t>w</w:t>
      </w:r>
      <w:r>
        <w:rPr>
          <w:rFonts w:cs="Arial" w:ascii="Arial" w:hAnsi="Arial"/>
          <w:b/>
          <w:sz w:val="32"/>
          <w:szCs w:val="32"/>
        </w:rPr>
        <w:t xml:space="preserve">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1" w:name="_GoBack"/>
      <w:bookmarkEnd w:id="1"/>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mc:AlternateContent>
          <mc:Choice Requires="wps">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5"/>
                        <a:stretch/>
                      </pic:blipFill>
                      <pic:spPr>
                        <a:xfrm>
                          <a:off x="0" y="0"/>
                          <a:ext cx="2614320" cy="40989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margin-left:123.55pt;margin-top:0.55pt;width:205.8pt;height:322.7pt" type="shapetype_75">
                <v:imagedata r:id="rId5"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stretch/>
                      </pic:blipFill>
                      <pic:spPr>
                        <a:xfrm>
                          <a:off x="0" y="0"/>
                          <a:ext cx="2206800" cy="3944160"/>
                        </a:xfrm>
                        <a:prstGeom prst="rect">
                          <a:avLst/>
                        </a:prstGeom>
                        <a:ln>
                          <a:noFill/>
                        </a:ln>
                      </pic:spPr>
                    </pic:pic>
                  </a:graphicData>
                </a:graphic>
              </wp:anchor>
            </w:drawing>
          </mc:Choice>
          <mc:Fallback>
            <w:pict>
              <v:shape id="shape_0" ID="Picture 5" stroked="f" style="position:absolute;margin-left:140pt;margin-top:9.75pt;width:173.7pt;height:310.5pt" type="shapetype_75">
                <v:imagedata r:id="rId6"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a:graphic xmlns:a="http://schemas.openxmlformats.org/drawingml/2006/main">
                  <a:graphicData uri="http://schemas.openxmlformats.org/drawingml/2006/picture">
                    <pic:pic xmlns:pic="http://schemas.openxmlformats.org/drawingml/2006/picture">
                      <pic:nvPicPr>
                        <pic:cNvPr id="2" name="Picture 6" descr=""/>
                        <pic:cNvPicPr/>
                      </pic:nvPicPr>
                      <pic:blipFill>
                        <a:blip r:embed="rId7"/>
                        <a:stretch/>
                      </pic:blipFill>
                      <pic:spPr>
                        <a:xfrm>
                          <a:off x="0" y="0"/>
                          <a:ext cx="2253600" cy="4027680"/>
                        </a:xfrm>
                        <a:prstGeom prst="rect">
                          <a:avLst/>
                        </a:prstGeom>
                        <a:ln>
                          <a:noFill/>
                        </a:ln>
                      </pic:spPr>
                    </pic:pic>
                  </a:graphicData>
                </a:graphic>
              </wp:anchor>
            </w:drawing>
          </mc:Choice>
          <mc:Fallback>
            <w:pict>
              <v:shape id="shape_0" ID="Picture 6" stroked="f" style="position:absolute;margin-left:138.85pt;margin-top:1.8pt;width:177.4pt;height:317.1pt" type="shapetype_75">
                <v:imagedata r:id="rId7"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a:graphic xmlns:a="http://schemas.openxmlformats.org/drawingml/2006/main">
                  <a:graphicData uri="http://schemas.openxmlformats.org/drawingml/2006/picture">
                    <pic:pic xmlns:pic="http://schemas.openxmlformats.org/drawingml/2006/picture">
                      <pic:nvPicPr>
                        <pic:cNvPr id="3" name="Picture 8" descr=""/>
                        <pic:cNvPicPr/>
                      </pic:nvPicPr>
                      <pic:blipFill>
                        <a:blip r:embed="rId8"/>
                        <a:stretch/>
                      </pic:blipFill>
                      <pic:spPr>
                        <a:xfrm>
                          <a:off x="0" y="0"/>
                          <a:ext cx="2766240" cy="4922640"/>
                        </a:xfrm>
                        <a:prstGeom prst="rect">
                          <a:avLst/>
                        </a:prstGeom>
                        <a:ln>
                          <a:noFill/>
                        </a:ln>
                      </pic:spPr>
                    </pic:pic>
                  </a:graphicData>
                </a:graphic>
              </wp:anchor>
            </w:drawing>
          </mc:Choice>
          <mc:Fallback>
            <w:pict>
              <v:shape id="shape_0" ID="Picture 8" stroked="f" style="position:absolute;margin-left:244.15pt;margin-top:9.8pt;width:217.75pt;height:387.55pt" type="shapetype_75">
                <v:imagedata r:id="rId8"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9"/>
                        <a:stretch/>
                      </pic:blipFill>
                      <pic:spPr>
                        <a:xfrm>
                          <a:off x="0" y="0"/>
                          <a:ext cx="2476440" cy="2010240"/>
                        </a:xfrm>
                        <a:prstGeom prst="rect">
                          <a:avLst/>
                        </a:prstGeom>
                        <a:ln>
                          <a:noFill/>
                        </a:ln>
                      </pic:spPr>
                    </pic:pic>
                  </a:graphicData>
                </a:graphic>
              </wp:anchor>
            </w:drawing>
          </mc:Choice>
          <mc:Fallback>
            <w:pict>
              <v:shape id="shape_0" ID="Picture 7" stroked="f" style="position:absolute;margin-left:-7.1pt;margin-top:10.1pt;width:194.95pt;height:158.25pt" type="shapetype_75">
                <v:imagedata r:id="rId9"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09"/>
        <w:gridCol w:w="2408"/>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Testy</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19.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rFonts w:ascii="Arial" w:hAnsi="Arial" w:cs="Arial"/>
        </w:rPr>
      </w:pPr>
      <w:r>
        <w:rPr>
          <w:rFonts w:cs="Arial" w:ascii="Arial" w:hAnsi="Arial"/>
        </w:rPr>
        <w:t>- Demografia użytkowników aplikacji( wiek, płeć),</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20.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1020"/>
        <w:gridCol w:w="1625"/>
        <w:gridCol w:w="1813"/>
        <w:gridCol w:w="1659"/>
        <w:gridCol w:w="1273"/>
        <w:gridCol w:w="1482"/>
      </w:tblGrid>
      <w:tr>
        <w:trPr/>
        <w:tc>
          <w:tcPr>
            <w:tcW w:w="1020"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625"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813"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659"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273"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1482" w:type="dxa"/>
            <w:tcBorders/>
            <w:shd w:color="auto" w:fill="auto" w:val="clear"/>
          </w:tcPr>
          <w:p>
            <w:pPr>
              <w:pStyle w:val="Normal"/>
              <w:spacing w:lineRule="auto" w:line="240" w:before="0" w:after="0"/>
              <w:jc w:val="center"/>
              <w:rPr>
                <w:rFonts w:ascii="Arial" w:hAnsi="Arial"/>
              </w:rPr>
            </w:pPr>
            <w:r>
              <w:rPr>
                <w:rFonts w:ascii="Arial" w:hAnsi="Arial"/>
              </w:rPr>
              <w:t>25.03.2020</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659" w:type="dxa"/>
            <w:tcBorders/>
            <w:shd w:color="auto" w:fill="auto" w:val="clear"/>
            <w:vAlign w:val="center"/>
          </w:tcPr>
          <w:p>
            <w:pPr>
              <w:pStyle w:val="Normal"/>
              <w:spacing w:lineRule="auto" w:line="240" w:before="0" w:after="0"/>
              <w:jc w:val="center"/>
              <w:rPr>
                <w:rFonts w:ascii="Arial" w:hAnsi="Arial" w:cs="Arial"/>
              </w:rPr>
            </w:pPr>
            <w:bookmarkStart w:id="2" w:name="__DdeLink__526_1828072092"/>
            <w:r>
              <w:rPr>
                <w:rFonts w:cs="Arial" w:ascii="Arial" w:hAnsi="Arial"/>
              </w:rPr>
              <w:t>- polityka na rzecz: bezpieczeństwa, jakości, niezawodności</w:t>
            </w:r>
            <w:bookmarkEnd w:id="2"/>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1482" w:type="dxa"/>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customStyle="1">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StopkaZnak" w:customStyle="1">
    <w:name w:val="Stopka Znak"/>
    <w:basedOn w:val="DefaultParagraphFont"/>
    <w:link w:val="Stopka"/>
    <w:uiPriority w:val="99"/>
    <w:semiHidden/>
    <w:qFormat/>
    <w:rsid w:val="003e6c7f"/>
    <w:rPr>
      <w:sz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customStyle="1">
    <w:name w:val="Caption"/>
    <w:basedOn w:val="Normal"/>
    <w:qFormat/>
    <w:rsid w:val="00d83226"/>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customStyle="1">
    <w:name w:val="Endnote Text"/>
    <w:basedOn w:val="Normal"/>
    <w:link w:val="TekstprzypisukocowegoZnak"/>
    <w:uiPriority w:val="99"/>
    <w:semiHidden/>
    <w:unhideWhenUsed/>
    <w:rsid w:val="00b6163a"/>
    <w:pPr>
      <w:spacing w:lineRule="auto" w:line="240" w:before="0" w:after="0"/>
    </w:pPr>
    <w:rPr>
      <w:sz w:val="20"/>
      <w:szCs w:val="20"/>
    </w:rPr>
  </w:style>
  <w:style w:type="paragraph" w:styleId="Stopka">
    <w:name w:val="Footer"/>
    <w:basedOn w:val="Normal"/>
    <w:link w:val="StopkaZnak"/>
    <w:uiPriority w:val="99"/>
    <w:semiHidden/>
    <w:unhideWhenUsed/>
    <w:rsid w:val="003e6c7f"/>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LibreOffice/6.2.2.2$Windows_x86 LibreOffice_project/2b840030fec2aae0fd2658d8d4f9548af4e3518d</Application>
  <Pages>12</Pages>
  <Words>1707</Words>
  <Characters>11178</Characters>
  <CharactersWithSpaces>12638</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2020-03-31T17:25:24Z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