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sz w:val="24"/>
        </w:rPr>
        <w:t>Notatka wewnętrzna – walidacja prawna pisma z 29 października 2026 r. (odpowiedź na przedsądowe wezwanie INBG Sp. z o.o.)</w:t>
      </w:r>
    </w:p>
    <w:p>
      <w:pPr>
        <w:spacing w:after="240"/>
      </w:pPr>
      <w:r>
        <w:rPr>
          <w:rFonts w:ascii="Calibri" w:hAnsi="Calibri"/>
          <w:b w:val="0"/>
          <w:sz w:val="24"/>
        </w:rPr>
        <w:t>Sprawa Gorder / INBG – świadectwa G3. Stan na 29 października 2026 r. Dokument wewnętrzny, nie do przekazania drugiej stronie.</w:t>
      </w:r>
    </w:p>
    <w:p>
      <w:r>
        <w:rPr>
          <w:rFonts w:ascii="Calibri" w:hAnsi="Calibri"/>
          <w:b/>
          <w:sz w:val="24"/>
        </w:rPr>
        <w:t>I. Zastrzeżenie co do zakresu weryfikacji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Weryfikację przeprowadzono na podstawie źródeł dostępnych w sesji (wyszukiwarka). Bezpośredni dostęp do tekstów pierwotnych (ISAP, ELI, api.sejm.gov.pl, lexlege.pl, gov.pl) oraz do strony ekck.pl był zablokowany polityką sieciową środowiska. Tezy oznaczone „do potwierdzenia” należy sprawdzić w LEX/Legalis przed wysyłką pisma lub użyciem w pismach procesowych.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Nie stwierdzono, aby którykolwiek z przepisów powołanych w piśmie został uchylony lub zmieniony w sposób wpływający na treść pisma. Nie stwierdzono również zmian Kodeksu postępowania cywilnego w 2025–2026 r. dotyczących art. 730 i art. 755.</w:t>
      </w:r>
    </w:p>
    <w:p>
      <w:r>
        <w:rPr>
          <w:rFonts w:ascii="Calibri" w:hAnsi="Calibri"/>
          <w:b/>
          <w:sz w:val="24"/>
        </w:rPr>
        <w:t>II. Nowe okoliczności wynikające z wiadomości z 23 października 2026 r.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Mail do Gordera (plik 01) został wysłany 23 października 2026 r. o 12:46 z adresu lukasz.szymczyk@emobil.org.pl, z podpisem: Łukasz Szymczyk, Dyrektor ds. administracyjnych, Radca Prawny, Stowarzyszenie Elektromobilna Polska; do wiadomości m.drozd@ikzszkolenia.pl. Kwestia otwarta nr 7.1 z kontekstu sprawy jest zamknięta. W stopce podano adres do e-Doręczeń Stowarzyszenia: AE:PL-61286-74017-JBEBH-28.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Uwaga redakcyjna: w kliencie poczty numeracja sekcji rozsypała się (sekcje I–III wyświetlają się jako „1.”, „3.”, „5.”, a punkty jako zagnieżdżone listy). Nie ma to znaczenia prawnego, ale w wersji listowej należy zachować numerację rzymską.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Gorder odpowiedział 23 października 2026 r. o 13:27 (wiadomość skierowana imiennie do radcy prawnego). Treść: (a) przyjmuje do wiadomości zakwestionowanie roszczenia co do zasady i wysokości; (b) informuje o nadaniu wezwania przedsądowego i podtrzymuje 7-dniowy termin od doręczenia; (c) jako stosunek prawny wskazuje fakt poniesienia kosztu egzaminów przez INBG (dowód przelewu); (d) żąda jednoznacznego wskazania, który podmiot był stroną umowy o szkolenie i egzaminy oraz który odpowiadał za przekazanie świadectw, z uwzględnieniem EKCK, Stowarzyszenia Elektroenergetyków Polskich i komisji; (e) żąda pisemnego wyniku wyjaśnień co do daty 14.09.2026, rzeczywistych dat wystawienia obu świadectw oraz sposobu i terminu wymiany obu świadectw; (f) przyznaje, że termin 21.10.2026 nie wynikał z przepisów prawa; (g) nie powtarza zapowiedzi publikacji ani zawiadomienia Policji; ton wyraźnie złagodzony.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Wniosek: pismo z 29 października 2026 r. (plik 03) zostało przygotowane bez wiedzy o tej wymianie i wymaga korekt wskazanych w sekcji V. Zapowiedź publikacji nie została przez Gordera powtórzona po otrzymaniu naszego stanowiska, więc pełne powtórzenie ostrzeżenia w piśmie może zostać odebrane jako eskalacja i wykorzystane w ewentualnym procesie jako dowód nacisku na uczestnika sporu.</w:t>
      </w:r>
    </w:p>
    <w:p>
      <w:r>
        <w:rPr>
          <w:rFonts w:ascii="Calibri" w:hAnsi="Calibri"/>
          <w:b/>
          <w:sz w:val="24"/>
        </w:rPr>
        <w:t>III. Weryfikacja podstaw prawnych powołanych w piśmie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Art. 6 i art. 361 § 1 KC (ciężar dowodu, adekwatny związek przyczynowy). Potwierdzone, bez zmian. Powołanie prawidłowe.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Art. 471 KC (powołany przez INBG). Potwierdzone. Uwaga do argumentu Gordera z 23.10.2026, że stosunek prawny wynika z zapłaty przez INBG: opłatę za sprawdzenie kwalifikacji pobiera się od osoby kierującej wniosek (art. 54 ust. 4 Prawa energetycznego – wnioskodawcą jest Gorder osobiście), a zapłata przez osobę trzecią nie czyni jej stroną umowy (art. 356 § 2 KC – spełnienie świadczenia pieniężnego przez osobę trzecią). Argument ten należy zachować na odpowiedź na pozew (brak legitymacji czynnej INBG), nie ujawniać w piśmie.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Art. 71 KC (pkt II.1 pisma). Brzmienie potwierdzone: ogłoszenia, reklamy, cenniki i inne informacje skierowane do ogółu poczytuje się w razie wątpliwości nie za ofertę, lecz za zaproszenie do zawarcia umowy. Orzecznictwo (m.in. NSA I FSK 1381/08) przyjmuje, że typowa reklama skierowana do ogółu nie zawiera istotnych postanowień umowy i jest tylko zaproszeniem. Zastrzeżenia: (a) art. 71 KC chroni przed uznaniem deklaracji „24 h” za ofertę, ale nie przed uwzględnieniem jej przy wykładni treści zawartej umowy (art. 65 § 1 i 2 KC) – jeżeli regulamin serwisu ekck.pl lub formularz zgłoszeniowy wskazują Stowarzyszenie jako usługodawcę i obejmują wydanie świadectw, deklaracja może zostać uznana za zapewnienie co do sposobu wykonania usługi; (b) zrzut strony (załącznik nr 6 wezwania) zawiera stopkę „Krajowe Centrum Kształcenia – Stowarzyszenie Elektromobilna Polska, KRS 0001095551, NIP 6343037023” oraz zdania „Posiadamy własną Komisję Kwalifikacyjną powołaną przez prezesa URE”, „Bez pośredników” i „Uprawnienia wydawane są odbiorcy w 24 godziny po otrzymaniu wpłaty”. Treść ta identyfikuje Stowarzyszenie jako podmiot oferujący usługę i osłabia zarówno zarzut braku legitymacji biernej, jak i wewnętrzną tezę o komisji zewnętrznej (art. 474 KC – odpowiedzialność za osoby, którymi dłużnik posługuje się przy wykonaniu zobowiązania). Rekomendacja: pkt II.1 pozostawić, ale w brzmieniu ostrożniejszym (sekcja V pkt 3), a przed wysyłką pisma sprawdzić regulamin i formularz na ekck.pl.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Art. 23, art. 24 i art. 43 KC (pkt III.3 pisma). Potwierdzone. Orzecznictwo: wyrok SN z 14.11.1986 r., II CR 295/86 (OSNCP 1988/2-3/40) – dobra osobiste osób prawnych to wartości niemajątkowe, dzięki którym osoba prawna może funkcjonować zgodnie ze swym zakresem działań; dobre imię osoby prawnej jest odpowiednikiem czci osoby fizycznej, a naruszenie ocenia się obiektywnie (cytowane m.in. w wyrokach SN IV CSK 297/18 i V CSK 646/19). Uchwała SN z 3.10.2023 r., III CZP 22/23 – art. 448 KC stosuje się odpowiednio do osób prawnych; Stowarzyszeniu może więc przysługiwać także zadośćuczynienie. Można rozważyć dodanie tej uchwały do pisma; zwiększa to wagę zapowiedzi.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5.</w:t>
        <w:tab/>
        <w:t>Ryzyko przy pkt III.3–III.4 pisma: domniemanie bezprawności z art. 24 § 1 KC jest obalalne. Zgodnie z uchwałą składu 7 sędziów SN z 18.02.2005 r., III CZP 53/04 (OSNC 2005/7-8/114) i orzecznictwem późniejszym (np. IV CSK 301/15, I CSK 13/09) wykazanie prawdziwości zarzutu wraz z działaniem w obronie uzasadnionego interesu społecznego wyłącza bezprawność. Fakty, które Gorder może opublikować, są niesporne: przekroczenie terminu wydania świadectw, data 14.09.2026 na świadectwach, zapewnienie o nadaniu 16.10 przy odbiorze przez kuriera 19.10. Powództwo prewencyjne będzie skuteczne co najwyżej wobec twierdzeń nieprawdziwych lub przekraczających granice rzeczowej krytyki. Obecne zdanie pisma („Rozpowszechnianie twierdzeń o nieprawidłowościach przypisywanych Stowarzyszeniu narusza jego dobre imię”) jest kategoryczne i może być w procesie przedstawione jako próba tłumienia dopuszczalnej krytyki. Rekomendowane złagodzenie – sekcja V pkt 4.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6.</w:t>
        <w:tab/>
        <w:t>Art. 24 § 1 zd. 1 KC – roszczenie o zaniechanie przysługuje już na etapie zagrożenia (wyrok SN z 16.02.2005 r., IV CK 519/04: środek o charakterze prewencyjnym). Zapowiedź w piśmie („w razie publikacji”) jest więc ostrożniejsza niż stan prawny pozwala; nie ma potrzeby jej rozszerzać.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7.</w:t>
        <w:tab/>
        <w:t>Art. 730 § 1 i art. 755 § 1 KPC (pkt III.4 pisma). Potwierdzone. Wyrok TK z 9.11.2010 r., K 13/07 (Dz.U. 2010 nr 217 poz. 1435; OTK-A 2010/9/98) potwierdzony: ówczesny art. 755 § 2 KPC uznany za niezgodny z art. 14 i art. 54 ust. 1 w zw. z art. 31 ust. 3 Konstytucji. Po nowelizacji z 2012 r. ograniczenia § 2 i § 2¹ dotyczą spraw przeciwko środkom społecznego przekazu; wobec osoby prywatnej podstawą jest § 1. Aktualne brzmienie § 2 i § 2¹ do potwierdzenia w LEX (nie udało się pobrać tekstu pierwotnego). Ryzyko: jeżeli publikacja nastąpi w formie periodycznie aktualizowanego serwisu, sąd może rozważać reżim § 2 (ważny interes publiczny, ograniczony czas zakazu).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8.</w:t>
        <w:tab/>
        <w:t>Art. 98 § 1 KPC (pkt III.2 pisma). Potwierdzone. Uzupełnienie co do trybu: przy wartości przedmiotu sporu 10 000 zł sprawa podlega postępowaniu uproszczonemu (art. 505¹ § 1 pkt 1 KPC – do 20 000 zł). Jeżeli Stowarzyszenie jest przedsiębiorcą (art. 43¹ KC; działalność gospodarcza stowarzyszenia – art. 34 Prawa o stowarzyszeniach), a sprawa wynika z tej działalności, będzie to sprawa gospodarcza (art. 458² § 1 pkt 1 KPC) z prekluzją: pozwany powołuje wszystkie twierdzenia i dowody w odpowiedzi na pozew (art. 458⁵ § 1 i 4 KPC), czynności stron wykazuje się co do zasady dokumentem (art. 458¹⁰ KPC), dowód ze świadków ma charakter subsydiarny (art. 458¹¹ KPC). Do potwierdzenia: czy Stowarzyszenie jest wpisane do rejestru przedsiębiorców KRS. Konsekwencja praktyczna: materiał dowodowy z pkt 7.5 kontekstu (wniosek, umowa z komisją, korespondencja, historia InPost, zrzut strony, regulamin) musi być skompletowany przed doręczeniem pozwu, nie po.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9.</w:t>
        <w:tab/>
        <w:t>§ 13 ust. 1 rozporządzenia MKiŚ z 1.07.2022 r. (Dz.U. poz. 1392) – termin 14 dni na wydanie świadectwa (podstawa wewnętrzna, nie powołana w piśmie). Rozporządzenie według ELI obowiązuje, nie odnaleziono aktu zmieniającego ani uchylającego. Termin 14 dni od egzaminu potwierdzony pośrednio (powielają go regulaminy komisji kwalifikacyjnych SEP). Numer paragrafu do potwierdzenia w tekście Dz.U. Sprostowanie: w pierwotnej wersji tej notatki wskazano na „projekt nowego rozporządzenia z 2025 r.”; po ponownej weryfikacji nie odnaleziono takiego projektu. Jedyny odnaleziony projekt to projekt z początku 2022 r. (konsultacje publiczne luty 2022 r., „Tydzień w SEP” nr 326), który został uchwalony jako rozporządzenie z 1.07.2022 r.; wykazy prac legislacyjnych MKiŚ z 27.05.2025 r. i 31.07.2025 r. nie zawierają pozycji dotyczącej tego rozporządzenia. Przyjąć, że 17.09.2026 r. obowiązywało rozporządzenie z 1.07.2022 r. w brzmieniu pierwotnym; ostateczne potwierdzenie braku zmian – w ISAP/LEX.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14.</w:t>
        <w:tab/>
        <w:t>Art. 54 Prawa energetycznego – zmiany w 2026 r. Tekst jednolity: Dz.U. 2026 poz. 43. Ustawa z 13.03.2026 r. o zmianie ustawy – Prawo energetyczne oraz niektórych innych ustaw (Dz.U. 2026 poz. 516, w życie 30.04.2026 r.) oraz ustawa z 11.06.2026 r. o zmianie niektórych ustaw w celu dokonania deregulacji w zakresie energetyki (Dz.U. 2026 poz. 900, w życie 21.07.2026 r.). Jedyna zidentyfikowana zmiana art. 54 to dodany ust. 4b (zwolnienie z opłaty za sprawdzenie kwalifikacji przez komisje powołane przez Ministra Sprawiedliwości) – bez znaczenia dla sprawy. Nie odnaleziono zmiany ust. 3 (komisje przy stowarzyszeniach naukowo-technicznych) ani ust. 4 (opłata). Wzmianka o kolejnym akcie zmieniającym (Dz.U. 2026 poz. 1281) niepotwierdzona. Do sprawdzenia w LEX przy okazji sporu KK 739 / SOKiK: aktualne brzmienie art. 54 ust. 3 i 3a oraz przepisów przejściowych obu ustaw.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10.</w:t>
        <w:tab/>
        <w:t>Art. 54 ust. 4 Prawa energetycznego – opłata za sprawdzenie kwalifikacji nie wyższa niż 10% minimalnego wynagrodzenia w dniu złożenia wniosku (2026: 480,60 zł przy 4 806 zł). Wpłata INBG wyniosła 575,60 zł na rachunek SEEP tytułem „faktura proforma VII/A/2026/09/P007”. Kwota nie odpowiada ani jednej, ani dwóm opłatom egzaminacyjnym; należy ustalić, co obejmowała (egzamin, szkolenie, obsługa) i kto wystawił proformę i na kogo. Dokument ten wyznacza stronę umowy i będzie pierwszym dowodem, o który spyta sąd.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11.</w:t>
        <w:tab/>
        <w:t>Art. 187 § 1 pkt 3 KPC (powołany przez Gordera). Potwierdzone: pozew zawiera informację, czy strony podjęły próbę pozasądowego rozwiązania sporu. Korespondencja Gordera spełnia ten wymóg; odmowa zapłaty nie rodzi po stronie Stowarzyszenia ujemnych skutków procesowych poza ewentualną oceną z art. 103 KPC, która przy uzasadnionym zakwestionowaniu roszczenia nie wchodzi w grę.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12.</w:t>
        <w:tab/>
        <w:t>Art. 455 i art. 481 § 1 KC (wymagalność i odsetki po wezwaniu – podstawa wewnętrzna). Potwierdzone. Jeżeli roszczenie istnieje, odsetki ustawowe za opóźnienie biegną od upływu 7 dni od doręczenia wezwania; wezwanie doręczono najpóźniej 27.10.2026 r. (data skanu).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13.</w:t>
        <w:tab/>
        <w:t>Wyrok SN z 3.10.1979 r., II CR 304/79 (OSNCP 1980/9/164) – podstawa wewnętrzna co do utraconych korzyści. Potwierdzony (Inforlex, SAOS: cytowany w I ACa 892/12 i IX GC 2531/16): utracone korzyści muszą być wykazane z tak dużym prawdopodobieństwem, że w świetle doświadczenia życiowego uzasadnia ono przyjęcie, iż utrata korzyści rzeczywiście nastąpiła; szkoda ewentualna nie podlega naprawieniu. Załącznik nr 5 wezwania sam przyznaje, że kwota 10 000 zł jest „scenariuszem roboczym”, „nie jest udowodnionym wynikiem finansowym ani kwotą gwarantowaną przez LM”, a koszty 2 000 zł są „szacunkiem”. Argument do odpowiedzi na pozew, zgodnie z linią nie ujawniać w piśmie.</w:t>
      </w:r>
    </w:p>
    <w:p>
      <w:r>
        <w:rPr>
          <w:rFonts w:ascii="Calibri" w:hAnsi="Calibri"/>
          <w:b/>
          <w:sz w:val="24"/>
        </w:rPr>
        <w:t>IV. Ryzyka i luki ujawnione przy walidacji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Wysokie. Treść strony ekck.pl (stopka z danymi rejestrowymi Stowarzyszenia, „własna komisja”, „bez pośredników”, „24 h”) jest już w aktach INBG jako załącznik nr 6. Linia braku legitymacji biernej utrzyma się tylko, jeżeli regulamin, formularz zgłoszeniowy i proforma wskazują inny podmiot niż Stowarzyszenie. Do sprawdzenia natychmiast: regulamin ekck.pl (usługodawca, zakres usługi, postanowienia o świadectwach i odpowiedzialności), formularz zgłoszeniowy z 16.09.2026, proforma VII/A/2026/09/P007, umowa z komisją.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Wysokie (zmienione). Pierwotnie wskazano tu potrzebę ustalenia, czy 17.09.2026 r. obowiązywało rozporządzenie z 2022 r., czy nowy akt z projektu z 2025 r. Projekt z 2025 r. nie istnieje (sekcja III pkt 9). Pozycja pozostaje jako polecenie potwierdzenia w ISAP/LEX, że rozporządzenie Dz.U. 2022 poz. 1392 nie było zmieniane, oraz sprawdzenia aktualnego brzmienia art. 54 ust. 3–4 Prawa energetycznego po nowelizacjach z 2026 r. (sekcja III pkt 14).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9.</w:t>
        <w:tab/>
        <w:t>Wysokie. Świadectwo z dozoru nadal nie zostało wysłane (pkt 4.4 kontekstu). Każdy dzień wydłuża okres ewentualnej szkody i osłabia argument, że skutki opóźnienia zakończyły się 19.10.2026 r. Wysłać niezwłocznie, kurierem z potwierdzeniem odbioru, na adres z wniosku.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Wysokie. Gorder żąda pisemnego wyniku wyjaśnień co do daty 14.09.2026 i wymiany obu świadectw. Mail do komisji (pkt 7.3 kontekstu) nie został dotąd przygotowany. Bez stanowiska komisji Stowarzyszenie nie będzie w stanie odpowiedzieć URE ani Gorderowi, a przedłużające się „wyjaśnianie” będzie w procesie oceniane na niekorzyść.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Średnie. Deklaracja „24 h” wobec klientów będących konsumentami może być kwalifikowana jako praktyka wprowadzająca w błąd (art. 5 ust. 1 ustawy o przeciwdziałaniu nieuczciwym praktykom rynkowym) i naruszenie zbiorowych interesów konsumentów (art. 24 ust. 2 pkt 3 ustawy o ochronie konkurencji i konsumentów); wobec przedsiębiorców – reklama wprowadzająca w błąd (art. 16 ust. 1 pkt 2 ustawy o zwalczaniu nieuczciwej konkurencji). Ryzyko regulacyjne obejmuje więc nie tylko URE, lecz także Prezesa UOKiK. Rekomendacja z pkt 7.6 kontekstu (usunięcie deklaracji) jest pilna; zrzut strony po zmianie zachować z datą.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5.</w:t>
        <w:tab/>
        <w:t>Średnie. Zdanie „Posiadamy własną Komisję Kwalifikacyjną powołaną przez prezesa URE” należy zweryfikować z aktualnym stanem (spór z Prezesem URE, KK 739). Jeżeli komisja działa przy innym podmiocie, zdanie jest nieprawdziwe i daje Gorderowi oraz URE dodatkowy zarzut.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6.</w:t>
        <w:tab/>
        <w:t>Średnie. Doręczenia. INBG ma adres do e-Doręczeń wpisany do BAE (AE:PL-73585-44346-TFRIH-19, dział 1 rubryka 2 odpisu KRS), Stowarzyszenie również (AE:PL-61286-74017-JBEBH-28). Pozew i dalsze doręczenia sądowe mogą nastąpić na adres do doręczeń elektronicznych (art. 131¹ KPC); skrzynkę Stowarzyszenia należy monitorować codziennie z uwagi na fikcję doręczenia po 14 dniach. Odpowiedź na wezwanie zalecamy wysłać przez e-Doręczenia (dowód otrzymania) oraz e-mailem.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7.</w:t>
        <w:tab/>
        <w:t>Niskie. Reprezentacja INBG: zarząd jednoosobowy, Prezes Zarządu Bartosz Gorder (dział 2 odpisu KRS z 21.10.2026 r.). Wezwanie podpisane prawidłowo; adresowanie naszego pisma do INBG z oznaczeniem Prezesa Zarządu jest poprawne.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8.</w:t>
        <w:tab/>
        <w:t>Niskie. Podpis pod pismem. Radca prawny będący pracownikiem może podpisać pismo w imieniu Stowarzyszenia na podstawie pełnomocnictwa Zarządu (art. 98 KC; dla pełnomocnictwa ogólnego forma pisemna pod rygorem nieważności – art. 99 § 2 KC). Jeżeli pełnomocnictwa nie ma, pismo powinien podpisać Zarząd zgodnie z reprezentacją ujawnioną w KRS. Do procesu potrzebne będzie odrębne pełnomocnictwo procesowe (art. 87 § 1, art. 89 KPC).</w:t>
      </w:r>
    </w:p>
    <w:p>
      <w:r>
        <w:rPr>
          <w:rFonts w:ascii="Calibri" w:hAnsi="Calibri"/>
          <w:b/>
          <w:sz w:val="24"/>
        </w:rPr>
        <w:t>V. Rekomendowane zmiany w piśmie z 29 października 2026 r.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1.</w:t>
        <w:tab/>
        <w:t>Wstęp – po słowach „przedstawiamy stanowisko Stowarzyszenia” dodać: „, w nawiązaniu do naszej wiadomości z 23 października 2026 r. i Pana odpowiedzi z tego samego dnia”.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2.</w:t>
        <w:tab/>
        <w:t>Pkt I.2 – dodać zdanie: „Sam fakt dokonania wpłaty przez INBG Sp. z o.o., na który powołuje się Pan w wiadomości z 23 października 2026 r., nie wskazuje stosunku prawnego, z którego wynikałaby odpowiedzialność Stowarzyszenia wobec tej spółki.”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3.</w:t>
        <w:tab/>
        <w:t>Pkt II.1 – brzmienie ostrożniejsze: „Informacje zamieszczone na stronie internetowej, na które powołuje się wezwanie (załącznik nr 6), mają charakter informacyjny i są skierowane do ogółu; w razie wątpliwości poczytuje się je nie za ofertę, lecz za zaproszenie do zawarcia umowy (art. 71 Kodeksu cywilnego). Nie zastępują one wskazania stosunku prawnego, z którego miałaby wynikać odpowiedzialność Stowarzyszenia wobec INBG Sp. z o.o.” Usunąć zdanie o „obowiązku wydania świadectw w określonym terminie”, które wprowadza do pisma wątek terminu.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4.</w:t>
        <w:tab/>
        <w:t>Pkt III.3 i III.4 – zastąpić jednym punktem: „Stowarzyszenie podtrzymuje stanowisko wyrażone w pkt III.4 i III.5 wiadomości z 23 października 2026 r. co do zapowiedzi publicznego przedstawienia sprawy. Rozpowszechnianie twierdzeń nieprawdziwych lub przekraczających granice rzeczowej krytyki narusza dobre imię Stowarzyszenia (art. 23 i art. 24 w zw. z art. 43 Kodeksu cywilnego) i uzasadnia wystąpienie z powództwem o ochronę dóbr osobistych wraz z wnioskiem o zabezpieczenie (art. 730 § 1 i art. 755 § 1 Kodeksu postępowania cywilnego).” Opcjonalnie powołać uchwałę SN III CZP 22/23 (zadośćuczynienie dla osoby prawnej).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5.</w:t>
        <w:tab/>
        <w:t>Pkt III.7 – ujednolicić z mailem z 23.10.2026 r.: „Korespondencję w sprawie należy kierować na adres e-mail lukasz.szymczyk@emobil.org.pl albo na adres do doręczeń elektronicznych Stowarzyszenia AE:PL-61286-74017-JBEBH-28.”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6.</w:t>
        <w:tab/>
        <w:t>Rozdzielnik – „Adresat: e-Doręczenia (AE:PL-73585-44346-TFRIH-19) oraz e-mail b.gorder@gorder.pl”. List polecony za zwrotnym potwierdzeniem odbioru jako wysyłka równoległa, jeżeli Zarząd tak zdecyduje.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7.</w:t>
        <w:tab/>
        <w:t>Żądanie wskazania strony umowy (wiadomość z 23.10.2026 r., pkt d) – zgodnie z linią nie odpowiadać wprost; pkt I.2–I.4 pisma wyczerpują temat. Żądanie wyniku wyjaśnień co do daty 14.09.2026 r. (pkt e) – pozostawić pkt II.2 pisma bez terminu, ale wewnętrznie wyznaczyć termin dla maila do komisji.</w:t>
      </w:r>
    </w:p>
    <w:p>
      <w:pPr>
        <w:ind w:left="425" w:hanging="425"/>
        <w:jc w:val="both"/>
      </w:pPr>
      <w:r>
        <w:rPr>
          <w:rFonts w:ascii="Calibri" w:hAnsi="Calibri"/>
          <w:b w:val="0"/>
          <w:sz w:val="24"/>
        </w:rPr>
        <w:t>8.</w:t>
        <w:tab/>
        <w:t>Podpis – Łukasz Szymczyk, radca prawny, z adnotacją „z upoważnienia Zarządu” i załączeniem pełnomocnictwa, albo podpis Zarządu. Data pisma do aktualizacji na dzień wysyłki.</w:t>
      </w:r>
    </w:p>
    <w:p>
      <w:r>
        <w:rPr>
          <w:rFonts w:ascii="Calibri" w:hAnsi="Calibri"/>
          <w:b/>
          <w:sz w:val="24"/>
        </w:rPr>
        <w:t>VI. Źródła wykorzystane przy weryfikacji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Rozporządzenie MKiŚ z 1.07.2022 r., Dz.U. poz. 1392 – ELI (status: obowiązujące): https://eli.gov.pl/eli/DU/2022/1392/ogl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Tekst rozporządzenia Dz.U. 2022 poz. 1392 na stronie URE: https://www.ure.gov.pl/download/9/12973/1392.pdf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Świadectwo kwalifikacji – biznes.gov.pl: https://www.biznes.gov.pl/pl/portal/ou142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Projekt rozporządzenia (2022) – Tydzień w SEP nr 326: https://sep.com.pl/tydzien-w-sep/326/projekt-rozporzadzenia-ministra-klimatu-i-srodowiska-w-sprawie-szczegolowych-zasad-stwierdzenia-posiadania-kwalifikacji-przez-osoby-zajmujace-sie-eksploatacja-urzadzen-instalacji-i-sieci.html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Projekt rozporządzenia (2022) – załączniki, konsultacje ZPP (luty 2022): https://www.zpp.pl/storage/library/2022-02/930ffd0002adc9b5d48fb65db67ff1ef.pdf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Wykaz prac legislacyjnych MKiŚ z 27.05.2025 r.: https://bip.mos.gov.pl/fileadmin/user_upload/bip/prawo/wykaz_prac_legislacyjnych/2025.05.27_Wykaz_prac_legislacyjnych_Ministra_Klimatu_i_Srodowiska.pdf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Wykaz prac legislacyjnych MKiŚ z 31.07.2025 r.: https://bip.mos.gov.pl/fileadmin/user_upload/bip/prawo/wykaz_prac_legislacyjnych/2025.07.31_Wykaz_prac_legislacyjnych_Ministra_Klimatu_i_Srodowiska.pdf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Ustawa z 13.03.2026 r., Dz.U. 2026 poz. 516 – ISAP: https://isap.sejm.gov.pl/isap.nsf/download.xsp/WDU20260000516/O/D20260516.pdf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Ustawa z 11.06.2026 r., Dz.U. 2026 poz. 900 – infor.pl (metryka): https://www.infor.pl/akt-prawny/DZU.2026.187.0000900,metryka,ustawa-o-zmianie-niektorych-ustaw-w-celu-dokonania-deregulacji-w-zakresie-energetyki.html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Przegląd zmian Prawa energetycznego (stan 29.09.2026): https://prawo.kalinski-energia.pl/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Komisje kwalifikacyjne – URE (wykaz czynnych komisji, stan 18.03.2026): https://www.ure.gov.pl/pl/biznes/komisje-kwalifikacyjne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Art. 54 Prawa energetycznego – lexlege: https://lexlege.pl/prawo-energetyczne/art-54/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Art. 54 Prawa energetycznego – arslege: https://arslege.pl/prawo-energetyczne/k257/a23893/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Wyrok SN z 3.10.1979 r., II CR 304/79 – Inforlex: https://www.inforlex.pl/dok/tresc,OSN.1979.001.001945251,Wyrok-SN-z-dnia-3-pazdziernika-1979-r-sygn-II-CR-304-79.html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I ACa 892/12 (cytuje II CR 304/79) – SAOS: https://www.saos.org.pl/judgments/2933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IX GC 2531/16 (cytuje II CR 304/79) – SAOS: https://www.saos.org.pl/judgments/362706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Wyrok TK z 9.11.2010 r., K 13/07 – Dz.U. 2010 nr 217 poz. 1435 (ELI): https://eli.gov.pl/eli/DU/2010/1435/ogl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Informacja prawna Senatu o wyroku K 13/07: https://www.senat.gov.pl/gfx/senat/userfiles/_public/k8/dokumenty/trybunal/informacja_prawna_o_wyrokach/k_13_07_inf.pdf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Wyrok SN IV CSK 297/18 (cytuje II CR 295/86): https://www.sn.pl/sites/orzecznictwo/orzeczenia3/iv%20csk%20297-18-1.pdf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Wyrok SN V CSK 646/19 (dobre imię osoby prawnej): https://www.sn.pl/sites/orzecznictwo/Orzeczenia3/V%20CSK%20646-19.pdf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Uchwała SN z 3.10.2023 r., III CZP 22/23: https://www.sn.pl/sites/orzecznictwo/Orzeczenia3/III%20CZP%2022-23.pdf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Uchwała 7 sędziów SN z 18.02.2005 r., III CZP 53/04 – SAOS: https://www.saos.org.pl/judgments/83229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Wyrok SN IV CSK 301/15 (stosuje III CZP 53/04): https://www.sn.pl/sites/orzecznictwo/Orzeczenia3/IV%20CSK%20301-15.pdf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Wyrok SN z 16.02.2005 r., IV CK 519/04 (art. 24 § 1 zd. 1 KC – charakter prewencyjny): https://dlajurysty.pl/orzeczenia/pokaz/36044/IV-CK-519-04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Wyrok SN III CSK 24/18 (art. 24 KC): https://www.sn.pl/sites/orzecznictwo/Orzeczenia3/III%20CSK%2024-18.pdf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Art. 71 KC – orzecznictwo (Standardy Prawa): https://standardyprawa.pl/standardy/16416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Art. 458⁵ KPC – prekluzja (Standardy Prawa): https://standardyprawa.pl/akt/76/art/24364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VI GC 1388/20 – stosowanie art. 458⁵ KPC: https://dlajurysty.pl/orzeczenia/pokaz/207337/VI-GC-1388-20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Art. 43¹ KC – przedsiębiorca, działalność gospodarcza stowarzyszenia (Standardy Prawa): https://standardyprawa.pl/standardy/16400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e-Doręczenia dla podmiotów w KRS – gov.pl: https://www.gov.pl/web/cyfryzacja/masz-firme-zarejestrowana-w-krs-sprawdz-czy-powinienes-zalozyc-adres-do-e-doreczen</w:t>
      </w:r>
    </w:p>
    <w:p>
      <w:pPr>
        <w:ind w:left="425" w:hanging="425"/>
      </w:pPr>
      <w:r>
        <w:rPr>
          <w:rFonts w:ascii="Calibri" w:hAnsi="Calibri"/>
          <w:b w:val="0"/>
          <w:sz w:val="24"/>
        </w:rPr>
        <w:t>Naruszenie dobrego imienia firmy – przegląd (poradnikprzedsiebiorcy.pl): https://poradnikprzedsiebiorcy.pl/-naruszenie-dobrego-imienia-firmy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