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2e0e734c290b863cd1654d2e7f5df75cc49563"/>
    <w:p>
      <w:pPr>
        <w:pStyle w:val="Heading1"/>
      </w:pPr>
      <w:r>
        <w:t xml:space="preserve">Notatka do projektu repliki w sprawie XVII Amz 74/26 (SEEP przeciwko Prezesowi URE)</w:t>
      </w:r>
    </w:p>
    <w:p>
      <w:pPr>
        <w:pStyle w:val="FirstParagraph"/>
      </w:pPr>
      <w:r>
        <w:t xml:space="preserve">Stan na 29 października 2026 r. Dokument wewnętrzny. Dotyczy pliku 06_Replika_SOKiK_XVII_Amz_74-26.</w:t>
      </w:r>
    </w:p>
    <w:bookmarkStart w:id="20" w:name="Xcaddc282a162bae6d18d76a0a8a2f89c0e44ddf"/>
    <w:p>
      <w:pPr>
        <w:pStyle w:val="Heading2"/>
      </w:pPr>
      <w:r>
        <w:t xml:space="preserve">I. Czego dotyczy pismo i na czym się opiera</w:t>
      </w:r>
    </w:p>
    <w:p>
      <w:pPr>
        <w:numPr>
          <w:ilvl w:val="0"/>
          <w:numId w:val="1001"/>
        </w:numPr>
      </w:pPr>
      <w:r>
        <w:t xml:space="preserve">Przebieg sprawy: trzy wnioski SEEP z 31.03.2026 r. o interpretację indywidualną (§ 14 ust. 3, § 10 ust. 1–3, § 9 ust. 1–2 rozporządzenia MKiŚ z 1.07.2022 r. w zw. z art. 54 ust. 4 PE); postanowienie Prezesa URE z 13.04.2026 r. (OGD.63.17.2026.AMi) o odmowie wszczęcia postępowania na podstawie art. 61a § 1 k.p.a. z tezą, że opłata za sprawdzenie kwalifikacji nie jest daniną publiczną; zażalenie SEEP do SOKiK (XVII Amz 74/26); odpowiedź URE na zażalenie z 24.07.2026 r. (DPR.63.2.2026.AMa3, r.pr. Anna Matuska) z wnioskiem o oddalenie zażalenia, zwolnienie z udziału w posiedzeniu przygotowawczym i zasądzenie kosztów; doręczenie odpisu odpowiedzi przez sąd pismem z 24.08.2026 r. (skan z 29.10.2026 r.).</w:t>
      </w:r>
    </w:p>
    <w:p>
      <w:pPr>
        <w:numPr>
          <w:ilvl w:val="0"/>
          <w:numId w:val="1001"/>
        </w:numPr>
      </w:pPr>
      <w:r>
        <w:t xml:space="preserve">Projekt repliki został przygotowany bez wglądu w treść zażalenia. Dziesięć zarzutów zażalenia odtworzono z ich streszczenia w odpowiedzi URE (s. 2–4). Przed wysyłką porównać replikę z zażaleniem: usunąć powtórzenia, dodać odpowiedź na argumenty URE wobec tych zarzutów, które w replice pominięto (zarzut 5 – równość; zarzut 7 – sprzeczność uzasadnienia; zarzut 8 – art. 7 i 77 k.p.a.), jeżeli zarząd uzna je za warte podtrzymania.</w:t>
      </w:r>
    </w:p>
    <w:p>
      <w:pPr>
        <w:numPr>
          <w:ilvl w:val="0"/>
          <w:numId w:val="1001"/>
        </w:numPr>
      </w:pPr>
      <w:r>
        <w:t xml:space="preserve">Pismo sądu z 24.08.2026 r. nie zawiera zarządzenia o wymianie pism ani terminu na odpowiedź. Pismo przygotowawcze złożone bez zarządzenia podlega zwrotowi (art. 205³ § 5 k.p.c.). Stąd pkt 1 petitum: wniosek o zezwolenie na złożenie pisma, ewentualnie o potraktowanie go jako stanowiska na posiedzenie przygotowawcze. Przed wysyłką sprawdzić w Portalu Informacyjnym, czy po 24.08.2026 r. nie wydano zarządzenia (termin na replikę, termin posiedzenia przygotowawczego, skierowanie na posiedzenie niejawne). Jeżeli zarządzono wymianę pism z terminem, dostosować nagłówek i usunąć pkt 1 petitum.</w:t>
      </w:r>
    </w:p>
    <w:bookmarkEnd w:id="20"/>
    <w:bookmarkStart w:id="21" w:name="ii.-decyzje-przed-wysyłką"/>
    <w:p>
      <w:pPr>
        <w:pStyle w:val="Heading2"/>
      </w:pPr>
      <w:r>
        <w:t xml:space="preserve">II. Decyzje przed wysyłką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Wniosek ewentualny (pkt 3 petitum).</w:t>
      </w:r>
      <w:r>
        <w:t xml:space="preserve"> </w:t>
      </w:r>
      <w:r>
        <w:t xml:space="preserve">Ogranicza żądanie do pkt 1 sentencji (§ 14 ust. 3 – tytuł wpłaty), czyli do wniosku, co do którego argumentacja jest najmocniejsza, bo URE sam opisuje jego przedmiot jako „sposób uiszczania opłaty”. Koszt: sygnalizuje sądowi, że wnioski 2 i 3 (zawiadomienie, skład komisji) są słabsze. Rekomendacja: zostawić. Bez tego wniosku sąd, uznając wnioski 2 i 3 za wykraczające poza art. 34 PP, może oddalić zażalenie w całości zamiast uchylić postanowienie w części.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Posiedzenie przygotowawcze.</w:t>
      </w:r>
      <w:r>
        <w:t xml:space="preserve"> </w:t>
      </w:r>
      <w:r>
        <w:t xml:space="preserve">URE wniosło o zwolnienie z udziału, co wskazuje, że sąd je planuje. Udział powoda jest obowiązkowy; niestawiennictwo powoda bez usprawiedliwienia skutkuje umorzeniem postępowania (art. 205⁵ k.p.c. – zweryfikować numer paragrafu i brzmienie). Ustalić, kto stawi się za SEEP (pełnomocnik, członek zarządu) i wybrać jeden z wariantów w nawiasie kwadratowym po petitum.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Posiedzenie niejawne.</w:t>
      </w:r>
      <w:r>
        <w:t xml:space="preserve"> </w:t>
      </w:r>
      <w:r>
        <w:t xml:space="preserve">Spór jest czysto prawny; wariant „powód nie sprzeciwia się rozpoznaniu na posiedzeniu niejawnym” skraca postępowanie, ale odbiera możliwość ustnego przedstawienia argumentów. Rekomendacja: zostawić wariant, jeżeli SEEP nie planuje stawiennictwa na rozprawie; usunąć, jeżeli pełnomocnik chce wystąpić.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Wniosek dowodowy (pkt 5 petitum).</w:t>
      </w:r>
      <w:r>
        <w:t xml:space="preserve"> </w:t>
      </w:r>
      <w:r>
        <w:t xml:space="preserve">Ma sens tylko, jeżeli SEEP ma pisma nadzorcze URE, w których organ kwestionuje praktykę komisji w zakresie § 9, § 10 lub § 14 (wezwania, protokoły kontroli, korespondencja). Takie pisma wykazują istnienie „indywidualnej sprawy” i wzmacniają argument z pkt 21 repliki (organ żąda zmiany praktyki, a odmawia jej wiążącej oceny). Jeżeli pism nie ma albo nie można ich ujawnić, usunąć pkt 5 i załącznik 3.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Umocowanie i podpis.</w:t>
      </w:r>
      <w:r>
        <w:t xml:space="preserve"> </w:t>
      </w:r>
      <w:r>
        <w:t xml:space="preserve">Pismo sądu z 24.08.2026 r. zaadresowano do Stowarzyszenia, nie do pełnomocnika. Ustalić, czy zażalenie podpisał zarząd, czy radca prawny z pełnomocnictwem w aktach. Od tego zależy: blok podpisu, pkt 4 petitum (koszty zastępstwa), załącznik 2 (pełnomocnictwo i opłata skarbowa 17 zł) i sposób doręczenia odpisu (pkt II.6).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Doręczenie odpisu.</w:t>
      </w:r>
      <w:r>
        <w:t xml:space="preserve"> </w:t>
      </w:r>
      <w:r>
        <w:t xml:space="preserve">Jeżeli SEEP działa przez radcę prawnego lub adwokata, odpis pisma doręcza się bezpośrednio pełnomocnikowi URE (r.pr. Anna Matuska, ul. Towarowa 25a, Warszawa) z oświadczeniem w piśmie o dacie nadania (art. 132 § 1 k.p.c.); bez tego pismo podlega zwrotowi. Jeżeli SEEP działa przez zarząd, odpis dla pozwanego załącza się do pisma dla sądu.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Opłata.</w:t>
      </w:r>
      <w:r>
        <w:t xml:space="preserve"> </w:t>
      </w:r>
      <w:r>
        <w:t xml:space="preserve">Pismo przygotowawcze nie podlega opłacie sądowej.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Kanał wysyłki.</w:t>
      </w:r>
      <w:r>
        <w:t xml:space="preserve"> </w:t>
      </w:r>
      <w:r>
        <w:t xml:space="preserve">Do sądu: biuro podawcze, poczta (list polecony, data nadania w placówce Poczty Polskiej równa dacie wniesienia) albo e-Doręczenia, jeżeli sąd ma aktywny adres. Zachować dowód nadania.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Data.</w:t>
      </w:r>
      <w:r>
        <w:t xml:space="preserve"> </w:t>
      </w:r>
      <w:r>
        <w:t xml:space="preserve">Wpisać dzień wysyłki.</w:t>
      </w:r>
    </w:p>
    <w:bookmarkEnd w:id="21"/>
    <w:bookmarkStart w:id="22" w:name="iii.-ocena-ryzyka-szczerze"/>
    <w:p>
      <w:pPr>
        <w:pStyle w:val="Heading2"/>
      </w:pPr>
      <w:r>
        <w:t xml:space="preserve">III. Ocena ryzyka (szczerze)</w:t>
      </w:r>
    </w:p>
    <w:p>
      <w:pPr>
        <w:numPr>
          <w:ilvl w:val="0"/>
          <w:numId w:val="1003"/>
        </w:numPr>
      </w:pPr>
      <w:r>
        <w:t xml:space="preserve">Orzecznictwo NSA i SOKiK na gruncie art. 34 PP jest zawężające. URE powołuje linię (II GSK 2542/21, VI SA/Wa 2663/20, XVII Amz 9/22), która odmawia interpretacji wszędzie tam, gdzie przedmiotem nie jest typowa danina budżetowa. Sąd może iść tą linią bez głębszej analizy.</w:t>
      </w:r>
    </w:p>
    <w:p>
      <w:pPr>
        <w:numPr>
          <w:ilvl w:val="0"/>
          <w:numId w:val="1003"/>
        </w:numPr>
      </w:pPr>
      <w:r>
        <w:t xml:space="preserve">Najsłabsze punkty stanowiska SEEP: (a) art. 34 ust. 1 PP mówi o obowiązku świadczenia daniny „przez przedsiębiorcę”, a SEEP opłatę pobiera, nie płaci; argument z płatnika (SN III UK 72/14) jest analogią, nie tezą wprost; (b) opłata stanowi przychód Stowarzyszenia, a nie dochód publiczny w rozumieniu art. 5 ust. 1 i 2 u.f.p. (daniny są tam kategorią „dochodów publicznych”); (c) wnioski 2 i 3 dotyczą w pierwszej kolejności organizacji egzaminów.</w:t>
      </w:r>
    </w:p>
    <w:p>
      <w:pPr>
        <w:numPr>
          <w:ilvl w:val="0"/>
          <w:numId w:val="1003"/>
        </w:numPr>
      </w:pPr>
      <w:r>
        <w:t xml:space="preserve">Najmocniejsze punkty: (a) art. 5 ust. 2 pkt 1 u.f.p. wymienia „opłaty” wprost, a URE sam uznaje tę definicję za rozstrzygającą; (b) kryterium „ekwiwalentności” URE jest sprzeczne z orzecznictwem TK, dla którego odpłatność jest cechą opłaty jako daniny (P 6/02, U 6/04); (c) TK w SK 55/22 uznał opłatę koncesyjną z tej samej ustawy za daninę mimo „dobrowolności” ubiegania się o koncesję i mimo określenia jej elementów w rozporządzeniu, co obala dwa argumenty URE naraz; (d) URE sam opisuje wniosek 1 jako dotyczący „sposobu uiszczania opłaty”, a powołane przez URE orzeczenia SN obejmują „uiszczanie”; (e) URE przyznaje w odpowiedzi, że od wykładni § 9 i § 10 zależy konieczność ponownego uiszczenia opłaty.</w:t>
      </w:r>
    </w:p>
    <w:p>
      <w:pPr>
        <w:numPr>
          <w:ilvl w:val="0"/>
          <w:numId w:val="1003"/>
        </w:numPr>
      </w:pPr>
      <w:r>
        <w:t xml:space="preserve">Realistyczny scenariusz: największa szansa na uchylenie postanowienia co do pkt 1 sentencji (§ 14 ust. 3). Uchylenie w całości wymaga przyjęcia przez sąd szerszej wykładni „przepisów, z których wynika obowiązek świadczenia daniny”.</w:t>
      </w:r>
    </w:p>
    <w:p>
      <w:pPr>
        <w:numPr>
          <w:ilvl w:val="0"/>
          <w:numId w:val="1003"/>
        </w:numPr>
      </w:pPr>
      <w:r>
        <w:t xml:space="preserve">Skutek uchylenia: sprawa wraca do Prezesa URE, który musi rozpoznać wniosek merytorycznie (decyzja z art. 34 ust. 5 PP). URE może wydać interpretację negatywną (stanowisko SEEP nieprawidłowe); wtedy przysługuje odwołanie do SOKiK. Wygrana w XVII Amz 74/26 otwiera drogę, nie przesądza wyniku.</w:t>
      </w:r>
    </w:p>
    <w:p>
      <w:pPr>
        <w:numPr>
          <w:ilvl w:val="0"/>
          <w:numId w:val="1003"/>
        </w:numPr>
      </w:pPr>
      <w:r>
        <w:t xml:space="preserve">Ścieżki równoległe, niezależne od wyniku zażalenia: (a) wystąpienie do Rzecznika Małych i Średnich Przedsiębiorców z wnioskiem, aby wystąpił do Ministra Klimatu i Środowiska o objaśnienia prawne co do § 9, § 10 i § 14 rozporządzenia (art. 33 ust. 1 PP; objaśnienia wydaje właściwy minister z urzędu lub na wniosek Rzecznika MŚP; zastosowanie się do nich chroni przedsiębiorcę); (b) wystąpienie branżowe (SEP, inne stowarzyszenia z komisjami) do MKiŚ o doprecyzowanie § 9 ust. 2, § 10 ust. 3 i § 14 ust. 3 w drodze nowelizacji; (c) Rzecznik MŚP może także przystąpić do postępowania przed SOKiK na prawach prokuratora, co warto rozważyć przed posiedzeniem.</w:t>
      </w:r>
    </w:p>
    <w:bookmarkEnd w:id="22"/>
    <w:bookmarkStart w:id="23" w:name="X9c6b053ed56de4fa44eee98107b3b66bf3a7f46"/>
    <w:p>
      <w:pPr>
        <w:pStyle w:val="Heading2"/>
      </w:pPr>
      <w:r>
        <w:t xml:space="preserve">IV. Weryfikacje w LEX/Legalis przed wysyłką</w:t>
      </w:r>
    </w:p>
    <w:p>
      <w:pPr>
        <w:pStyle w:val="FirstParagraph"/>
      </w:pPr>
      <w:r>
        <w:t xml:space="preserve">W tej sesji bazy ISAP, ELI, SAOS, CBOSA, SN i TK były niedostępne; teksty przepisów i tezy orzeczeń potwierdzano wyłącznie przez wyszukiwarkę. Przed wysyłką sprawdzić: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Wyrok TK z 7.08.2025 r., SK 55/22</w:t>
      </w:r>
      <w:r>
        <w:t xml:space="preserve"> </w:t>
      </w:r>
      <w:r>
        <w:t xml:space="preserve">(opłata koncesyjna, art. 64 ust. 3 w zw. z art. 217 Konstytucji). Potwierdzić sentencję i fragmenty uzasadnienia o charakterze opłaty koncesyjnej jako daniny; jeżeli TK wprost wypowiedział się o cechach daniny (przymusowość, odpłatność), zacytować w pkt 7–8 repliki. Ustalić publikator (Dz.U. 2025 poz. ●).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Wyrok TK z 10.12.2002 r., P 6/02</w:t>
      </w:r>
      <w:r>
        <w:t xml:space="preserve"> </w:t>
      </w:r>
      <w:r>
        <w:t xml:space="preserve">(opłaty za parkowanie). Potwierdzić dosłowne brzmienie cytatu w pkt 6 repliki („opłata jest daniną publicznoprawną charakteryzującą się cechami podobnymi do podatku i cła…”) i publikator (Dz.U. 2002 nr 214 poz. 1816; OTK ZU 2002/7A/91 – do potwierdzenia).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Wyrok TK z 17.01.2006 r., U 6/04</w:t>
      </w:r>
      <w:r>
        <w:t xml:space="preserve"> </w:t>
      </w:r>
      <w:r>
        <w:t xml:space="preserve">(opłata za kartę pojazdu) i</w:t>
      </w:r>
      <w:r>
        <w:t xml:space="preserve"> </w:t>
      </w:r>
      <w:r>
        <w:rPr>
          <w:bCs/>
          <w:b/>
        </w:rPr>
        <w:t xml:space="preserve">wyrok TK z 19.07.2011 r., P 9/09</w:t>
      </w:r>
      <w:r>
        <w:t xml:space="preserve"> </w:t>
      </w:r>
      <w:r>
        <w:t xml:space="preserve">(opłata koncesyjna KRRiT, Dz.U. 2011 nr 160 poz. 963). Potwierdzić tezy, na które powołuje się replika: opłata jako danina niepodatkowa objęta art. 217; związek wysokości opłaty z kosztem czynności.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Wyrok NSA z 19.01.2022 r., II GSK 2542/21.</w:t>
      </w:r>
      <w:r>
        <w:t xml:space="preserve"> </w:t>
      </w:r>
      <w:r>
        <w:t xml:space="preserve">Według dostępnego omówienia sprawa dotyczyła wniosku do starosty (wydział komunikacji) i obowiązków niepieniężnych. Potwierdzić stan faktyczny; pkt 10 repliki zakłada, że chodziło o nakazy i zakazy, nie o opłatę. Jeżeli sprawa dotyczyła opłaty, przeredagować pkt 10.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Wyrok WSA w Warszawie z 19.04.2021 r., VI SA/Wa 2663/20</w:t>
      </w:r>
      <w:r>
        <w:t xml:space="preserve"> </w:t>
      </w:r>
      <w:r>
        <w:t xml:space="preserve">(LEX nr 3209175). Potwierdzono przez omówienia: art. 86a Prawa farmaceutycznego, zakaz odwróconej dystrybucji, wyrok nieprawomocny w chwili publikacji omówienia. Sprawdzić, czy NSA utrzymał wyrok (sygnatura kasacyjna) i czy w uzasadnieniu nie ma zdania o „odpłatności za uzyskanie uprawnień zawodowych”, które URE przypisuje sądowi.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Wyroki NSA: II GSK 3556/15 (29.09.2017), II GSK 999/13 (9.09.2014), II GSK 1624/14 (16.09.2014).</w:t>
      </w:r>
      <w:r>
        <w:t xml:space="preserve"> </w:t>
      </w:r>
      <w:r>
        <w:t xml:space="preserve">Nie odnaleziono treści. Pkt 10 i 19 repliki opierają się na sposobie, w jaki cytuje je URE. Sprawdzić, czy II GSK 999/13 i II GSK 1624/14 rzeczywiście dotyczyły „porad” co do działalności gospodarczej (tak twierdzi URE na s. 9 odpowiedzi) i czy nie zawierają tez wprost niekorzystnych (np. że odmowa z art. 61a jest właściwa zawsze, gdy organ uzna przepis za niedaninowy).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Wyroki SN: III UK 72/14 (18.12.2014), II UK 79/14 i II UK 136/14 (12.03.2015).</w:t>
      </w:r>
      <w:r>
        <w:t xml:space="preserve"> </w:t>
      </w:r>
      <w:r>
        <w:t xml:space="preserve">Potwierdzić cytat o „przepisach kształtujących obowiązki płatników (…) ustalania, obliczania i uiszczania (opłacania)” użyty w pkt 11 i 14 repliki. Cytat pochodzi z postanowienia URE; sprawdzić, czy SN nie zastrzegł, że chodzi wyłącznie o składki.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Postanowienie SOKiK z 13.12.2022 r., XVII Amz 9/22.</w:t>
      </w:r>
      <w:r>
        <w:t xml:space="preserve"> </w:t>
      </w:r>
      <w:r>
        <w:t xml:space="preserve">Nie odnaleziono. Sprawdzić w Portalu Orzeczeń SO Warszawa, czego dotyczyło i czy sąd nie wypowiedział się o opłatach pobieranych przez podmioty niepubliczne.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Art. 34 PP</w:t>
      </w:r>
      <w:r>
        <w:t xml:space="preserve"> </w:t>
      </w:r>
      <w:r>
        <w:t xml:space="preserve">– numeracja ustępów dotyczących terminu 30 dni i „milczącej interpretacji” (pkt 20 repliki powołuje je bez numeru); art. 34 ust. 5 (decyzja), art. 35 ust. 1 i 2 (skutki ochronne, związanie organu); art. 33 ust. 1 (objaśnienia prawne, Rzecznik MŚP).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Art. 54 PE</w:t>
      </w:r>
      <w:r>
        <w:t xml:space="preserve"> </w:t>
      </w:r>
      <w:r>
        <w:t xml:space="preserve">po ustawach z 13.03.2026 r. (Dz.U. poz. 516) i 11.06.2026 r. (Dz.U. poz. 900): ust. 1, 1a (powtarzanie co 5 lat), 2 (zakaz zatrudniania), 3 pkt 1 lit. b, 4, 5 (przychód jednostki), 7 pkt 4 i 5 (delegacja: jednostki, przy których powołuje się komisje; wysokość i tryb uiszczania opłat).</w:t>
      </w:r>
      <w:r>
        <w:t xml:space="preserve"> </w:t>
      </w:r>
      <w:r>
        <w:rPr>
          <w:bCs/>
          <w:b/>
        </w:rPr>
        <w:t xml:space="preserve">Art. 56 ust. 1 PE</w:t>
      </w:r>
      <w:r>
        <w:t xml:space="preserve"> </w:t>
      </w:r>
      <w:r>
        <w:t xml:space="preserve">– numer punktu dotyczącego kary za zatrudnianie osób bez kwalifikacji (w replice powołano ustęp bez punktu).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Rozporządzenie Dz.U. 2022 poz. 1392</w:t>
      </w:r>
      <w:r>
        <w:t xml:space="preserve"> </w:t>
      </w:r>
      <w:r>
        <w:t xml:space="preserve">– § 7 ust. 4 pkt 2 (potwierdzenie uiszczenia opłaty), § 12 ust. 3 (zwrot opłaty), § 14 ust. 1 i 3. Numery przyjęto za odpowiedzią URE; potwierdzić w tekście Dz.U. Sprawdzić, czy rozporządzenie nie było zmieniane po 1.07.2022 r.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Art. 12 Prawa budowlanego</w:t>
      </w:r>
      <w:r>
        <w:t xml:space="preserve"> </w:t>
      </w:r>
      <w:r>
        <w:t xml:space="preserve">– ustępy o opłacie za postępowanie kwalifikacyjne wnoszonej na rzecz izby samorządu zawodowego (pkt 9 repliki powołuje art. 12 bez ustępu; jeżeli to ust. 5a–5c, dopisać).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K.p.c.:</w:t>
      </w:r>
      <w:r>
        <w:t xml:space="preserve"> </w:t>
      </w:r>
      <w:r>
        <w:t xml:space="preserve">art. 205³ § 1 i § 5 (zwrot pisma złożonego bez zarządzenia – brzmienie potwierdzone przez dwa serwisy), art. 205⁵ (obowiązek udziału w posiedzeniu przygotowawczym, skutek niestawiennictwa powoda), art. 148¹ § 1 i 3, art. 479⁵⁵ (odesłanie do art. 479³² § 1 i art. 479⁴⁷–479⁵³ – potwierdzone przez orzecznictwo SN), art. 479⁵³ § 1, art. 132 § 1.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Art. 61a § 1 k.p.a. – „oczywistość” przeszkody.</w:t>
      </w:r>
      <w:r>
        <w:t xml:space="preserve"> </w:t>
      </w:r>
      <w:r>
        <w:t xml:space="preserve">Pkt 19 repliki powołuje linię orzeczniczą bez sygnatury. Dobrać jeden lub dwa wyroki NSA z tezą, że odmowa wszczęcia postępowania może nastąpić tylko w sytuacjach oczywistych, niewymagających analizy sprawy.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Opcjonalnie:</w:t>
      </w:r>
      <w:r>
        <w:t xml:space="preserve"> </w:t>
      </w:r>
      <w:r>
        <w:t xml:space="preserve">wyrok NSA w sprawie interpretacji przepisów o schematach podatkowych (MDR) jako przykład, że interpretacja może obejmować przepisy proceduralno-dokumentacyjne związane z daniną (sygnatura do ustalenia, orientacyjnie I FSK 1703/20 z 28.01.2021 r.). Jeżeli potwierdzona, można dodać do pkt 14 repliki jako „por.”.</w:t>
      </w:r>
    </w:p>
    <w:bookmarkEnd w:id="23"/>
    <w:bookmarkStart w:id="24" w:name="v.-fakty-do-uzupełnienia-w-piśmie"/>
    <w:p>
      <w:pPr>
        <w:pStyle w:val="Heading2"/>
      </w:pPr>
      <w:r>
        <w:t xml:space="preserve">V. Fakty do uzupełnienia w piśmie</w:t>
      </w:r>
    </w:p>
    <w:p>
      <w:pPr>
        <w:numPr>
          <w:ilvl w:val="0"/>
          <w:numId w:val="1005"/>
        </w:numPr>
        <w:pStyle w:val="Compact"/>
      </w:pPr>
      <w:r>
        <w:t xml:space="preserve">Numer komisji kwalifikacyjnej działającej przy SEEP (pkt 5 petitum).</w:t>
      </w:r>
    </w:p>
    <w:p>
      <w:pPr>
        <w:numPr>
          <w:ilvl w:val="0"/>
          <w:numId w:val="1005"/>
        </w:numPr>
        <w:pStyle w:val="Compact"/>
      </w:pPr>
      <w:r>
        <w:t xml:space="preserve">Daty i znaki pism nadzorczych URE (pkt 5 petitum), jeżeli wniosek dowodowy zostanie utrzymany.</w:t>
      </w:r>
    </w:p>
    <w:p>
      <w:pPr>
        <w:numPr>
          <w:ilvl w:val="0"/>
          <w:numId w:val="1005"/>
        </w:numPr>
        <w:pStyle w:val="Compact"/>
      </w:pPr>
      <w:r>
        <w:t xml:space="preserve">Data doręczenia odpisu odpowiedzi na zażalenie (pierwszy akapit pisma), jeżeli zarząd chce ją wskazać; można pominąć.</w:t>
      </w:r>
    </w:p>
    <w:p>
      <w:pPr>
        <w:numPr>
          <w:ilvl w:val="0"/>
          <w:numId w:val="1005"/>
        </w:numPr>
        <w:pStyle w:val="Compact"/>
      </w:pPr>
      <w:r>
        <w:t xml:space="preserve">Osoba podpisująca i forma umocowania.</w:t>
      </w:r>
    </w:p>
    <w:bookmarkEnd w:id="24"/>
    <w:bookmarkStart w:id="44" w:name="Xde1a36f492851bd4a8d8e30e58ead91c5d5f56f"/>
    <w:p>
      <w:pPr>
        <w:pStyle w:val="Heading2"/>
      </w:pPr>
      <w:r>
        <w:t xml:space="preserve">VI. Źródła wykorzystane przy weryfikacji (dostępne przez wyszukiwarkę)</w:t>
      </w:r>
    </w:p>
    <w:p>
      <w:pPr>
        <w:numPr>
          <w:ilvl w:val="0"/>
          <w:numId w:val="1006"/>
        </w:numPr>
        <w:pStyle w:val="Compact"/>
      </w:pPr>
      <w:hyperlink r:id="rId25">
        <w:r>
          <w:rPr>
            <w:rStyle w:val="Hyperlink"/>
          </w:rPr>
          <w:t xml:space="preserve">TK, komunikat przed rozprawą w sprawie SK 55/22</w:t>
        </w:r>
      </w:hyperlink>
    </w:p>
    <w:p>
      <w:pPr>
        <w:numPr>
          <w:ilvl w:val="0"/>
          <w:numId w:val="1006"/>
        </w:numPr>
        <w:pStyle w:val="Compact"/>
      </w:pPr>
      <w:hyperlink r:id="rId26">
        <w:r>
          <w:rPr>
            <w:rStyle w:val="Hyperlink"/>
          </w:rPr>
          <w:t xml:space="preserve">CBE Polska – omówienie wyroku SK 55/22</w:t>
        </w:r>
      </w:hyperlink>
    </w:p>
    <w:p>
      <w:pPr>
        <w:numPr>
          <w:ilvl w:val="0"/>
          <w:numId w:val="1006"/>
        </w:numPr>
        <w:pStyle w:val="Compact"/>
      </w:pPr>
      <w:hyperlink r:id="rId27">
        <w:r>
          <w:rPr>
            <w:rStyle w:val="Hyperlink"/>
          </w:rPr>
          <w:t xml:space="preserve">CWW – alert o wyroku SK 55/22</w:t>
        </w:r>
      </w:hyperlink>
    </w:p>
    <w:p>
      <w:pPr>
        <w:numPr>
          <w:ilvl w:val="0"/>
          <w:numId w:val="1006"/>
        </w:numPr>
        <w:pStyle w:val="Compact"/>
      </w:pPr>
      <w:hyperlink r:id="rId28">
        <w:r>
          <w:rPr>
            <w:rStyle w:val="Hyperlink"/>
          </w:rPr>
          <w:t xml:space="preserve">Gramwzielone – skutki wyroku SK 55/22</w:t>
        </w:r>
      </w:hyperlink>
    </w:p>
    <w:p>
      <w:pPr>
        <w:numPr>
          <w:ilvl w:val="0"/>
          <w:numId w:val="1006"/>
        </w:numPr>
        <w:pStyle w:val="Compact"/>
      </w:pPr>
      <w:hyperlink r:id="rId29">
        <w:r>
          <w:rPr>
            <w:rStyle w:val="Hyperlink"/>
          </w:rPr>
          <w:t xml:space="preserve">Wyrok TK P 9/09 – Dz.U. 2011 poz. 963 (ELI)</w:t>
        </w:r>
      </w:hyperlink>
    </w:p>
    <w:p>
      <w:pPr>
        <w:numPr>
          <w:ilvl w:val="0"/>
          <w:numId w:val="1006"/>
        </w:numPr>
        <w:pStyle w:val="Compact"/>
      </w:pPr>
      <w:hyperlink r:id="rId30">
        <w:r>
          <w:rPr>
            <w:rStyle w:val="Hyperlink"/>
          </w:rPr>
          <w:t xml:space="preserve">Infor – omówienie wyroku P 9/09</w:t>
        </w:r>
      </w:hyperlink>
    </w:p>
    <w:p>
      <w:pPr>
        <w:numPr>
          <w:ilvl w:val="0"/>
          <w:numId w:val="1006"/>
        </w:numPr>
        <w:pStyle w:val="Compact"/>
      </w:pPr>
      <w:hyperlink r:id="rId31">
        <w:r>
          <w:rPr>
            <w:rStyle w:val="Hyperlink"/>
          </w:rPr>
          <w:t xml:space="preserve">Wyrok TK P 6/02 – Dz.U. 2002 poz. 1816 (ELI)</w:t>
        </w:r>
      </w:hyperlink>
    </w:p>
    <w:p>
      <w:pPr>
        <w:numPr>
          <w:ilvl w:val="0"/>
          <w:numId w:val="1006"/>
        </w:numPr>
        <w:pStyle w:val="Compact"/>
      </w:pPr>
      <w:hyperlink r:id="rId32">
        <w:r>
          <w:rPr>
            <w:rStyle w:val="Hyperlink"/>
          </w:rPr>
          <w:t xml:space="preserve">SAOS – P 6/02</w:t>
        </w:r>
      </w:hyperlink>
    </w:p>
    <w:p>
      <w:pPr>
        <w:numPr>
          <w:ilvl w:val="0"/>
          <w:numId w:val="1006"/>
        </w:numPr>
        <w:pStyle w:val="Compact"/>
      </w:pPr>
      <w:hyperlink r:id="rId33">
        <w:r>
          <w:rPr>
            <w:rStyle w:val="Hyperlink"/>
          </w:rPr>
          <w:t xml:space="preserve">mgr.farm – sprawa VI SA/Wa 2663/20 (art. 86a Prawa farmaceutycznego)</w:t>
        </w:r>
      </w:hyperlink>
    </w:p>
    <w:p>
      <w:pPr>
        <w:numPr>
          <w:ilvl w:val="0"/>
          <w:numId w:val="1006"/>
        </w:numPr>
        <w:pStyle w:val="Compact"/>
      </w:pPr>
      <w:hyperlink r:id="rId34">
        <w:r>
          <w:rPr>
            <w:rStyle w:val="Hyperlink"/>
          </w:rPr>
          <w:t xml:space="preserve">Repozytorium UR – „Zakaz tzw. odwróconej dystrybucji leków daniną publiczną?”</w:t>
        </w:r>
      </w:hyperlink>
    </w:p>
    <w:p>
      <w:pPr>
        <w:numPr>
          <w:ilvl w:val="0"/>
          <w:numId w:val="1006"/>
        </w:numPr>
        <w:pStyle w:val="Compact"/>
      </w:pPr>
      <w:hyperlink r:id="rId35">
        <w:r>
          <w:rPr>
            <w:rStyle w:val="Hyperlink"/>
          </w:rPr>
          <w:t xml:space="preserve">Warto Wiedzieć – omówienie II GSK 2542/21 (wydział komunikacji)</w:t>
        </w:r>
      </w:hyperlink>
    </w:p>
    <w:p>
      <w:pPr>
        <w:numPr>
          <w:ilvl w:val="0"/>
          <w:numId w:val="1006"/>
        </w:numPr>
        <w:pStyle w:val="Compact"/>
      </w:pPr>
      <w:hyperlink r:id="rId36">
        <w:r>
          <w:rPr>
            <w:rStyle w:val="Hyperlink"/>
          </w:rPr>
          <w:t xml:space="preserve">Standardy Prawa – art. 205³ k.p.c.</w:t>
        </w:r>
      </w:hyperlink>
    </w:p>
    <w:p>
      <w:pPr>
        <w:numPr>
          <w:ilvl w:val="0"/>
          <w:numId w:val="1006"/>
        </w:numPr>
        <w:pStyle w:val="Compact"/>
      </w:pPr>
      <w:hyperlink r:id="rId37">
        <w:r>
          <w:rPr>
            <w:rStyle w:val="Hyperlink"/>
          </w:rPr>
          <w:t xml:space="preserve">ArsLege – art. 205³ k.p.c.</w:t>
        </w:r>
      </w:hyperlink>
    </w:p>
    <w:p>
      <w:pPr>
        <w:numPr>
          <w:ilvl w:val="0"/>
          <w:numId w:val="1006"/>
        </w:numPr>
        <w:pStyle w:val="Compact"/>
      </w:pPr>
      <w:hyperlink r:id="rId38">
        <w:r>
          <w:rPr>
            <w:rStyle w:val="Hyperlink"/>
          </w:rPr>
          <w:t xml:space="preserve">SN, I NZ 44/25 – odesłanie z art. 479⁵⁵ k.p.c.</w:t>
        </w:r>
      </w:hyperlink>
    </w:p>
    <w:p>
      <w:pPr>
        <w:numPr>
          <w:ilvl w:val="0"/>
          <w:numId w:val="1006"/>
        </w:numPr>
        <w:pStyle w:val="Compact"/>
      </w:pPr>
      <w:hyperlink r:id="rId39">
        <w:r>
          <w:rPr>
            <w:rStyle w:val="Hyperlink"/>
          </w:rPr>
          <w:t xml:space="preserve">ArsLege – art. 54 Prawa energetycznego</w:t>
        </w:r>
      </w:hyperlink>
    </w:p>
    <w:p>
      <w:pPr>
        <w:numPr>
          <w:ilvl w:val="0"/>
          <w:numId w:val="1006"/>
        </w:numPr>
        <w:pStyle w:val="Compact"/>
      </w:pPr>
      <w:hyperlink r:id="rId40">
        <w:r>
          <w:rPr>
            <w:rStyle w:val="Hyperlink"/>
          </w:rPr>
          <w:t xml:space="preserve">ArsLege – art. 34 Prawa przedsiębiorców</w:t>
        </w:r>
      </w:hyperlink>
    </w:p>
    <w:p>
      <w:pPr>
        <w:numPr>
          <w:ilvl w:val="0"/>
          <w:numId w:val="1006"/>
        </w:numPr>
        <w:pStyle w:val="Compact"/>
      </w:pPr>
      <w:hyperlink r:id="rId41">
        <w:r>
          <w:rPr>
            <w:rStyle w:val="Hyperlink"/>
          </w:rPr>
          <w:t xml:space="preserve">Rozporządzenie Dz.U. 2022 poz. 1392 (ELI)</w:t>
        </w:r>
      </w:hyperlink>
    </w:p>
    <w:p>
      <w:pPr>
        <w:numPr>
          <w:ilvl w:val="0"/>
          <w:numId w:val="1006"/>
        </w:numPr>
        <w:pStyle w:val="Compact"/>
      </w:pPr>
      <w:hyperlink r:id="rId42">
        <w:r>
          <w:rPr>
            <w:rStyle w:val="Hyperlink"/>
          </w:rPr>
          <w:t xml:space="preserve">URE – komisje kwalifikacyjne</w:t>
        </w:r>
      </w:hyperlink>
    </w:p>
    <w:p>
      <w:pPr>
        <w:numPr>
          <w:ilvl w:val="0"/>
          <w:numId w:val="1006"/>
        </w:numPr>
        <w:pStyle w:val="Compact"/>
      </w:pPr>
      <w:hyperlink r:id="rId43">
        <w:r>
          <w:rPr>
            <w:rStyle w:val="Hyperlink"/>
          </w:rPr>
          <w:t xml:space="preserve">Warto Wiedzieć – „uzasadnione przesłanki” odmowy wszczęcia postępowania (art. 61a k.p.a.)</w:t>
        </w:r>
      </w:hyperlink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arslege.pl/kodeks-postepowania-cywilnego/k14/a123349/" TargetMode="External" /><Relationship Type="http://schemas.openxmlformats.org/officeDocument/2006/relationships/hyperlink" Id="rId39" Target="https://arslege.pl/prawo-energetyczne/k257/a23893/" TargetMode="External" /><Relationship Type="http://schemas.openxmlformats.org/officeDocument/2006/relationships/hyperlink" Id="rId40" Target="https://arslege.pl/wniosek-o-wydanie-interpretacji-indywidualnej/k1697/a110849/" TargetMode="External" /><Relationship Type="http://schemas.openxmlformats.org/officeDocument/2006/relationships/hyperlink" Id="rId26" Target="https://cbepolska.pl/zwrot-oplaty-koncesyjnej-w-zwiazku-z-wyrokiem-tk-sk-55-22/" TargetMode="External" /><Relationship Type="http://schemas.openxmlformats.org/officeDocument/2006/relationships/hyperlink" Id="rId31" Target="https://eli.gov.pl/eli/DU/2002/1816/ogl" TargetMode="External" /><Relationship Type="http://schemas.openxmlformats.org/officeDocument/2006/relationships/hyperlink" Id="rId29" Target="https://eli.gov.pl/eli/DU/2011/963/ogl" TargetMode="External" /><Relationship Type="http://schemas.openxmlformats.org/officeDocument/2006/relationships/hyperlink" Id="rId41" Target="https://eli.gov.pl/eli/DU/2022/1392/ogl" TargetMode="External" /><Relationship Type="http://schemas.openxmlformats.org/officeDocument/2006/relationships/hyperlink" Id="rId33" Target="https://mgr.farm/aktualnosci/minister-odmowil-interpretacji-przepisow-apteka-poszla-do-sadu/" TargetMode="External" /><Relationship Type="http://schemas.openxmlformats.org/officeDocument/2006/relationships/hyperlink" Id="rId34" Target="https://repozytorium.ur.edu.pl/bitstreams/c7aaf136-3add-4b00-9f5e-0264a3f07e8a/download" TargetMode="External" /><Relationship Type="http://schemas.openxmlformats.org/officeDocument/2006/relationships/hyperlink" Id="rId36" Target="https://standardyprawa.pl/akt/76/art/24330" TargetMode="External" /><Relationship Type="http://schemas.openxmlformats.org/officeDocument/2006/relationships/hyperlink" Id="rId25" Target="https://trybunal.gov.pl/postepowanie-i-orzeczenia/komunikaty-prasowe/komunikaty-przed/art/okreslenie-podstawy-sposobu-obliczenia-oraz-wysokosci-oplaty-koncesyjnej-wnoszonej-przez-przedsiebiorstwo-energetyczne-2" TargetMode="External" /><Relationship Type="http://schemas.openxmlformats.org/officeDocument/2006/relationships/hyperlink" Id="rId35" Target="https://wartowiedziec.pl/komunikacja-i-transport/66259-interpretacja-przepisow-przez-wydzial-komunikacji" TargetMode="External" /><Relationship Type="http://schemas.openxmlformats.org/officeDocument/2006/relationships/hyperlink" Id="rId43" Target="https://wartowiedziec.pl/serwis-glowny/aktualnosci/52279-uzasadnione-przeslanki-odmowy-wszczecia-postepowania" TargetMode="External" /><Relationship Type="http://schemas.openxmlformats.org/officeDocument/2006/relationships/hyperlink" Id="rId27" Target="https://www.cww.pl/aktualnosci/alert-cww-wyrok-tk-w-sprawie-sk-55-22-konsekwencje-dla-oplat-koncesyjnych-w-sektorze-energetycznym-2/" TargetMode="External" /><Relationship Type="http://schemas.openxmlformats.org/officeDocument/2006/relationships/hyperlink" Id="rId28" Target="https://www.gramwzielone.pl/trendy/20343416/wyrok-tk-otwiera-droge-do-zwrotu-oplat-koncesyjnych-dla-wytworcow-energii" TargetMode="External" /><Relationship Type="http://schemas.openxmlformats.org/officeDocument/2006/relationships/hyperlink" Id="rId30" Target="https://www.infor.pl/prawo/konstytucja/trybunal-konstytucyjny/309588,TK-Okreslanie-wysokosci-oplaty-koncesyjnej-przez-KRRiT.html" TargetMode="External" /><Relationship Type="http://schemas.openxmlformats.org/officeDocument/2006/relationships/hyperlink" Id="rId32" Target="https://www.saos.org.pl/judgments/106044" TargetMode="External" /><Relationship Type="http://schemas.openxmlformats.org/officeDocument/2006/relationships/hyperlink" Id="rId38" Target="https://www.sn.pl/sites/orzecznictwo/Orzeczenia3/I%20NZ%2044-25.pdf" TargetMode="External" /><Relationship Type="http://schemas.openxmlformats.org/officeDocument/2006/relationships/hyperlink" Id="rId42" Target="https://www.ure.gov.pl/pl/biznes/komisje-kwalifikacyj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rslege.pl/kodeks-postepowania-cywilnego/k14/a123349/" TargetMode="External" /><Relationship Type="http://schemas.openxmlformats.org/officeDocument/2006/relationships/hyperlink" Id="rId39" Target="https://arslege.pl/prawo-energetyczne/k257/a23893/" TargetMode="External" /><Relationship Type="http://schemas.openxmlformats.org/officeDocument/2006/relationships/hyperlink" Id="rId40" Target="https://arslege.pl/wniosek-o-wydanie-interpretacji-indywidualnej/k1697/a110849/" TargetMode="External" /><Relationship Type="http://schemas.openxmlformats.org/officeDocument/2006/relationships/hyperlink" Id="rId26" Target="https://cbepolska.pl/zwrot-oplaty-koncesyjnej-w-zwiazku-z-wyrokiem-tk-sk-55-22/" TargetMode="External" /><Relationship Type="http://schemas.openxmlformats.org/officeDocument/2006/relationships/hyperlink" Id="rId31" Target="https://eli.gov.pl/eli/DU/2002/1816/ogl" TargetMode="External" /><Relationship Type="http://schemas.openxmlformats.org/officeDocument/2006/relationships/hyperlink" Id="rId29" Target="https://eli.gov.pl/eli/DU/2011/963/ogl" TargetMode="External" /><Relationship Type="http://schemas.openxmlformats.org/officeDocument/2006/relationships/hyperlink" Id="rId41" Target="https://eli.gov.pl/eli/DU/2022/1392/ogl" TargetMode="External" /><Relationship Type="http://schemas.openxmlformats.org/officeDocument/2006/relationships/hyperlink" Id="rId33" Target="https://mgr.farm/aktualnosci/minister-odmowil-interpretacji-przepisow-apteka-poszla-do-sadu/" TargetMode="External" /><Relationship Type="http://schemas.openxmlformats.org/officeDocument/2006/relationships/hyperlink" Id="rId34" Target="https://repozytorium.ur.edu.pl/bitstreams/c7aaf136-3add-4b00-9f5e-0264a3f07e8a/download" TargetMode="External" /><Relationship Type="http://schemas.openxmlformats.org/officeDocument/2006/relationships/hyperlink" Id="rId36" Target="https://standardyprawa.pl/akt/76/art/24330" TargetMode="External" /><Relationship Type="http://schemas.openxmlformats.org/officeDocument/2006/relationships/hyperlink" Id="rId25" Target="https://trybunal.gov.pl/postepowanie-i-orzeczenia/komunikaty-prasowe/komunikaty-przed/art/okreslenie-podstawy-sposobu-obliczenia-oraz-wysokosci-oplaty-koncesyjnej-wnoszonej-przez-przedsiebiorstwo-energetyczne-2" TargetMode="External" /><Relationship Type="http://schemas.openxmlformats.org/officeDocument/2006/relationships/hyperlink" Id="rId35" Target="https://wartowiedziec.pl/komunikacja-i-transport/66259-interpretacja-przepisow-przez-wydzial-komunikacji" TargetMode="External" /><Relationship Type="http://schemas.openxmlformats.org/officeDocument/2006/relationships/hyperlink" Id="rId43" Target="https://wartowiedziec.pl/serwis-glowny/aktualnosci/52279-uzasadnione-przeslanki-odmowy-wszczecia-postepowania" TargetMode="External" /><Relationship Type="http://schemas.openxmlformats.org/officeDocument/2006/relationships/hyperlink" Id="rId27" Target="https://www.cww.pl/aktualnosci/alert-cww-wyrok-tk-w-sprawie-sk-55-22-konsekwencje-dla-oplat-koncesyjnych-w-sektorze-energetycznym-2/" TargetMode="External" /><Relationship Type="http://schemas.openxmlformats.org/officeDocument/2006/relationships/hyperlink" Id="rId28" Target="https://www.gramwzielone.pl/trendy/20343416/wyrok-tk-otwiera-droge-do-zwrotu-oplat-koncesyjnych-dla-wytworcow-energii" TargetMode="External" /><Relationship Type="http://schemas.openxmlformats.org/officeDocument/2006/relationships/hyperlink" Id="rId30" Target="https://www.infor.pl/prawo/konstytucja/trybunal-konstytucyjny/309588,TK-Okreslanie-wysokosci-oplaty-koncesyjnej-przez-KRRiT.html" TargetMode="External" /><Relationship Type="http://schemas.openxmlformats.org/officeDocument/2006/relationships/hyperlink" Id="rId32" Target="https://www.saos.org.pl/judgments/106044" TargetMode="External" /><Relationship Type="http://schemas.openxmlformats.org/officeDocument/2006/relationships/hyperlink" Id="rId38" Target="https://www.sn.pl/sites/orzecznictwo/Orzeczenia3/I%20NZ%2044-25.pdf" TargetMode="External" /><Relationship Type="http://schemas.openxmlformats.org/officeDocument/2006/relationships/hyperlink" Id="rId42" Target="https://www.ure.gov.pl/pl/biznes/komisje-kwalifikacyj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2026-10-29T13:31:35Z</dcterms:created>
  <dcterms:modified xsi:type="dcterms:W3CDTF">2026-10-29T13:31:35Z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