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sz w:val="24"/>
        </w:rPr>
        <w:t>Do ustalenia przed wysyłką odpowiedzi na wezwanie INBG Sp. z o.o. (projekt v2)</w:t>
      </w:r>
    </w:p>
    <w:p>
      <w:pPr>
        <w:spacing w:after="240"/>
      </w:pPr>
      <w:r>
        <w:rPr>
          <w:rFonts w:ascii="Calibri" w:hAnsi="Calibri"/>
          <w:b w:val="0"/>
          <w:sz w:val="24"/>
        </w:rPr>
        <w:t>Sprawa Gorder / INBG. Stan na 29 października 2026 r. Dokument wewnętrzny. Pozycje 1–6 warunkują treść pisma; pozycje 7–12 dotyczą podpisu, wysyłki i terminu.</w:t>
      </w:r>
    </w:p>
    <w:p>
      <w:r>
        <w:rPr>
          <w:rFonts w:ascii="Calibri" w:hAnsi="Calibri"/>
          <w:b/>
          <w:sz w:val="24"/>
        </w:rPr>
        <w:t>I. Ustalenia warunkujące treść pisma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Regulamin serwisu ekck.pl i formularz zgłoszeniowy z 16 września 2026 r.: kto jest w nich wskazany jako usługodawca; czy usługa obejmuje egzamin i wydanie świadectw; czy są postanowienia o terminach i odpowiedzialności. Jeżeli dokumenty wskazują Stowarzyszenie, pkt I.2–I.4 pisma (brak wskazania stosunku prawnego) staną się nieobronialne i wymagają przeredagowania; wtedy należy rozważyć wariant ugodowy z pkt 7.7 kontekstu sprawy.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Faktura proforma VII/A/2026/09/P007 (tytuł przelewu 575,60 zł): wystawca, nabywca, przedmiot. Kwota nie odpowiada opłacie egzaminacyjnej z art. 54 ust. 4 Prawa energetycznego (480,60 zł w 2026 r.) ani jej dwukrotności. Od treści proformy zależy, czy zdanie o wpłacie w pkt I.2 pisma może pozostać.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Umowa lub porozumienie z komisją kwalifikacyjną: kto zobowiązał się wobec klienta do wydania i przekazania świadectw (art. 474 Kodeksu cywilnego); data faktycznego otrzymania świadectw od komisji (według biura 15 października 2026 r.) z dowodem.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Stan wyjaśnień co do daty 14 września 2026 r. na świadectwach: czy mail do komisji (pkt 7.3 kontekstu) został wysłany. Pkt II.2 pisma zakłada, że wyjaśnienia trwają; jeżeli nic nie wysłano, wysłać przed pismem, bo Gorder żąda pisemnego wyniku i przekazuje sprawę do URE.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Świadectwo z dozoru: czy zostało wysłane. Jeżeli nie, wysłać przed pismem kurierem z potwierdzeniem odbioru na adres z wniosku (ul. Scultetusa 8/11, 59-900 Zgorzelec). Pismo o tym milczy; po wysyłce nie będzie czego wyjaśniać.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Treść strony ekck.pl: czy deklaracja „Uprawnienia wydawane są odbiorcy w 24 godziny po otrzymaniu wpłaty” oraz zdanie „Posiadamy własną Komisję Kwalifikacyjną powołaną przez prezesa URE” zostały usunięte lub poprawione. Zachować zrzuty ekranu przed i po zmianie, z datą. Pkt II.1 pisma zakłada, że sporna treść jest tylko informacją handlową.</w:t>
      </w:r>
    </w:p>
    <w:p>
      <w:r>
        <w:rPr>
          <w:rFonts w:ascii="Calibri" w:hAnsi="Calibri"/>
          <w:b/>
          <w:sz w:val="24"/>
        </w:rPr>
        <w:t>II. Podpis, wysyłka, termin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Umocowanie: pełnomocnictwo Zarządu dla radcy prawnego Łukasza Szymczyka w formie pisemnej (art. 99 § 2 Kodeksu cywilnego) do załączenia, albo podpis Zarządu zgodnie z reprezentacją ujawnioną w KRS. Usunąć nawias w bloku podpisu i w załącznikach.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Data pisma: wpisać dzień wysyłki.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Kanał wysyłki: e-Doręczenia z konta Stowarzyszenia (AE:PL-61286-74017-JBEBH-28) na adres INBG z KRS (AE:PL-73585-44346-TFRIH-19), równolegle e-mail na b.gorder@gorder.pl. List polecony za zwrotnym potwierdzeniem odbioru – decyzja Zarządu; rozdzielnik do uzupełnienia.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Jednolity kanał korespondencji: biuro@ekck.pl nie powinno odpowiadać Gorderowi równolegle; pismo wskazuje adres radcy prawnego i e-Doręczenia jako właściwe.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Termin: wezwanie doręczono najpóźniej 27 października 2026 r. (data skanu); 7 dni upływa około 3 listopada 2026 r. Termin nie wiąże Stowarzyszenia, ale pismo powinno wyjść przed jego upływem, aby INBG nie mogła twierdzić w pozwie, że wezwanie pozostało bez odpowiedzi.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Decyzje redakcyjne: (a) pkt III.3 – czy dodać wzmiankę o zadośćuczynieniu dla osoby prawnej (art. 448 w zw. z art. 43 Kodeksu cywilnego; uchwała SN z 3 października 2023 r., III CZP 22/23); rekomendacja: nie, ponieważ Gorder w wiadomości z 23 października 2026 r. nie powtórzył zapowiedzi publikacji; (b) pkt II.1 – czy pozostawić argument z art. 71 Kodeksu cywilnego; rekomendacja: tak, w obecnym, ostrożnym brzmieniu.</w:t>
      </w:r>
    </w:p>
    <w:p>
      <w:r>
        <w:rPr>
          <w:rFonts w:ascii="Calibri" w:hAnsi="Calibri"/>
          <w:b/>
          <w:sz w:val="24"/>
        </w:rPr>
        <w:t>III. Weryfikacje w LEX/Legalis (z notatki walidacyjnej)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§ 13 ust. 1 rozporządzenia MKiŚ z 1 lipca 2022 r. (Dz.U. poz. 1392) – numer paragrafu i brak zmian do 17 września 2026 r.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Art. 755 § 2 i § 2¹ Kodeksu postępowania cywilnego – aktualne brzmienie.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Art. 54 ust. 3–4 Prawa energetycznego po ustawach z 13 marca 2026 r. (Dz.U. poz. 516) i 11 czerwca 2026 r. (Dz.U. poz. 900); tekst jednolity Dz.U. 2026 poz. 43.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Czy Stowarzyszenie jest wpisane do rejestru przedsiębiorców KRS – decyduje o trybie gospodarczym (art. 458² Kodeksu postępowania cywilnego) i prekluzji dowodowej w odpowiedzi na pozew.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