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sz w:val="24"/>
        </w:rPr>
        <w:t>Notatka wewnętrzna – walidacja prawna pisma z 29 października 2026 r. (odpowiedź na przedsądowe wezwanie INBG Sp. z o.o.)</w:t>
      </w:r>
    </w:p>
    <w:p>
      <w:pPr>
        <w:spacing w:after="240"/>
      </w:pPr>
      <w:r>
        <w:rPr>
          <w:rFonts w:ascii="Calibri" w:hAnsi="Calibri"/>
          <w:b w:val="0"/>
          <w:sz w:val="24"/>
        </w:rPr>
        <w:t>Sprawa Gorder / INBG – świadectwa G3. Stan na 29 października 2026 r. Dokument wewnętrzny, nie do przekazania drugiej stronie.</w:t>
      </w:r>
    </w:p>
    <w:p>
      <w:r>
        <w:rPr>
          <w:rFonts w:ascii="Calibri" w:hAnsi="Calibri"/>
          <w:b/>
          <w:sz w:val="24"/>
        </w:rPr>
        <w:t>I. Zastrzeżenie co do zakresu weryfikacji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1.</w:t>
        <w:tab/>
        <w:t>Weryfikację przeprowadzono na podstawie źródeł dostępnych w sesji (wyszukiwarka). Bezpośredni dostęp do tekstów pierwotnych (ISAP, ELI, api.sejm.gov.pl, lexlege.pl, gov.pl) oraz do strony ekck.pl był zablokowany polityką sieciową środowiska. Tezy oznaczone „do potwierdzenia” należy sprawdzić w LEX/Legalis przed wysyłką pisma lub użyciem w pismach procesowych.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2.</w:t>
        <w:tab/>
        <w:t>Nie stwierdzono, aby którykolwiek z przepisów powołanych w piśmie został uchylony lub zmieniony w sposób wpływający na treść pisma. Nie stwierdzono również zmian Kodeksu postępowania cywilnego w 2025–2026 r. dotyczących art. 730 i art. 755.</w:t>
      </w:r>
    </w:p>
    <w:p>
      <w:r>
        <w:rPr>
          <w:rFonts w:ascii="Calibri" w:hAnsi="Calibri"/>
          <w:b/>
          <w:sz w:val="24"/>
        </w:rPr>
        <w:t>II. Nowe okoliczności wynikające z wiadomości z 23 października 2026 r.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1.</w:t>
        <w:tab/>
        <w:t>Mail do Gordera (plik 01) został wysłany 23 października 2026 r. o 12:46 z adresu lukasz.szymczyk@emobil.org.pl, z podpisem: Łukasz Szymczyk, Dyrektor ds. administracyjnych, Radca Prawny, Stowarzyszenie Elektromobilna Polska; do wiadomości m.drozd@ikzszkolenia.pl. Kwestia otwarta nr 7.1 z kontekstu sprawy jest zamknięta. W stopce podano adres do e-Doręczeń Stowarzyszenia: AE:PL-61286-74017-JBEBH-28.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2.</w:t>
        <w:tab/>
        <w:t>Uwaga redakcyjna: w kliencie poczty numeracja sekcji rozsypała się (sekcje I–III wyświetlają się jako „1.”, „3.”, „5.”, a punkty jako zagnieżdżone listy). Nie ma to znaczenia prawnego, ale w wersji listowej należy zachować numerację rzymską.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3.</w:t>
        <w:tab/>
        <w:t>Gorder odpowiedział 23 października 2026 r. o 13:27 (wiadomość skierowana imiennie do radcy prawnego). Treść: (a) przyjmuje do wiadomości zakwestionowanie roszczenia co do zasady i wysokości; (b) informuje o nadaniu wezwania przedsądowego i podtrzymuje 7-dniowy termin od doręczenia; (c) jako stosunek prawny wskazuje fakt poniesienia kosztu egzaminów przez INBG (dowód przelewu); (d) żąda jednoznacznego wskazania, który podmiot był stroną umowy o szkolenie i egzaminy oraz który odpowiadał za przekazanie świadectw, z uwzględnieniem EKCK, Stowarzyszenia Elektroenergetyków Polskich i komisji; (e) żąda pisemnego wyniku wyjaśnień co do daty 14.09.2026, rzeczywistych dat wystawienia obu świadectw oraz sposobu i terminu wymiany obu świadectw; (f) przyznaje, że termin 21.10.2026 nie wynikał z przepisów prawa; (g) nie powtarza zapowiedzi publikacji ani zawiadomienia Policji; ton wyraźnie złagodzony.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4.</w:t>
        <w:tab/>
        <w:t>Wniosek: pismo z 29 października 2026 r. (plik 03) zostało przygotowane bez wiedzy o tej wymianie i wymaga korekt wskazanych w sekcji V. Zapowiedź publikacji nie została przez Gordera powtórzona po otrzymaniu naszego stanowiska, więc pełne powtórzenie ostrzeżenia w piśmie może zostać odebrane jako eskalacja i wykorzystane w ewentualnym procesie jako dowód nacisku na uczestnika sporu.</w:t>
      </w:r>
    </w:p>
    <w:p>
      <w:r>
        <w:rPr>
          <w:rFonts w:ascii="Calibri" w:hAnsi="Calibri"/>
          <w:b/>
          <w:sz w:val="24"/>
        </w:rPr>
        <w:t>III. Weryfikacja podstaw prawnych powołanych w piśmie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1.</w:t>
        <w:tab/>
        <w:t>Art. 6 i art. 361 § 1 KC (ciężar dowodu, adekwatny związek przyczynowy). Potwierdzone, bez zmian. Powołanie prawidłowe.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2.</w:t>
        <w:tab/>
        <w:t>Art. 471 KC (powołany przez INBG). Potwierdzone. Uwaga do argumentu Gordera z 23.10.2026, że stosunek prawny wynika z zapłaty przez INBG: opłatę za sprawdzenie kwalifikacji pobiera się od osoby kierującej wniosek (art. 54 ust. 4 Prawa energetycznego – wnioskodawcą jest Gorder osobiście), a zapłata przez osobę trzecią nie czyni jej stroną umowy (art. 356 § 2 KC – spełnienie świadczenia pieniężnego przez osobę trzecią). Argument ten należy zachować na odpowiedź na pozew (brak legitymacji czynnej INBG), nie ujawniać w piśmie.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3.</w:t>
        <w:tab/>
        <w:t>Art. 71 KC (pkt II.1 pisma). Brzmienie potwierdzone: ogłoszenia, reklamy, cenniki i inne informacje skierowane do ogółu poczytuje się w razie wątpliwości nie za ofertę, lecz za zaproszenie do zawarcia umowy. Orzecznictwo (m.in. NSA I FSK 1381/08) przyjmuje, że typowa reklama skierowana do ogółu nie zawiera istotnych postanowień umowy i jest tylko zaproszeniem. Zastrzeżenia: (a) art. 71 KC chroni przed uznaniem deklaracji „24 h” za ofertę, ale nie przed uwzględnieniem jej przy wykładni treści zawartej umowy (art. 65 § 1 i 2 KC) – jeżeli regulamin serwisu ekck.pl lub formularz zgłoszeniowy wskazują Stowarzyszenie jako usługodawcę i obejmują wydanie świadectw, deklaracja może zostać uznana za zapewnienie co do sposobu wykonania usługi; (b) zrzut strony (załącznik nr 6 wezwania) zawiera stopkę „Krajowe Centrum Kształcenia – Stowarzyszenie Elektromobilna Polska, KRS 0001095551, NIP 6343037023” oraz zdania „Posiadamy własną Komisję Kwalifikacyjną powołaną przez prezesa URE”, „Bez pośredników” i „Uprawnienia wydawane są odbiorcy w 24 godziny po otrzymaniu wpłaty”. Treść ta identyfikuje Stowarzyszenie jako podmiot oferujący usługę i osłabia zarówno zarzut braku legitymacji biernej, jak i wewnętrzną tezę o komisji zewnętrznej (art. 474 KC – odpowiedzialność za osoby, którymi dłużnik posługuje się przy wykonaniu zobowiązania). Rekomendacja: pkt II.1 pozostawić, ale w brzmieniu ostrożniejszym (sekcja V pkt 3), a przed wysyłką pisma sprawdzić regulamin i formularz na ekck.pl.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4.</w:t>
        <w:tab/>
        <w:t>Art. 23, art. 24 i art. 43 KC (pkt III.3 pisma). Potwierdzone. Orzecznictwo: wyrok SN z 14.11.1986 r., II CR 295/86 (OSNCP 1988/2-3/40) – dobra osobiste osób prawnych to wartości niemajątkowe, dzięki którym osoba prawna może funkcjonować zgodnie ze swym zakresem działań; dobre imię osoby prawnej jest odpowiednikiem czci osoby fizycznej, a naruszenie ocenia się obiektywnie (cytowane m.in. w wyrokach SN IV CSK 297/18 i V CSK 646/19). Uchwała SN z 3.10.2023 r., III CZP 22/23 – art. 448 KC stosuje się odpowiednio do osób prawnych; Stowarzyszeniu może więc przysługiwać także zadośćuczynienie. Można rozważyć dodanie tej uchwały do pisma; zwiększa to wagę zapowiedzi.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5.</w:t>
        <w:tab/>
        <w:t>Ryzyko przy pkt III.3–III.4 pisma: domniemanie bezprawności z art. 24 § 1 KC jest obalalne. Zgodnie z uchwałą składu 7 sędziów SN z 18.02.2005 r., III CZP 53/04 (OSNC 2005/7-8/114) i orzecznictwem późniejszym (np. IV CSK 301/15, I CSK 13/09) wykazanie prawdziwości zarzutu wraz z działaniem w obronie uzasadnionego interesu społecznego wyłącza bezprawność. Fakty, które Gorder może opublikować, są niesporne: przekroczenie terminu wydania świadectw, data 14.09.2026 na świadectwach, zapewnienie o nadaniu 16.10 przy odbiorze przez kuriera 19.10. Powództwo prewencyjne będzie skuteczne co najwyżej wobec twierdzeń nieprawdziwych lub przekraczających granice rzeczowej krytyki. Obecne zdanie pisma („Rozpowszechnianie twierdzeń o nieprawidłowościach przypisywanych Stowarzyszeniu narusza jego dobre imię”) jest kategoryczne i może być w procesie przedstawione jako próba tłumienia dopuszczalnej krytyki. Rekomendowane złagodzenie – sekcja V pkt 4.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6.</w:t>
        <w:tab/>
        <w:t>Art. 24 § 1 zd. 1 KC – roszczenie o zaniechanie przysługuje już na etapie zagrożenia (wyrok SN z 16.02.2005 r., IV CK 519/04: środek o charakterze prewencyjnym). Zapowiedź w piśmie („w razie publikacji”) jest więc ostrożniejsza niż stan prawny pozwala; nie ma potrzeby jej rozszerzać.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7.</w:t>
        <w:tab/>
        <w:t>Art. 730 § 1 i art. 755 § 1 KPC (pkt III.4 pisma). Potwierdzone. Wyrok TK z 9.11.2010 r., K 13/07 (Dz.U. 2010 nr 217 poz. 1435; OTK-A 2010/9/98) potwierdzony: ówczesny art. 755 § 2 KPC uznany za niezgodny z art. 14 i art. 54 ust. 1 w zw. z art. 31 ust. 3 Konstytucji. Po nowelizacji z 2012 r. ograniczenia § 2 i § 2¹ dotyczą spraw przeciwko środkom społecznego przekazu; wobec osoby prywatnej podstawą jest § 1. Aktualne brzmienie § 2 i § 2¹ do potwierdzenia w LEX (nie udało się pobrać tekstu pierwotnego). Ryzyko: jeżeli publikacja nastąpi w formie periodycznie aktualizowanego serwisu, sąd może rozważać reżim § 2 (ważny interes publiczny, ograniczony czas zakazu).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8.</w:t>
        <w:tab/>
        <w:t>Art. 98 § 1 KPC (pkt III.2 pisma). Potwierdzone. Uzupełnienie co do trybu: przy wartości przedmiotu sporu 10 000 zł sprawa podlega postępowaniu uproszczonemu (art. 505¹ § 1 pkt 1 KPC – do 20 000 zł). Jeżeli Stowarzyszenie jest przedsiębiorcą (art. 43¹ KC; działalność gospodarcza stowarzyszenia – art. 34 Prawa o stowarzyszeniach), a sprawa wynika z tej działalności, będzie to sprawa gospodarcza (art. 458² § 1 pkt 1 KPC) z prekluzją: pozwany powołuje wszystkie twierdzenia i dowody w odpowiedzi na pozew (art. 458⁵ § 1 i 4 KPC), czynności stron wykazuje się co do zasady dokumentem (art. 458¹⁰ KPC), dowód ze świadków ma charakter subsydiarny (art. 458¹¹ KPC). Do potwierdzenia: czy Stowarzyszenie jest wpisane do rejestru przedsiębiorców KRS. Konsekwencja praktyczna: materiał dowodowy z pkt 7.5 kontekstu (wniosek, umowa z komisją, korespondencja, historia InPost, zrzut strony, regulamin) musi być skompletowany przed doręczeniem pozwu, nie po.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9.</w:t>
        <w:tab/>
        <w:t>§ 13 ust. 1 rozporządzenia MKiŚ z 1.07.2022 r. (Dz.U. poz. 1392) – termin 14 dni na wydanie świadectwa (podstawa wewnętrzna, nie powołana w piśmie). Rozporządzenie według ELI obowiązuje, nie odnaleziono aktu zmieniającego ani uchylającego. Termin 14 dni od egzaminu potwierdzony pośrednio (powielają go regulaminy komisji kwalifikacyjnych SEP). Numer paragrafu do potwierdzenia w tekście Dz.U. Istotne: w 2025 r. istniał projekt nowego rozporządzenia w tej samej sprawie (wejście w życie 30 dni od ogłoszenia). Należy potwierdzić w RCL, które rozporządzenie obowiązywało 17.09.2026 r., bo od tego zależy treść zarzutu wobec komisji i ocena URE.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10.</w:t>
        <w:tab/>
        <w:t>Art. 54 ust. 4 Prawa energetycznego – opłata za sprawdzenie kwalifikacji nie wyższa niż 10% minimalnego wynagrodzenia w dniu złożenia wniosku (2026: 480,60 zł przy 4 806 zł). Wpłata INBG wyniosła 575,60 zł na rachunek SEEP tytułem „faktura proforma VII/A/2026/09/P007”. Kwota nie odpowiada ani jednej, ani dwóm opłatom egzaminacyjnym; należy ustalić, co obejmowała (egzamin, szkolenie, obsługa) i kto wystawił proformę i na kogo. Dokument ten wyznacza stronę umowy i będzie pierwszym dowodem, o który spyta sąd.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11.</w:t>
        <w:tab/>
        <w:t>Art. 187 § 1 pkt 3 KPC (powołany przez Gordera). Potwierdzone: pozew zawiera informację, czy strony podjęły próbę pozasądowego rozwiązania sporu. Korespondencja Gordera spełnia ten wymóg; odmowa zapłaty nie rodzi po stronie Stowarzyszenia ujemnych skutków procesowych poza ewentualną oceną z art. 103 KPC, która przy uzasadnionym zakwestionowaniu roszczenia nie wchodzi w grę.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12.</w:t>
        <w:tab/>
        <w:t>Art. 455 i art. 481 § 1 KC (wymagalność i odsetki po wezwaniu – podstawa wewnętrzna). Potwierdzone. Jeżeli roszczenie istnieje, odsetki ustawowe za opóźnienie biegną od upływu 7 dni od doręczenia wezwania; wezwanie doręczono najpóźniej 27.10.2026 r. (data skanu).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13.</w:t>
        <w:tab/>
        <w:t>Wyrok SN z 3.10.1979 r., II CR 304/79 (OSNCP 1980/9/164) – podstawa wewnętrzna co do utraconych korzyści. Potwierdzony (Inforlex, SAOS: cytowany w I ACa 892/12 i IX GC 2531/16): utracone korzyści muszą być wykazane z tak dużym prawdopodobieństwem, że w świetle doświadczenia życiowego uzasadnia ono przyjęcie, iż utrata korzyści rzeczywiście nastąpiła; szkoda ewentualna nie podlega naprawieniu. Załącznik nr 5 wezwania sam przyznaje, że kwota 10 000 zł jest „scenariuszem roboczym”, „nie jest udowodnionym wynikiem finansowym ani kwotą gwarantowaną przez LM”, a koszty 2 000 zł są „szacunkiem”. Argument do odpowiedzi na pozew, zgodnie z linią nie ujawniać w piśmie.</w:t>
      </w:r>
    </w:p>
    <w:p>
      <w:r>
        <w:rPr>
          <w:rFonts w:ascii="Calibri" w:hAnsi="Calibri"/>
          <w:b/>
          <w:sz w:val="24"/>
        </w:rPr>
        <w:t>IV. Ryzyka i luki ujawnione przy walidacji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1.</w:t>
        <w:tab/>
        <w:t>Wysokie. Treść strony ekck.pl (stopka z danymi rejestrowymi Stowarzyszenia, „własna komisja”, „bez pośredników”, „24 h”) jest już w aktach INBG jako załącznik nr 6. Linia braku legitymacji biernej utrzyma się tylko, jeżeli regulamin, formularz zgłoszeniowy i proforma wskazują inny podmiot niż Stowarzyszenie. Do sprawdzenia natychmiast: regulamin ekck.pl (usługodawca, zakres usługi, postanowienia o świadectwach i odpowiedzialności), formularz zgłoszeniowy z 16.09.2026, proforma VII/A/2026/09/P007, umowa z komisją.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2.</w:t>
        <w:tab/>
        <w:t>Wysokie. Świadectwo z dozoru nadal nie zostało wysłane (pkt 4.4 kontekstu). Każdy dzień wydłuża okres ewentualnej szkody i osłabia argument, że skutki opóźnienia zakończyły się 19.10.2026 r. Wysłać niezwłocznie, kurierem z potwierdzeniem odbioru, na adres z wniosku.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3.</w:t>
        <w:tab/>
        <w:t>Wysokie. Gorder żąda pisemnego wyniku wyjaśnień co do daty 14.09.2026 i wymiany obu świadectw. Mail do komisji (pkt 7.3 kontekstu) nie został dotąd przygotowany. Bez stanowiska komisji Stowarzyszenie nie będzie w stanie odpowiedzieć URE ani Gorderowi, a przedłużające się „wyjaśnianie” będzie w procesie oceniane na niekorzyść.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4.</w:t>
        <w:tab/>
        <w:t>Średnie. Deklaracja „24 h” wobec klientów będących konsumentami może być kwalifikowana jako praktyka wprowadzająca w błąd (art. 5 ust. 1 ustawy o przeciwdziałaniu nieuczciwym praktykom rynkowym) i naruszenie zbiorowych interesów konsumentów (art. 24 ust. 2 pkt 3 ustawy o ochronie konkurencji i konsumentów); wobec przedsiębiorców – reklama wprowadzająca w błąd (art. 16 ust. 1 pkt 2 ustawy o zwalczaniu nieuczciwej konkurencji). Ryzyko regulacyjne obejmuje więc nie tylko URE, lecz także Prezesa UOKiK. Rekomendacja z pkt 7.6 kontekstu (usunięcie deklaracji) jest pilna; zrzut strony po zmianie zachować z datą.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5.</w:t>
        <w:tab/>
        <w:t>Średnie. Zdanie „Posiadamy własną Komisję Kwalifikacyjną powołaną przez prezesa URE” należy zweryfikować z aktualnym stanem (spór z Prezesem URE, KK 739). Jeżeli komisja działa przy innym podmiocie, zdanie jest nieprawdziwe i daje Gorderowi oraz URE dodatkowy zarzut.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6.</w:t>
        <w:tab/>
        <w:t>Średnie. Doręczenia. INBG ma adres do e-Doręczeń wpisany do BAE (AE:PL-73585-44346-TFRIH-19, dział 1 rubryka 2 odpisu KRS), Stowarzyszenie również (AE:PL-61286-74017-JBEBH-28). Pozew i dalsze doręczenia sądowe mogą nastąpić na adres do doręczeń elektronicznych (art. 131¹ KPC); skrzynkę Stowarzyszenia należy monitorować codziennie z uwagi na fikcję doręczenia po 14 dniach. Odpowiedź na wezwanie zalecamy wysłać przez e-Doręczenia (dowód otrzymania) oraz e-mailem.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7.</w:t>
        <w:tab/>
        <w:t>Niskie. Reprezentacja INBG: zarząd jednoosobowy, Prezes Zarządu Bartosz Gorder (dział 2 odpisu KRS z 21.10.2026 r.). Wezwanie podpisane prawidłowo; adresowanie naszego pisma do INBG z oznaczeniem Prezesa Zarządu jest poprawne.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8.</w:t>
        <w:tab/>
        <w:t>Niskie. Podpis pod pismem. Radca prawny będący pracownikiem może podpisać pismo w imieniu Stowarzyszenia na podstawie pełnomocnictwa Zarządu (art. 98 KC; dla pełnomocnictwa ogólnego forma pisemna pod rygorem nieważności – art. 99 § 2 KC). Jeżeli pełnomocnictwa nie ma, pismo powinien podpisać Zarząd zgodnie z reprezentacją ujawnioną w KRS. Do procesu potrzebne będzie odrębne pełnomocnictwo procesowe (art. 87 § 1, art. 89 KPC).</w:t>
      </w:r>
    </w:p>
    <w:p>
      <w:r>
        <w:rPr>
          <w:rFonts w:ascii="Calibri" w:hAnsi="Calibri"/>
          <w:b/>
          <w:sz w:val="24"/>
        </w:rPr>
        <w:t>V. Rekomendowane zmiany w piśmie z 29 października 2026 r.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1.</w:t>
        <w:tab/>
        <w:t>Wstęp – po słowach „przedstawiamy stanowisko Stowarzyszenia” dodać: „, w nawiązaniu do naszej wiadomości z 23 października 2026 r. i Pana odpowiedzi z tego samego dnia”.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2.</w:t>
        <w:tab/>
        <w:t>Pkt I.2 – dodać zdanie: „Sam fakt dokonania wpłaty przez INBG Sp. z o.o., na który powołuje się Pan w wiadomości z 23 października 2026 r., nie wskazuje stosunku prawnego, z którego wynikałaby odpowiedzialność Stowarzyszenia wobec tej spółki.”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3.</w:t>
        <w:tab/>
        <w:t>Pkt II.1 – brzmienie ostrożniejsze: „Informacje zamieszczone na stronie internetowej, na które powołuje się wezwanie (załącznik nr 6), mają charakter informacyjny i są skierowane do ogółu; w razie wątpliwości poczytuje się je nie za ofertę, lecz za zaproszenie do zawarcia umowy (art. 71 Kodeksu cywilnego). Nie zastępują one wskazania stosunku prawnego, z którego miałaby wynikać odpowiedzialność Stowarzyszenia wobec INBG Sp. z o.o.” Usunąć zdanie o „obowiązku wydania świadectw w określonym terminie”, które wprowadza do pisma wątek terminu.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4.</w:t>
        <w:tab/>
        <w:t>Pkt III.3 i III.4 – zastąpić jednym punktem: „Stowarzyszenie podtrzymuje stanowisko wyrażone w pkt III.4 i III.5 wiadomości z 23 października 2026 r. co do zapowiedzi publicznego przedstawienia sprawy. Rozpowszechnianie twierdzeń nieprawdziwych lub przekraczających granice rzeczowej krytyki narusza dobre imię Stowarzyszenia (art. 23 i art. 24 w zw. z art. 43 Kodeksu cywilnego) i uzasadnia wystąpienie z powództwem o ochronę dóbr osobistych wraz z wnioskiem o zabezpieczenie (art. 730 § 1 i art. 755 § 1 Kodeksu postępowania cywilnego).” Opcjonalnie powołać uchwałę SN III CZP 22/23 (zadośćuczynienie dla osoby prawnej).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5.</w:t>
        <w:tab/>
        <w:t>Pkt III.7 – ujednolicić z mailem z 23.10.2026 r.: „Korespondencję w sprawie należy kierować na adres e-mail lukasz.szymczyk@emobil.org.pl albo na adres do doręczeń elektronicznych Stowarzyszenia AE:PL-61286-74017-JBEBH-28.”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6.</w:t>
        <w:tab/>
        <w:t>Rozdzielnik – „Adresat: e-Doręczenia (AE:PL-73585-44346-TFRIH-19) oraz e-mail b.gorder@gorder.pl”. List polecony za zwrotnym potwierdzeniem odbioru jako wysyłka równoległa, jeżeli Zarząd tak zdecyduje.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7.</w:t>
        <w:tab/>
        <w:t>Żądanie wskazania strony umowy (wiadomość z 23.10.2026 r., pkt d) – zgodnie z linią nie odpowiadać wprost; pkt I.2–I.4 pisma wyczerpują temat. Żądanie wyniku wyjaśnień co do daty 14.09.2026 r. (pkt e) – pozostawić pkt II.2 pisma bez terminu, ale wewnętrznie wyznaczyć termin dla maila do komisji.</w:t>
      </w:r>
    </w:p>
    <w:p>
      <w:pPr>
        <w:ind w:left="425" w:hanging="425"/>
        <w:jc w:val="both"/>
      </w:pPr>
      <w:r>
        <w:rPr>
          <w:rFonts w:ascii="Calibri" w:hAnsi="Calibri"/>
          <w:b w:val="0"/>
          <w:sz w:val="24"/>
        </w:rPr>
        <w:t>8.</w:t>
        <w:tab/>
        <w:t>Podpis – Łukasz Szymczyk, radca prawny, z adnotacją „z upoważnienia Zarządu” i załączeniem pełnomocnictwa, albo podpis Zarządu. Data pisma do aktualizacji na dzień wysyłki.</w:t>
      </w:r>
    </w:p>
    <w:p>
      <w:r>
        <w:rPr>
          <w:rFonts w:ascii="Calibri" w:hAnsi="Calibri"/>
          <w:b/>
          <w:sz w:val="24"/>
        </w:rPr>
        <w:t>VI. Źródła wykorzystane przy weryfikacji</w:t>
      </w:r>
    </w:p>
    <w:p>
      <w:pPr>
        <w:ind w:left="425" w:hanging="425"/>
      </w:pPr>
      <w:r>
        <w:rPr>
          <w:rFonts w:ascii="Calibri" w:hAnsi="Calibri"/>
          <w:b w:val="0"/>
          <w:sz w:val="24"/>
        </w:rPr>
        <w:t>Rozporządzenie MKiŚ z 1.07.2022 r., Dz.U. poz. 1392 – ELI (status: obowiązujące): https://eli.gov.pl/eli/DU/2022/1392/ogl</w:t>
      </w:r>
    </w:p>
    <w:p>
      <w:pPr>
        <w:ind w:left="425" w:hanging="425"/>
      </w:pPr>
      <w:r>
        <w:rPr>
          <w:rFonts w:ascii="Calibri" w:hAnsi="Calibri"/>
          <w:b w:val="0"/>
          <w:sz w:val="24"/>
        </w:rPr>
        <w:t>Tekst rozporządzenia Dz.U. 2022 poz. 1392 na stronie URE: https://www.ure.gov.pl/download/9/12973/1392.pdf</w:t>
      </w:r>
    </w:p>
    <w:p>
      <w:pPr>
        <w:ind w:left="425" w:hanging="425"/>
      </w:pPr>
      <w:r>
        <w:rPr>
          <w:rFonts w:ascii="Calibri" w:hAnsi="Calibri"/>
          <w:b w:val="0"/>
          <w:sz w:val="24"/>
        </w:rPr>
        <w:t>Świadectwo kwalifikacji – biznes.gov.pl: https://www.biznes.gov.pl/pl/portal/ou142</w:t>
      </w:r>
    </w:p>
    <w:p>
      <w:pPr>
        <w:ind w:left="425" w:hanging="425"/>
      </w:pPr>
      <w:r>
        <w:rPr>
          <w:rFonts w:ascii="Calibri" w:hAnsi="Calibri"/>
          <w:b w:val="0"/>
          <w:sz w:val="24"/>
        </w:rPr>
        <w:t>Art. 54 Prawa energetycznego – lexlege: https://lexlege.pl/prawo-energetyczne/art-54/</w:t>
      </w:r>
    </w:p>
    <w:p>
      <w:pPr>
        <w:ind w:left="425" w:hanging="425"/>
      </w:pPr>
      <w:r>
        <w:rPr>
          <w:rFonts w:ascii="Calibri" w:hAnsi="Calibri"/>
          <w:b w:val="0"/>
          <w:sz w:val="24"/>
        </w:rPr>
        <w:t>Art. 54 Prawa energetycznego – arslege: https://arslege.pl/prawo-energetyczne/k257/a23893/</w:t>
      </w:r>
    </w:p>
    <w:p>
      <w:pPr>
        <w:ind w:left="425" w:hanging="425"/>
      </w:pPr>
      <w:r>
        <w:rPr>
          <w:rFonts w:ascii="Calibri" w:hAnsi="Calibri"/>
          <w:b w:val="0"/>
          <w:sz w:val="24"/>
        </w:rPr>
        <w:t>Wyrok SN z 3.10.1979 r., II CR 304/79 – Inforlex: https://www.inforlex.pl/dok/tresc,OSN.1979.001.001945251,Wyrok-SN-z-dnia-3-pazdziernika-1979-r-sygn-II-CR-304-79.html</w:t>
      </w:r>
    </w:p>
    <w:p>
      <w:pPr>
        <w:ind w:left="425" w:hanging="425"/>
      </w:pPr>
      <w:r>
        <w:rPr>
          <w:rFonts w:ascii="Calibri" w:hAnsi="Calibri"/>
          <w:b w:val="0"/>
          <w:sz w:val="24"/>
        </w:rPr>
        <w:t>I ACa 892/12 (cytuje II CR 304/79) – SAOS: https://www.saos.org.pl/judgments/2933</w:t>
      </w:r>
    </w:p>
    <w:p>
      <w:pPr>
        <w:ind w:left="425" w:hanging="425"/>
      </w:pPr>
      <w:r>
        <w:rPr>
          <w:rFonts w:ascii="Calibri" w:hAnsi="Calibri"/>
          <w:b w:val="0"/>
          <w:sz w:val="24"/>
        </w:rPr>
        <w:t>IX GC 2531/16 (cytuje II CR 304/79) – SAOS: https://www.saos.org.pl/judgments/362706</w:t>
      </w:r>
    </w:p>
    <w:p>
      <w:pPr>
        <w:ind w:left="425" w:hanging="425"/>
      </w:pPr>
      <w:r>
        <w:rPr>
          <w:rFonts w:ascii="Calibri" w:hAnsi="Calibri"/>
          <w:b w:val="0"/>
          <w:sz w:val="24"/>
        </w:rPr>
        <w:t>Wyrok TK z 9.11.2010 r., K 13/07 – Dz.U. 2010 nr 217 poz. 1435 (ELI): https://eli.gov.pl/eli/DU/2010/1435/ogl</w:t>
      </w:r>
    </w:p>
    <w:p>
      <w:pPr>
        <w:ind w:left="425" w:hanging="425"/>
      </w:pPr>
      <w:r>
        <w:rPr>
          <w:rFonts w:ascii="Calibri" w:hAnsi="Calibri"/>
          <w:b w:val="0"/>
          <w:sz w:val="24"/>
        </w:rPr>
        <w:t>Informacja prawna Senatu o wyroku K 13/07: https://www.senat.gov.pl/gfx/senat/userfiles/_public/k8/dokumenty/trybunal/informacja_prawna_o_wyrokach/k_13_07_inf.pdf</w:t>
      </w:r>
    </w:p>
    <w:p>
      <w:pPr>
        <w:ind w:left="425" w:hanging="425"/>
      </w:pPr>
      <w:r>
        <w:rPr>
          <w:rFonts w:ascii="Calibri" w:hAnsi="Calibri"/>
          <w:b w:val="0"/>
          <w:sz w:val="24"/>
        </w:rPr>
        <w:t>Wyrok SN IV CSK 297/18 (cytuje II CR 295/86): https://www.sn.pl/sites/orzecznictwo/orzeczenia3/iv%20csk%20297-18-1.pdf</w:t>
      </w:r>
    </w:p>
    <w:p>
      <w:pPr>
        <w:ind w:left="425" w:hanging="425"/>
      </w:pPr>
      <w:r>
        <w:rPr>
          <w:rFonts w:ascii="Calibri" w:hAnsi="Calibri"/>
          <w:b w:val="0"/>
          <w:sz w:val="24"/>
        </w:rPr>
        <w:t>Wyrok SN V CSK 646/19 (dobre imię osoby prawnej): https://www.sn.pl/sites/orzecznictwo/Orzeczenia3/V%20CSK%20646-19.pdf</w:t>
      </w:r>
    </w:p>
    <w:p>
      <w:pPr>
        <w:ind w:left="425" w:hanging="425"/>
      </w:pPr>
      <w:r>
        <w:rPr>
          <w:rFonts w:ascii="Calibri" w:hAnsi="Calibri"/>
          <w:b w:val="0"/>
          <w:sz w:val="24"/>
        </w:rPr>
        <w:t>Uchwała SN z 3.10.2023 r., III CZP 22/23: https://www.sn.pl/sites/orzecznictwo/Orzeczenia3/III%20CZP%2022-23.pdf</w:t>
      </w:r>
    </w:p>
    <w:p>
      <w:pPr>
        <w:ind w:left="425" w:hanging="425"/>
      </w:pPr>
      <w:r>
        <w:rPr>
          <w:rFonts w:ascii="Calibri" w:hAnsi="Calibri"/>
          <w:b w:val="0"/>
          <w:sz w:val="24"/>
        </w:rPr>
        <w:t>Uchwała 7 sędziów SN z 18.02.2005 r., III CZP 53/04 – SAOS: https://www.saos.org.pl/judgments/83229</w:t>
      </w:r>
    </w:p>
    <w:p>
      <w:pPr>
        <w:ind w:left="425" w:hanging="425"/>
      </w:pPr>
      <w:r>
        <w:rPr>
          <w:rFonts w:ascii="Calibri" w:hAnsi="Calibri"/>
          <w:b w:val="0"/>
          <w:sz w:val="24"/>
        </w:rPr>
        <w:t>Wyrok SN IV CSK 301/15 (stosuje III CZP 53/04): https://www.sn.pl/sites/orzecznictwo/Orzeczenia3/IV%20CSK%20301-15.pdf</w:t>
      </w:r>
    </w:p>
    <w:p>
      <w:pPr>
        <w:ind w:left="425" w:hanging="425"/>
      </w:pPr>
      <w:r>
        <w:rPr>
          <w:rFonts w:ascii="Calibri" w:hAnsi="Calibri"/>
          <w:b w:val="0"/>
          <w:sz w:val="24"/>
        </w:rPr>
        <w:t>Wyrok SN z 16.02.2005 r., IV CK 519/04 (art. 24 § 1 zd. 1 KC – charakter prewencyjny): https://dlajurysty.pl/orzeczenia/pokaz/36044/IV-CK-519-04</w:t>
      </w:r>
    </w:p>
    <w:p>
      <w:pPr>
        <w:ind w:left="425" w:hanging="425"/>
      </w:pPr>
      <w:r>
        <w:rPr>
          <w:rFonts w:ascii="Calibri" w:hAnsi="Calibri"/>
          <w:b w:val="0"/>
          <w:sz w:val="24"/>
        </w:rPr>
        <w:t>Wyrok SN III CSK 24/18 (art. 24 KC): https://www.sn.pl/sites/orzecznictwo/Orzeczenia3/III%20CSK%2024-18.pdf</w:t>
      </w:r>
    </w:p>
    <w:p>
      <w:pPr>
        <w:ind w:left="425" w:hanging="425"/>
      </w:pPr>
      <w:r>
        <w:rPr>
          <w:rFonts w:ascii="Calibri" w:hAnsi="Calibri"/>
          <w:b w:val="0"/>
          <w:sz w:val="24"/>
        </w:rPr>
        <w:t>Art. 71 KC – orzecznictwo (Standardy Prawa): https://standardyprawa.pl/standardy/16416</w:t>
      </w:r>
    </w:p>
    <w:p>
      <w:pPr>
        <w:ind w:left="425" w:hanging="425"/>
      </w:pPr>
      <w:r>
        <w:rPr>
          <w:rFonts w:ascii="Calibri" w:hAnsi="Calibri"/>
          <w:b w:val="0"/>
          <w:sz w:val="24"/>
        </w:rPr>
        <w:t>Art. 458⁵ KPC – prekluzja (Standardy Prawa): https://standardyprawa.pl/akt/76/art/24364</w:t>
      </w:r>
    </w:p>
    <w:p>
      <w:pPr>
        <w:ind w:left="425" w:hanging="425"/>
      </w:pPr>
      <w:r>
        <w:rPr>
          <w:rFonts w:ascii="Calibri" w:hAnsi="Calibri"/>
          <w:b w:val="0"/>
          <w:sz w:val="24"/>
        </w:rPr>
        <w:t>VI GC 1388/20 – stosowanie art. 458⁵ KPC: https://dlajurysty.pl/orzeczenia/pokaz/207337/VI-GC-1388-20</w:t>
      </w:r>
    </w:p>
    <w:p>
      <w:pPr>
        <w:ind w:left="425" w:hanging="425"/>
      </w:pPr>
      <w:r>
        <w:rPr>
          <w:rFonts w:ascii="Calibri" w:hAnsi="Calibri"/>
          <w:b w:val="0"/>
          <w:sz w:val="24"/>
        </w:rPr>
        <w:t>Art. 43¹ KC – przedsiębiorca, działalność gospodarcza stowarzyszenia (Standardy Prawa): https://standardyprawa.pl/standardy/16400</w:t>
      </w:r>
    </w:p>
    <w:p>
      <w:pPr>
        <w:ind w:left="425" w:hanging="425"/>
      </w:pPr>
      <w:r>
        <w:rPr>
          <w:rFonts w:ascii="Calibri" w:hAnsi="Calibri"/>
          <w:b w:val="0"/>
          <w:sz w:val="24"/>
        </w:rPr>
        <w:t>e-Doręczenia dla podmiotów w KRS – gov.pl: https://www.gov.pl/web/cyfryzacja/masz-firme-zarejestrowana-w-krs-sprawdz-czy-powinienes-zalozyc-adres-do-e-doreczen</w:t>
      </w:r>
    </w:p>
    <w:p>
      <w:pPr>
        <w:ind w:left="425" w:hanging="425"/>
      </w:pPr>
      <w:r>
        <w:rPr>
          <w:rFonts w:ascii="Calibri" w:hAnsi="Calibri"/>
          <w:b w:val="0"/>
          <w:sz w:val="24"/>
        </w:rPr>
        <w:t>Naruszenie dobrego imienia firmy – przegląd (poradnikprzedsiebiorcy.pl): https://poradnikprzedsiebiorcy.pl/-naruszenie-dobrego-imienia-firmy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