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2846577bb542c13d505b7114976bf280cf979e4"/>
    <w:p>
      <w:pPr>
        <w:pStyle w:val="Heading1"/>
      </w:pPr>
      <w:r>
        <w:t xml:space="preserve">Notatka wewnętrzna – pisma W. Huca (wezwanie do zapłaty 468 zł) i M. Wyrwała (RODO, żądanie 15 000 zł)</w:t>
      </w:r>
    </w:p>
    <w:p>
      <w:pPr>
        <w:pStyle w:val="FirstParagraph"/>
      </w:pPr>
      <w:r>
        <w:t xml:space="preserve">Stowarzyszenie Elektromechaników Polskich (SEMP), Komisja Kwalifikacyjna nr 739. Stan na 29 października 2026 r. Dokument wewnętrzny, nie do przekazania drugiej stronie. Dotyczy projektów pism 06 (Huc) i 07 (Wyrwał).</w:t>
      </w:r>
    </w:p>
    <w:bookmarkStart w:id="20" w:name="i.-terminy-i-czynności-pilne"/>
    <w:p>
      <w:pPr>
        <w:pStyle w:val="Heading2"/>
      </w:pPr>
      <w:r>
        <w:t xml:space="preserve">I. Terminy i czynności pilne</w:t>
      </w:r>
    </w:p>
    <w:p>
      <w:pPr>
        <w:numPr>
          <w:ilvl w:val="0"/>
          <w:numId w:val="1001"/>
        </w:numPr>
      </w:pPr>
      <w:r>
        <w:t xml:space="preserve">Huc. Pismo datowane 13 października 2026 r.; data doręczenia nieznana (skan z 29 października 2026 r.). Zgodnie z art. 7a ust. 1 i 2 ustawy o prawach konsumenta przedsiębiorca odpowiada na reklamację konsumenta w terminie 14 dni od jej otrzymania, a brak odpowiedzi oznacza uznanie reklamacji. Żądanie zwrotu ceny z powołaniem na nienależyte wykonanie umowy jest reklamacją w tym rozumieniu. Jeżeli pismo doręczono około 15–20 października 2026 r., termin upływa między 29 października a 3 listopada 2026 r. Odpowiedź należy wysłać natychmiast, na trwałym nośniku (list polecony i e-mail). Sprawdzić, czy „ostateczne” wezwanie poprzedzało wcześniejsze pismo lub reklamacja i czy udzielono na nie odpowiedzi w 14 dni; jeżeli nie, istnieje ryzyko, że żądanie zwrotu zostało już uznane z mocy art. 7a ust. 2.</w:t>
      </w:r>
    </w:p>
    <w:p>
      <w:pPr>
        <w:numPr>
          <w:ilvl w:val="0"/>
          <w:numId w:val="1001"/>
        </w:numPr>
      </w:pPr>
      <w:r>
        <w:t xml:space="preserve">Wyrwał. Pismo nosi datę 2 marca 2026 r., ale znajduje się w jednym skanie z pismem Huca z października 2026 r. Ustalić datę wpływu z prezentaty lub koperty. Dwie możliwości: (a) data jest prawdziwa, pismo wpłynęło w marcu 2026 r. i pozostało bez odpowiedzi przez siedem miesięcy – wtedy skarga do Prezesa UODO i pozew mogły już zostać złożone; sprawdzić korespondencję przychodzącą, w tym skrzynkę e-Doręczeń i pocztę biuro@semp.org.pl; (b) data jest omyłką (np. 2 października 2026 r.) – wtedy siedmiodniowy termin z pisma właśnie upływa lub upłynął. W obu przypadkach odpowiedzieć niezwłocznie.</w:t>
      </w:r>
    </w:p>
    <w:p>
      <w:pPr>
        <w:numPr>
          <w:ilvl w:val="0"/>
          <w:numId w:val="1001"/>
        </w:numPr>
      </w:pPr>
      <w:r>
        <w:t xml:space="preserve">Zgłoszenie do UODO. Jeżeli naruszenie (doręczenie świadectw osobie trzeciej) nie zostało zgłoszone Prezesowi UODO, zgłosić je przed wysłaniem pisma 07, z wyjaśnieniem przyczyn opóźnienia (art. 33 ust. 1 zdanie drugie RODO). Pismo 07 w pkt II.5 zakłada, że zgłoszenie zostało dokonane. Wariant „brak zgłoszenia, bo ryzyko było niskie” jest niezalecany: praktyka UODO traktuje ujawnienie imienia i nazwiska z numerem PESEL jako wysokie ryzyko (sekcja III.B).</w:t>
      </w:r>
    </w:p>
    <w:bookmarkEnd w:id="20"/>
    <w:bookmarkStart w:id="27" w:name="ii.-sprawa-huc"/>
    <w:p>
      <w:pPr>
        <w:pStyle w:val="Heading2"/>
      </w:pPr>
      <w:r>
        <w:t xml:space="preserve">II. Sprawa Huc</w:t>
      </w:r>
    </w:p>
    <w:bookmarkStart w:id="21" w:name="X2e83b830ae1d258374cc2d08f7b032f4db7e953"/>
    <w:p>
      <w:pPr>
        <w:pStyle w:val="Heading3"/>
      </w:pPr>
      <w:r>
        <w:t xml:space="preserve">A. Stan faktyczny według załączonych dokumentów</w:t>
      </w:r>
    </w:p>
    <w:p>
      <w:pPr>
        <w:numPr>
          <w:ilvl w:val="0"/>
          <w:numId w:val="1002"/>
        </w:numPr>
      </w:pPr>
      <w:r>
        <w:t xml:space="preserve">Faktura nr I/B/2025/10/088/SEMP z 13 października 2025 r. (data sprzedaży 10 października 2025 r.), sprzedawca SEMP, nabywca Wojciech Huc, bez NIP nabywcy. Pozycje: kurs przygotowawczy na platformie szkoleniowej do egzaminu z art. 54 Prawa energetycznego wraz z opłatą za egzamin kwalifikacyjny G1 Dozór – 467,00 zł; szkolenie „G1 Elektryczne Pomiary Wideo” (rabat 99,70%) – 1,00 zł. Zwolnienie z VAT na podstawie art. 43 ust. 1 pkt 29 ustawy o VAT. Wystawiła Sonia Loska.</w:t>
      </w:r>
    </w:p>
    <w:p>
      <w:pPr>
        <w:numPr>
          <w:ilvl w:val="0"/>
          <w:numId w:val="1002"/>
        </w:numPr>
      </w:pPr>
      <w:r>
        <w:t xml:space="preserve">Potwierdzenie przelewu ING z 10 października 2025 r. na 468,00 zł, tytuł I/B/2025/10/165/SEMP/PRO (numer proformy inny niż numer faktury – bez znaczenia dla sprawy).</w:t>
      </w:r>
    </w:p>
    <w:p>
      <w:pPr>
        <w:numPr>
          <w:ilvl w:val="0"/>
          <w:numId w:val="1002"/>
        </w:numPr>
      </w:pPr>
      <w:r>
        <w:t xml:space="preserve">Egzamin 4 listopada 2025 r. przed Komisją nr 739, wynik pozytywny, świadectwo wydane (numer i data wydania do uzupełnienia w piśmie).</w:t>
      </w:r>
    </w:p>
    <w:p>
      <w:pPr>
        <w:numPr>
          <w:ilvl w:val="0"/>
          <w:numId w:val="1002"/>
        </w:numPr>
      </w:pPr>
      <w:r>
        <w:t xml:space="preserve">Kwota 467 zł odpowiada w praktyce opłacie za sprawdzenie kwalifikacji z art. 54 ust. 4 Prawa energetycznego w 2025 r. (10% minimalnego wynagrodzenia 4 666 zł = 466,60 zł). Kurs jest więc faktycznie elementem bezpłatnym, a niemal cała zapłata to opłata egzaminacyjna. To osłabia argument z pkt I.4 pisma, że „również kurs został wykonany”: sąd oceni sprawę przez pryzmat opłaty za egzamin.</w:t>
      </w:r>
    </w:p>
    <w:p>
      <w:pPr>
        <w:numPr>
          <w:ilvl w:val="0"/>
          <w:numId w:val="1002"/>
        </w:numPr>
      </w:pPr>
      <w:r>
        <w:t xml:space="preserve">Huc jest konsumentem (brak NIP, cel zawodowy nie wyłącza statusu konsumenta przy umowie niezwiązanej bezpośrednio z działalnością gospodarczą). Umowa zawarta na odległość przez platformę; stosuje się ustawę o prawach konsumenta.</w:t>
      </w:r>
    </w:p>
    <w:bookmarkEnd w:id="21"/>
    <w:bookmarkStart w:id="22" w:name="X57dd1520a4cbce01400cd69b0a1381b9b437e7b"/>
    <w:p>
      <w:pPr>
        <w:pStyle w:val="Heading3"/>
      </w:pPr>
      <w:r>
        <w:t xml:space="preserve">B. Stan sporu z Prezesem URE (informacje publiczne, bez dostępu do akt)</w:t>
      </w:r>
    </w:p>
    <w:p>
      <w:pPr>
        <w:numPr>
          <w:ilvl w:val="0"/>
          <w:numId w:val="1003"/>
        </w:numPr>
      </w:pPr>
      <w:r>
        <w:t xml:space="preserve">Prezes URE aktem zmieniającym z 30 maja 2025 r. odwołał przewodniczącego, zastępcę przewodniczącego, członka oraz członka-sekretarza Komisji nr 739. Komunikat Prezesa URE z 28 listopada 2025 r. (zmieniony 8 grudnia 2025 r.) stwierdza, że od 30 maja 2025 r. Komisja nie posiada uprawnień do przeprowadzania egzaminów i wydawania świadectw, a wszystkie świadectwa wydane po tej dacie są nieważne jako wydane przez podmiot nieuprawniony. Pierwotna wersja komunikatu podawała, że odwołanie SEMP zostało oddalone prawomocnym postanowieniem sądu; po żądaniu SEMP z 3 grudnia 2025 r. zdanie to usunięto 8 grudnia 2025 r.</w:t>
      </w:r>
    </w:p>
    <w:p>
      <w:pPr>
        <w:numPr>
          <w:ilvl w:val="0"/>
          <w:numId w:val="1003"/>
        </w:numPr>
      </w:pPr>
      <w:r>
        <w:t xml:space="preserve">Oświadczenia SEMP z 4 i 17 grudnia 2025 r.: Stowarzyszenie pozostaje w sporze prawnym z Prezesem URE co do składu osobowego Komisji; akt zmieniający odwołał „niektórych członków”; świadectwa wydane przez Komisję nr 739 są ważne; roszczenia wobec Stowarzyszenia są bezzasadne. Pismo 06 jest zredagowane zgodnie z tym stanowiskiem.</w:t>
      </w:r>
    </w:p>
    <w:p>
      <w:pPr>
        <w:numPr>
          <w:ilvl w:val="0"/>
          <w:numId w:val="1003"/>
        </w:numPr>
      </w:pPr>
      <w:r>
        <w:t xml:space="preserve">Sprawa jest medialna (WP, Interia, portale branżowe). Według portalu atestero.pl na 7 października 2026 r. komunikat URE nadal obowiązuje, a Komisja nr 739 nie figuruje w zestawieniu czynnych komisji.</w:t>
      </w:r>
    </w:p>
    <w:p>
      <w:pPr>
        <w:numPr>
          <w:ilvl w:val="0"/>
          <w:numId w:val="1003"/>
        </w:numPr>
      </w:pPr>
      <w:r>
        <w:t xml:space="preserve">Do ustalenia w aktach Stowarzyszenia, bo od tego zależy obronność pkt II.2–II.3 pisma 06: (a) charakter prawny aktu z 30 maja 2025 r. (decyzja administracyjna czy akt zmieniający akt powołania) i czy odwołano całą Komisję, czy tylko część składu; (b) jaki środek prawny wniesiono (odwołanie do SOKiK, skarga do WSA, inny), sygnatura, etap, treść „prawomocnego postanowienia”, na które powołał się URE (odrzucenie odwołania jako niedopuszczalnego czy oddalenie), i jaki środek jest obecnie w toku; (c) czy po 30 maja 2025 r. Prezes URE powołał nowych członków albo czy Komisja działała w składzie pozostałym; (d) kto zasiadał w zespole egzaminacyjnym 4 listopada 2025 r. i kto podpisał świadectwo Huca – jeżeli podpisał je odwołany przewodniczący lub zastępca, teza o ważności świadectwa jest trudna do obrony; (e) czy kandydaci przystępujący do egzaminów po 30 maja 2025 r. byli informowani o sporze z URE (regulamin, komunikat na stronie, formularz) – kluczowe dla ryzyka z pkt C.2.</w:t>
      </w:r>
    </w:p>
    <w:bookmarkEnd w:id="22"/>
    <w:bookmarkStart w:id="23" w:name="c.-ocena-ryzyk"/>
    <w:p>
      <w:pPr>
        <w:pStyle w:val="Heading3"/>
      </w:pPr>
      <w:r>
        <w:t xml:space="preserve">C. Ocena ryzyk</w:t>
      </w:r>
    </w:p>
    <w:p>
      <w:pPr>
        <w:numPr>
          <w:ilvl w:val="0"/>
          <w:numId w:val="1004"/>
        </w:numPr>
      </w:pPr>
      <w:r>
        <w:t xml:space="preserve">Cywilne. Huc może oprzeć roszczenie na art. 410 § 2 KC (świadczenie nienależne – zapłata za postępowanie kwalifikacyjne, które według URE nie mogło skutecznie się odbyć) albo art. 471 KC. Przy wartości 468 zł postępowanie toczyłoby się w trybie uproszczonym; opłata od pozwu 30 zł, koszty zastępstwa 90 zł. Wynik zależy od tego, czy sąd przyjmie stanowisko URE; przy obecnym stanie publicznym (komunikat obowiązuje, Komisja poza wykazem) prawdopodobieństwo przegranej jest wysokie. Kwota jednostkowa jest bez znaczenia, znaczenie ma precedens dla pozostałych egzaminowanych po 30 maja 2025 r.</w:t>
      </w:r>
    </w:p>
    <w:p>
      <w:pPr>
        <w:numPr>
          <w:ilvl w:val="0"/>
          <w:numId w:val="1004"/>
        </w:numPr>
      </w:pPr>
      <w:r>
        <w:t xml:space="preserve">Konsumenckie i UOKiK. Sprzedaż egzaminów po 30 maja 2025 r. bez informowania kandydatów o akcie Prezesa URE i sporze może zostać uznana za zaniechanie wprowadzające w błąd (art. 6 ustawy o przeciwdziałaniu nieuczciwym praktykom rynkowym) i naruszenie zbiorowych interesów konsumentów (art. 24 ust. 2 pkt 3 ustawy o ochronie konkurencji i konsumentów). Medialność sprawy zwiększa prawdopodobieństwo wystąpienia Prezesa UOKiK. Rzecznik konsumentów może żądać wyjaśnień; odmowa ich udzielenia jest wykroczeniem (art. 42 ust. 4 i art. 114 ustawy o ochronie konkurencji i konsumentów). Odpowiadać rzecznikowi w terminie.</w:t>
      </w:r>
    </w:p>
    <w:p>
      <w:pPr>
        <w:numPr>
          <w:ilvl w:val="0"/>
          <w:numId w:val="1004"/>
        </w:numPr>
      </w:pPr>
      <w:r>
        <w:t xml:space="preserve">Karne. Art. 286 § 1 KK wymaga zamiaru bezpośredniego kierunkowego. Udokumentowane, jawnie bronione stanowisko prawne i wniesione środki zaskarżenia są obroną, ale zawiadomień od kilku lub kilkunastu osób należy się spodziewać. Przygotować jeden zestaw wyjaśnień dla organów (chronologia, akty URE, środki zaskarżenia, oświadczenia, regulamin) zamiast odpowiadać doraźnie.</w:t>
      </w:r>
    </w:p>
    <w:p>
      <w:pPr>
        <w:numPr>
          <w:ilvl w:val="0"/>
          <w:numId w:val="1004"/>
        </w:numPr>
      </w:pPr>
      <w:r>
        <w:t xml:space="preserve">Masowość. Ustalić liczbę osób egzaminowanych po 30 maja 2025 r. i sumę pobranych opłat. Polityka wobec żądań zwrotu musi być jednolita; odpowiedź Hucowi stanie się wzorcem.</w:t>
      </w:r>
    </w:p>
    <w:bookmarkEnd w:id="23"/>
    <w:bookmarkStart w:id="24" w:name="d.-uwagi-do-treści-pisma-06"/>
    <w:p>
      <w:pPr>
        <w:pStyle w:val="Heading3"/>
      </w:pPr>
      <w:r>
        <w:t xml:space="preserve">D. Uwagi do treści pisma 06</w:t>
      </w:r>
    </w:p>
    <w:p>
      <w:pPr>
        <w:numPr>
          <w:ilvl w:val="0"/>
          <w:numId w:val="1005"/>
        </w:numPr>
      </w:pPr>
      <w:r>
        <w:t xml:space="preserve">Pkt II.2 („Komisja nie została odwołana w trybie art. 54 ust. 3b”) i pkt II.3 (ważność świadectwa) wymagają potwierdzenia z aktami (sekcja B.4). Jeżeli odwołano całą Komisję albo świadectwo podpisał odwołany członek, zdania te usunąć i ograniczyć się do „Stowarzyszenie pozostaje w sporze prawnym z Prezesem URE; spór nie został prawomocnie zakończony”.</w:t>
      </w:r>
    </w:p>
    <w:p>
      <w:pPr>
        <w:numPr>
          <w:ilvl w:val="0"/>
          <w:numId w:val="1005"/>
        </w:numPr>
      </w:pPr>
      <w:r>
        <w:t xml:space="preserve">Pkt II.3 zdanie o braku decyzji skierowanej do Huca jest prawdziwe, ale nie przesądza ważności świadectwa; zachować jako argument pomocniczy.</w:t>
      </w:r>
    </w:p>
    <w:p>
      <w:pPr>
        <w:numPr>
          <w:ilvl w:val="0"/>
          <w:numId w:val="1005"/>
        </w:numPr>
      </w:pPr>
      <w:r>
        <w:t xml:space="preserve">Pkt II.4 (zobowiązanie do poinformowania egzaminowanych o wyniku sporu) jest deklaracją organizacyjną – wymaga akceptacji Zarządu; można usunąć.</w:t>
      </w:r>
    </w:p>
    <w:p>
      <w:pPr>
        <w:numPr>
          <w:ilvl w:val="0"/>
          <w:numId w:val="1005"/>
        </w:numPr>
      </w:pPr>
      <w:r>
        <w:t xml:space="preserve">Pkt III.1 celowo nie zawiera ostrzeżeń o zniesławieniu ani o ochronie dóbr osobistych. W sporze konsumenckim o 468 zł, przy medialnym tle, takie ostrzeżenia działają na niekorzyść.</w:t>
      </w:r>
    </w:p>
    <w:p>
      <w:pPr>
        <w:numPr>
          <w:ilvl w:val="0"/>
          <w:numId w:val="1005"/>
        </w:numPr>
      </w:pPr>
      <w:r>
        <w:t xml:space="preserve">Pkt IV.2 – oświadczenie ADR jest obowiązkowe (art. 32 ust. 1 ustawy o pozasądowym rozwiązywaniu sporów konsumenckich); brak oświadczenia oznacza zgodę na ADR. Rekomendacja: przy wariancie A – odmowa; przy wariancie B – zgoda. Adres Śląskiego WIIH w Katowicach do sprawdzenia.</w:t>
      </w:r>
    </w:p>
    <w:bookmarkEnd w:id="24"/>
    <w:bookmarkStart w:id="25" w:name="e.-warianty-decyzji-zarządu"/>
    <w:p>
      <w:pPr>
        <w:pStyle w:val="Heading3"/>
      </w:pPr>
      <w:r>
        <w:t xml:space="preserve">E. Warianty decyzji Zarządu</w:t>
      </w:r>
    </w:p>
    <w:p>
      <w:pPr>
        <w:numPr>
          <w:ilvl w:val="0"/>
          <w:numId w:val="1006"/>
        </w:numPr>
      </w:pPr>
      <w:r>
        <w:t xml:space="preserve">Wariant A (pismo bez pkt V.5): odmowa, zgodna z oświadczeniem z 17 grudnia 2025 r. Zalety: spójność z linią w sporze z URE, brak precedensu. Wady: niemal pewny proces konsumencki, zawiadomienie do prokuratury, materiał dla UOKiK i mediów.</w:t>
      </w:r>
    </w:p>
    <w:p>
      <w:pPr>
        <w:numPr>
          <w:ilvl w:val="0"/>
          <w:numId w:val="1006"/>
        </w:numPr>
      </w:pPr>
      <w:r>
        <w:t xml:space="preserve">Wariant B (pismo z pkt V.5): zwrot opłaty egzaminacyjnej 467 zł bez uznania roszczenia, za zwrotem oryginału świadectwa i zrzeczeniem się roszczeń, albo bezpłatny egzamin przed czynną komisją innego podmiotu. Zalety: zamyka wątek konsumencki i karny za kwotę symboliczną, zwrot oryginału świadectwa usuwa dokument z obrotu. Wady: precedens dla wszystkich egzaminowanych po 30 maja 2025 r. (koszt = liczba osób × ok. 467 zł), możliwe wykorzystanie jako przyznania w sporze z URE (stąd formuła „bez uznania roszczenia” i warunek zwrotu świadectwa). Wariant z egzaminem u innego podmiotu wymaga porozumienia z jednostką prowadzącą czynną komisję.</w:t>
      </w:r>
    </w:p>
    <w:p>
      <w:pPr>
        <w:numPr>
          <w:ilvl w:val="0"/>
          <w:numId w:val="1006"/>
        </w:numPr>
      </w:pPr>
      <w:r>
        <w:t xml:space="preserve">Rekomendacja: wariant A tylko jeżeli Zarząd, po sprawdzeniu pkt B.4, ocenia szanse w sporze z URE jako realne i skład zespołu oraz podpis na świadectwie są bezsporne. W przeciwnym razie wariant B, wdrożony jako jednolita polityka wobec wszystkich zgłaszających się osób, z rezerwą finansową.</w:t>
      </w:r>
    </w:p>
    <w:bookmarkEnd w:id="25"/>
    <w:bookmarkStart w:id="26" w:name="f.-do-ustalenia-przed-wysyłką-pisma-06"/>
    <w:p>
      <w:pPr>
        <w:pStyle w:val="Heading3"/>
      </w:pPr>
      <w:r>
        <w:t xml:space="preserve">F. Do ustalenia przed wysyłką pisma 06</w:t>
      </w:r>
    </w:p>
    <w:p>
      <w:pPr>
        <w:numPr>
          <w:ilvl w:val="0"/>
          <w:numId w:val="1007"/>
        </w:numPr>
        <w:pStyle w:val="Compact"/>
      </w:pPr>
      <w:r>
        <w:t xml:space="preserve">Data doręczenia pisma Huca; wcześniejsza korespondencja od niego i odpowiedzi na nią (art. 7a).</w:t>
      </w:r>
    </w:p>
    <w:p>
      <w:pPr>
        <w:numPr>
          <w:ilvl w:val="0"/>
          <w:numId w:val="1007"/>
        </w:numPr>
        <w:pStyle w:val="Compact"/>
      </w:pPr>
      <w:r>
        <w:t xml:space="preserve">Numer i data wydania świadectwa, data wysyłki i odbioru.</w:t>
      </w:r>
    </w:p>
    <w:p>
      <w:pPr>
        <w:numPr>
          <w:ilvl w:val="0"/>
          <w:numId w:val="1007"/>
        </w:numPr>
        <w:pStyle w:val="Compact"/>
      </w:pPr>
      <w:r>
        <w:t xml:space="preserve">Logi platformy szkoleniowej: data udostępnienia kursu, logowania, ukończenie modułów.</w:t>
      </w:r>
    </w:p>
    <w:p>
      <w:pPr>
        <w:numPr>
          <w:ilvl w:val="0"/>
          <w:numId w:val="1007"/>
        </w:numPr>
        <w:pStyle w:val="Compact"/>
      </w:pPr>
      <w:r>
        <w:t xml:space="preserve">Pozycje z sekcji B.4 (a)–(e).</w:t>
      </w:r>
    </w:p>
    <w:p>
      <w:pPr>
        <w:numPr>
          <w:ilvl w:val="0"/>
          <w:numId w:val="1007"/>
        </w:numPr>
        <w:pStyle w:val="Compact"/>
      </w:pPr>
      <w:r>
        <w:t xml:space="preserve">Decyzja: wariant A czy B; treść oświadczenia ADR.</w:t>
      </w:r>
    </w:p>
    <w:p>
      <w:pPr>
        <w:numPr>
          <w:ilvl w:val="0"/>
          <w:numId w:val="1007"/>
        </w:numPr>
        <w:pStyle w:val="Compact"/>
      </w:pPr>
      <w:r>
        <w:t xml:space="preserve">Czy SEMP jest wpisane do rejestru przedsiębiorców KRS i czy w regulaminie platformy wskazano SEMP jako usługodawcę.</w:t>
      </w:r>
    </w:p>
    <w:p>
      <w:pPr>
        <w:numPr>
          <w:ilvl w:val="0"/>
          <w:numId w:val="1007"/>
        </w:numPr>
        <w:pStyle w:val="Compact"/>
      </w:pPr>
      <w:r>
        <w:t xml:space="preserve">Liczba analogicznych żądań i przyjęta wobec nich linia.</w:t>
      </w:r>
    </w:p>
    <w:p>
      <w:pPr>
        <w:numPr>
          <w:ilvl w:val="0"/>
          <w:numId w:val="1007"/>
        </w:numPr>
        <w:pStyle w:val="Compact"/>
      </w:pPr>
      <w:r>
        <w:t xml:space="preserve">Ubezpieczenie OC Stowarzyszenia – czy obejmuje roszczenia tego rodzaju; obowiązek zgłoszenia szkody.</w:t>
      </w:r>
    </w:p>
    <w:bookmarkEnd w:id="26"/>
    <w:bookmarkEnd w:id="27"/>
    <w:bookmarkStart w:id="32" w:name="iii.-sprawa-wyrwał"/>
    <w:p>
      <w:pPr>
        <w:pStyle w:val="Heading2"/>
      </w:pPr>
      <w:r>
        <w:t xml:space="preserve">III. Sprawa Wyrwał</w:t>
      </w:r>
    </w:p>
    <w:bookmarkStart w:id="28" w:name="a.-stan-faktyczny-według-pisma"/>
    <w:p>
      <w:pPr>
        <w:pStyle w:val="Heading3"/>
      </w:pPr>
      <w:r>
        <w:t xml:space="preserve">A. Stan faktyczny według pisma</w:t>
      </w:r>
    </w:p>
    <w:p>
      <w:pPr>
        <w:numPr>
          <w:ilvl w:val="0"/>
          <w:numId w:val="1008"/>
        </w:numPr>
        <w:pStyle w:val="Compact"/>
      </w:pPr>
      <w:r>
        <w:t xml:space="preserve">Świadectwa kwalifikacyjne (elektryczne i gazowe) na nazwisko Marcina Wyrwała wysłano na błędny adres; odebrała je osoba trzecia. Wyrwał twierdzi, że dowiedział się o tym „w związku z informacją” – prawdopodobnie od Stowarzyszenia.</w:t>
      </w:r>
    </w:p>
    <w:p>
      <w:pPr>
        <w:numPr>
          <w:ilvl w:val="0"/>
          <w:numId w:val="1008"/>
        </w:numPr>
        <w:pStyle w:val="Compact"/>
      </w:pPr>
      <w:r>
        <w:t xml:space="preserve">Twierdzi, że nie otrzymał zawiadomienia z art. 34 RODO, informacji o zgłoszeniu do UODO, o unieważnieniu numerów świadectw ani o środkach minimalizujących skutki.</w:t>
      </w:r>
    </w:p>
    <w:p>
      <w:pPr>
        <w:numPr>
          <w:ilvl w:val="0"/>
          <w:numId w:val="1008"/>
        </w:numPr>
        <w:pStyle w:val="Compact"/>
      </w:pPr>
      <w:r>
        <w:t xml:space="preserve">Żąda: (1) pisemnej informacji z art. 34 i informacji o zgłoszeniu z art. 33; (2) danych IOD lub osoby odpowiedzialnej; (3) unieważnienia świadectw i wydania nowych z nowymi numerami bez kosztów; (4) wydania dokumentów przez inną komisję niż nr 739; (5) 15 000 zł zadośćuczynienia z art. 82 RODO, określonych jako propozycja ugodowa. Termin 7 dni, potem skarga do UODO i droga cywilna. Kontakt wyłącznie pisemny.</w:t>
      </w:r>
    </w:p>
    <w:bookmarkEnd w:id="28"/>
    <w:bookmarkStart w:id="29" w:name="b.-ocena-prawna"/>
    <w:p>
      <w:pPr>
        <w:pStyle w:val="Heading3"/>
      </w:pPr>
      <w:r>
        <w:t xml:space="preserve">B. Ocena prawna</w:t>
      </w:r>
    </w:p>
    <w:p>
      <w:pPr>
        <w:numPr>
          <w:ilvl w:val="0"/>
          <w:numId w:val="1009"/>
        </w:numPr>
      </w:pPr>
      <w:r>
        <w:t xml:space="preserve">Administrator. Komisja kwalifikacyjna nie ma osobowości prawnej; obsługę administracyjną, ewidencję świadectw i wysyłkę prowadzi jednostka, przy której komisja działa. Administratorem jest SEMP. Nie kwestionować tego w piśmie – teza przeciwna jest nieobronna i pogorszyłaby odbiór przez UODO.</w:t>
      </w:r>
    </w:p>
    <w:p>
      <w:pPr>
        <w:numPr>
          <w:ilvl w:val="0"/>
          <w:numId w:val="1009"/>
        </w:numPr>
      </w:pPr>
      <w:r>
        <w:t xml:space="preserve">Naruszenie. Doręczenie dokumentów osobie nieuprawnionej to naruszenie poufności (art. 4 pkt 12 RODO). Zakres danych na świadectwie według wzoru z załącznika nr 3 do rozporządzenia MKiŚ z 1 lipca 2022 r. (Dz.U. poz. 1392) – do sprawdzenia w tekście rozporządzenia; według źródeł branżowych świadectwo zawiera imię i nazwisko, numer PESEL, zakres uprawnień i datę ważności. Jeżeli na świadectwie jest PESEL, zdarzenie według stałej praktyki Prezesa UODO rodzi wysokie ryzyko i wymaga zgłoszenia do organu (art. 33) oraz zawiadomienia osoby (art. 34). Przykłady: decyzja wobec Bank Millennium S.A. (utrata przez kuriera przesyłki z imieniem, nazwiskiem, PESEL i adresem; stwierdzono naruszenie art. 33 ust. 1 i art. 34 ust. 1; utrzymana przez WSA i NSA – sygnatury do potwierdzenia), kara dla Cyfrowego Polsatu za przesyłki kurierskie zagubione lub doręczone niewłaściwym osobom (ok. 1,14 mln zł – do potwierdzenia). Orzecznictwo NSA, według którego zagubienie przesyłki nie oznacza automatycznie naruszenia przez administratora, dotyczy oceny adekwatności środków, nie obowiązku notyfikacji.</w:t>
      </w:r>
    </w:p>
    <w:p>
      <w:pPr>
        <w:numPr>
          <w:ilvl w:val="0"/>
          <w:numId w:val="1009"/>
        </w:numPr>
      </w:pPr>
      <w:r>
        <w:t xml:space="preserve">Skutek braku zgłoszenia. Kara administracyjna z art. 83 ust. 4 lit. a RODO; dla stowarzyszenia realny poziom to kilkanaście–kilkadziesiąt tysięcy złotych (kara dla TUiR Warta za brak zgłoszenia i zawiadomienia wyniosła 85 588 zł – do potwierdzenia). Zgłoszenie po terminie z wyjaśnieniem jest wielokrotnie lepsze niż brak zgłoszenia ujawniony przez skargę osoby.</w:t>
      </w:r>
    </w:p>
    <w:p>
      <w:pPr>
        <w:numPr>
          <w:ilvl w:val="0"/>
          <w:numId w:val="1009"/>
        </w:numPr>
      </w:pPr>
      <w:r>
        <w:t xml:space="preserve">Odpowiedzialność za błędne doręczenie. Trzy scenariusze: (a) błąd SEMP przy adresowaniu – pełna odpowiedzialność; (b) adres zgodny z wnioskiem, błąd operatora – operator pocztowy jest odrębnym administratorem danych adresowych na podstawie Prawa pocztowego, SEMP może powołać art. 82 ust. 3 RODO (pkt III.3 lit. d pisma 07), ale UODO i tak oceni, czy wybór sposobu wysyłki (przesyłka zwykła czy rejestrowana do rąk własnych) był adekwatny do danych w dokumencie; (c) adres błędnie podany przez wnioskodawcę – odpowiedzialność SEMP ograniczona, ale zawiadomienie z art. 34 nadal należne. Pismo 07 zawiera warianty dla każdego scenariusza.</w:t>
      </w:r>
    </w:p>
    <w:p>
      <w:pPr>
        <w:numPr>
          <w:ilvl w:val="0"/>
          <w:numId w:val="1009"/>
        </w:numPr>
      </w:pPr>
      <w:r>
        <w:t xml:space="preserve">Żądanie 15 000 zł. Linia TSUE powołana w pkt III.3 pisma: C-300/21 (samo naruszenie to nie szkoda, brak progu wagi szkody), C-340/21 (obawa może być szkodą, jeżeli jest rzeczywista i wykazana), C-687/21 (dokument wydany osobie trzeciej; ryzyko czysto hipotetyczne nie jest szkodą), C-741/21 (naruszenie nie jest samo w sobie szkodą), C-667/21 i C-590/22 (funkcja wyłącznie kompensacyjna, waga naruszenia bez wpływu na wysokość; C-590/22 dotyczy zeznania podatkowego wysłanego na błędny adres – stan faktyczny bardzo zbliżony). Daty i tezy orzeczeń do potwierdzenia w CURIA przed użyciem w piśmie procesowym. Polskie sądy w sprawach o podobnej skali zasądzały według doniesień prasowych kwoty rzędu 1 000–1 500 zł (do zweryfikowania w SAOS). Właściwość: sąd okręgowy niezależnie od wartości (art. 17 pkt 4⁵ KPC; art. 93 ustawy o ochronie danych osobowych). Koszt pozwu dla Wyrwała: opłata 750 zł i koszty zastępstwa; przy częściowym uwzględnieniu koszty rozdziela się stosunkowo.</w:t>
      </w:r>
    </w:p>
    <w:p>
      <w:pPr>
        <w:numPr>
          <w:ilvl w:val="0"/>
          <w:numId w:val="1009"/>
        </w:numPr>
      </w:pPr>
      <w:r>
        <w:t xml:space="preserve">Żądania 3 i 4. Nowe świadectwa z nowymi numerami i adnotacja w ewidencji Komisji są wykonalne i tanie – uwzględnić. Wydanie dokumentów przez inną komisję bez egzaminu jest prawnie niemożliwe. Istotny kontekst: jeżeli świadectwa Wyrwała wydano po 30 maja 2025 r., URE uważa je za nieważne, a żądanie nr 4 jest prawdopodobnie tym motywowane; nowe świadectwa Komisji nr 739 nie rozwiążą jego problemu praktycznego. Najtańszym i najcenniejszym dla niego elementem ugody jest pokrycie opłat za dwa egzaminy przed czynną komisją (2026 r.: 480,60 zł za egzamin, łącznie ok. 961,20 zł).</w:t>
      </w:r>
    </w:p>
    <w:bookmarkEnd w:id="29"/>
    <w:bookmarkStart w:id="30" w:name="c.-uwagi-do-treści-pisma-07"/>
    <w:p>
      <w:pPr>
        <w:pStyle w:val="Heading3"/>
      </w:pPr>
      <w:r>
        <w:t xml:space="preserve">C. Uwagi do treści pisma 07</w:t>
      </w:r>
    </w:p>
    <w:p>
      <w:pPr>
        <w:numPr>
          <w:ilvl w:val="0"/>
          <w:numId w:val="1010"/>
        </w:numPr>
        <w:pStyle w:val="Compact"/>
      </w:pPr>
      <w:r>
        <w:t xml:space="preserve">Pismo pełni jednocześnie funkcję zawiadomienia z art. 34 RODO; zawiera wszystkie elementy z art. 33 ust. 3 lit. b–d. Wypełnić wszystkie nawiasy; nie wysyłać z pustymi polami.</w:t>
      </w:r>
    </w:p>
    <w:p>
      <w:pPr>
        <w:numPr>
          <w:ilvl w:val="0"/>
          <w:numId w:val="1010"/>
        </w:numPr>
        <w:pStyle w:val="Compact"/>
      </w:pPr>
      <w:r>
        <w:t xml:space="preserve">Nie podawać danych osoby trzeciej, która odebrała przesyłkę, ponad niezbędne minimum.</w:t>
      </w:r>
    </w:p>
    <w:p>
      <w:pPr>
        <w:numPr>
          <w:ilvl w:val="0"/>
          <w:numId w:val="1010"/>
        </w:numPr>
        <w:pStyle w:val="Compact"/>
      </w:pPr>
      <w:r>
        <w:t xml:space="preserve">Pkt II.4 lit. e (zmiana procedury wysyłki) wpisać tylko, jeżeli procedura została faktycznie zmieniona; UODO sprawdza to przy skardze.</w:t>
      </w:r>
    </w:p>
    <w:p>
      <w:pPr>
        <w:numPr>
          <w:ilvl w:val="0"/>
          <w:numId w:val="1010"/>
        </w:numPr>
        <w:pStyle w:val="Compact"/>
      </w:pPr>
      <w:r>
        <w:t xml:space="preserve">Pkt III.3 lit. d (art. 82 ust. 3) wyłącznie w scenariuszu błędu operatora, z dowodem nadania na adres z wniosku.</w:t>
      </w:r>
    </w:p>
    <w:p>
      <w:pPr>
        <w:numPr>
          <w:ilvl w:val="0"/>
          <w:numId w:val="1010"/>
        </w:numPr>
        <w:pStyle w:val="Compact"/>
      </w:pPr>
      <w:r>
        <w:t xml:space="preserve">Pkt IV (ugoda) – do decyzji Zarządu. Rekomendowany zakres: nowe świadectwa, pokrycie opłat za egzaminy przed inną komisją, ewentualnie kwota rzędu 1 000–2 000 zł, w zamian za zrzeczenie się roszczeń i oświadczenie o braku dalszych pretensji; termin związania 14 dni.</w:t>
      </w:r>
    </w:p>
    <w:bookmarkEnd w:id="30"/>
    <w:bookmarkStart w:id="31" w:name="d.-do-ustalenia-przed-wysyłką-pisma-07"/>
    <w:p>
      <w:pPr>
        <w:pStyle w:val="Heading3"/>
      </w:pPr>
      <w:r>
        <w:t xml:space="preserve">D. Do ustalenia przed wysyłką pisma 07</w:t>
      </w:r>
    </w:p>
    <w:p>
      <w:pPr>
        <w:numPr>
          <w:ilvl w:val="0"/>
          <w:numId w:val="1011"/>
        </w:numPr>
        <w:pStyle w:val="Compact"/>
      </w:pPr>
      <w:r>
        <w:t xml:space="preserve">Data wpływu pisma i czy była wcześniejsza korespondencja z Wyrwałem w tej sprawie (kto, kiedy i co mu przekazał).</w:t>
      </w:r>
    </w:p>
    <w:p>
      <w:pPr>
        <w:numPr>
          <w:ilvl w:val="0"/>
          <w:numId w:val="1011"/>
        </w:numPr>
        <w:pStyle w:val="Compact"/>
      </w:pPr>
      <w:r>
        <w:t xml:space="preserve">Przebieg zdarzenia: data i rodzaj przesyłki, numer nadania, adres na przesyłce, źródło adresu (wniosek), kto odebrał, jak SEMP się dowiedziało, czy dokumenty odzyskano, oświadczenie odbiorcy, reklamacja u operatora.</w:t>
      </w:r>
    </w:p>
    <w:p>
      <w:pPr>
        <w:numPr>
          <w:ilvl w:val="0"/>
          <w:numId w:val="1011"/>
        </w:numPr>
        <w:pStyle w:val="Compact"/>
      </w:pPr>
      <w:r>
        <w:t xml:space="preserve">Czy naruszenie zgłoszono Prezesowi UODO (data, numer); czy wpisano je do wewnętrznego rejestru naruszeń (art. 33 ust. 5 RODO).</w:t>
      </w:r>
    </w:p>
    <w:p>
      <w:pPr>
        <w:numPr>
          <w:ilvl w:val="0"/>
          <w:numId w:val="1011"/>
        </w:numPr>
        <w:pStyle w:val="Compact"/>
      </w:pPr>
      <w:r>
        <w:t xml:space="preserve">Czy wyznaczono IOD; kto odpowiada za ochronę danych; dane kontaktowe.</w:t>
      </w:r>
    </w:p>
    <w:p>
      <w:pPr>
        <w:numPr>
          <w:ilvl w:val="0"/>
          <w:numId w:val="1011"/>
        </w:numPr>
        <w:pStyle w:val="Compact"/>
      </w:pPr>
      <w:r>
        <w:t xml:space="preserve">Zakres danych na świadectwie (sprawdzić w załączniku nr 3 do rozporządzenia i na egzemplarzu).</w:t>
      </w:r>
    </w:p>
    <w:p>
      <w:pPr>
        <w:numPr>
          <w:ilvl w:val="0"/>
          <w:numId w:val="1011"/>
        </w:numPr>
        <w:pStyle w:val="Compact"/>
      </w:pPr>
      <w:r>
        <w:t xml:space="preserve">Numery i daty wydania świadectw Wyrwała (przed czy po 30 maja 2025 r.).</w:t>
      </w:r>
    </w:p>
    <w:p>
      <w:pPr>
        <w:numPr>
          <w:ilvl w:val="0"/>
          <w:numId w:val="1011"/>
        </w:numPr>
        <w:pStyle w:val="Compact"/>
      </w:pPr>
      <w:r>
        <w:t xml:space="preserve">Procedura wysyłki świadectw obecnie obowiązująca; czy były inne przypadki błędnych doręczeń (ryzyko systemowe).</w:t>
      </w:r>
    </w:p>
    <w:p>
      <w:pPr>
        <w:numPr>
          <w:ilvl w:val="0"/>
          <w:numId w:val="1011"/>
        </w:numPr>
        <w:pStyle w:val="Compact"/>
      </w:pPr>
      <w:r>
        <w:t xml:space="preserve">Decyzja Zarządu co do ugody i jej zakresu.</w:t>
      </w:r>
    </w:p>
    <w:p>
      <w:pPr>
        <w:numPr>
          <w:ilvl w:val="0"/>
          <w:numId w:val="1011"/>
        </w:numPr>
        <w:pStyle w:val="Compact"/>
      </w:pPr>
      <w:r>
        <w:t xml:space="preserve">Ubezpieczenie OC – zgłoszenie roszczenia.</w:t>
      </w:r>
    </w:p>
    <w:bookmarkEnd w:id="31"/>
    <w:bookmarkEnd w:id="32"/>
    <w:bookmarkStart w:id="33" w:name="iv.-podpis-wysyłka-archiwizacja"/>
    <w:p>
      <w:pPr>
        <w:pStyle w:val="Heading2"/>
      </w:pPr>
      <w:r>
        <w:t xml:space="preserve">IV. Podpis, wysyłka, archiwizacja</w:t>
      </w:r>
    </w:p>
    <w:p>
      <w:pPr>
        <w:numPr>
          <w:ilvl w:val="0"/>
          <w:numId w:val="1012"/>
        </w:numPr>
        <w:pStyle w:val="Compact"/>
      </w:pPr>
      <w:r>
        <w:t xml:space="preserve">Oba pisma: list polecony za zwrotnym potwierdzeniem odbioru oraz e-mail. Dla Huca wymaga tego art. 7a ust. 3 ustawy o prawach konsumenta (trwały nośnik), dla Wyrwała jego żądanie formy pisemnej. Zachować dowody nadania i doręczenia.</w:t>
      </w:r>
    </w:p>
    <w:p>
      <w:pPr>
        <w:numPr>
          <w:ilvl w:val="0"/>
          <w:numId w:val="1012"/>
        </w:numPr>
        <w:pStyle w:val="Compact"/>
      </w:pPr>
      <w:r>
        <w:t xml:space="preserve">Podpis: Zarząd zgodnie z reprezentacją w KRS 0000953744 albo pełnomocnik z pisemnym pełnomocnictwem (art. 99 § 2 KC) załączonym do pisma.</w:t>
      </w:r>
    </w:p>
    <w:p>
      <w:pPr>
        <w:numPr>
          <w:ilvl w:val="0"/>
          <w:numId w:val="1012"/>
        </w:numPr>
        <w:pStyle w:val="Compact"/>
      </w:pPr>
      <w:r>
        <w:t xml:space="preserve">Daty pism uzupełnić na dzień wysyłki. Numeracja pism zgodna z dotychczasową (06, 07).</w:t>
      </w:r>
    </w:p>
    <w:p>
      <w:pPr>
        <w:numPr>
          <w:ilvl w:val="0"/>
          <w:numId w:val="1012"/>
        </w:numPr>
        <w:pStyle w:val="Compact"/>
      </w:pPr>
      <w:r>
        <w:t xml:space="preserve">Założyć odrębne teczki: „Huc – zwrot opłaty” i „Wyrwał – naruszenie ochrony danych”; w drugiej umieścić zgłoszenie do UODO, oświadczenie odbiorcy, dowody wysyłki nowych świadectw.</w:t>
      </w:r>
    </w:p>
    <w:bookmarkEnd w:id="33"/>
    <w:bookmarkStart w:id="34" w:name="Xfc05e419f8fd2e9e54c16d5ec60f3fc35e2bc0d"/>
    <w:p>
      <w:pPr>
        <w:pStyle w:val="Heading2"/>
      </w:pPr>
      <w:r>
        <w:t xml:space="preserve">V. Weryfikacje w LEX/Legalis przed wysyłką</w:t>
      </w:r>
    </w:p>
    <w:p>
      <w:pPr>
        <w:numPr>
          <w:ilvl w:val="0"/>
          <w:numId w:val="1013"/>
        </w:numPr>
        <w:pStyle w:val="Compact"/>
      </w:pPr>
      <w:r>
        <w:t xml:space="preserve">Art. 54 ust. 1–4 Prawa energetycznego (tekst jednolity Dz.U. 2026 poz. 43 ze zmianami) – aktualne brzmienie ust. 3, 3a, 3b.</w:t>
      </w:r>
    </w:p>
    <w:p>
      <w:pPr>
        <w:numPr>
          <w:ilvl w:val="0"/>
          <w:numId w:val="1013"/>
        </w:numPr>
        <w:pStyle w:val="Compact"/>
      </w:pPr>
      <w:r>
        <w:t xml:space="preserve">Rozporządzenie MKiŚ z 1 lipca 2022 r. (Dz.U. poz. 1392): skład zespołu egzaminacyjnego, kto podpisuje świadectwo, wzór świadectwa (załącznik nr 3 – zakres danych), termin wydania (§ 13), zasady dotyczące opłaty i jej zwrotu, ewidencja świadectw.</w:t>
      </w:r>
    </w:p>
    <w:p>
      <w:pPr>
        <w:numPr>
          <w:ilvl w:val="0"/>
          <w:numId w:val="1013"/>
        </w:numPr>
        <w:pStyle w:val="Compact"/>
      </w:pPr>
      <w:r>
        <w:t xml:space="preserve">Art. 7a ustawy o prawach konsumenta (Dz.U. 2024 poz. 1796) – 14 dni, skutek braku odpowiedzi, trwały nośnik.</w:t>
      </w:r>
    </w:p>
    <w:p>
      <w:pPr>
        <w:numPr>
          <w:ilvl w:val="0"/>
          <w:numId w:val="1013"/>
        </w:numPr>
        <w:pStyle w:val="Compact"/>
      </w:pPr>
      <w:r>
        <w:t xml:space="preserve">Art. 32 ustawy z 23 września 2016 r. o pozasądowym rozwiązywaniu sporów konsumenckich – treść oświadczenia; właściwy podmiot ADR i jego adres.</w:t>
      </w:r>
    </w:p>
    <w:p>
      <w:pPr>
        <w:numPr>
          <w:ilvl w:val="0"/>
          <w:numId w:val="1013"/>
        </w:numPr>
        <w:pStyle w:val="Compact"/>
      </w:pPr>
      <w:r>
        <w:t xml:space="preserve">Art. 17 pkt 4⁵ KPC i art. 93 ustawy o ochronie danych osobowych – właściwość sądu okręgowego.</w:t>
      </w:r>
    </w:p>
    <w:p>
      <w:pPr>
        <w:numPr>
          <w:ilvl w:val="0"/>
          <w:numId w:val="1013"/>
        </w:numPr>
        <w:pStyle w:val="Compact"/>
      </w:pPr>
      <w:r>
        <w:t xml:space="preserve">Wyroki TSUE: C-300/21, C-340/21, C-456/22, C-667/21, C-687/21, C-741/21, C-590/22 – daty i tezy.</w:t>
      </w:r>
    </w:p>
    <w:p>
      <w:pPr>
        <w:numPr>
          <w:ilvl w:val="0"/>
          <w:numId w:val="1013"/>
        </w:numPr>
        <w:pStyle w:val="Compact"/>
      </w:pPr>
      <w:r>
        <w:t xml:space="preserve">Decyzje Prezesa UODO: Bank Millennium (sygnatura DKN, wyroki WSA i NSA), Cyfrowy Polsat, TUiR Warta – sygnatury i kwoty.</w:t>
      </w:r>
    </w:p>
    <w:p>
      <w:pPr>
        <w:numPr>
          <w:ilvl w:val="0"/>
          <w:numId w:val="1013"/>
        </w:numPr>
        <w:pStyle w:val="Compact"/>
      </w:pPr>
      <w:r>
        <w:t xml:space="preserve">Rejestr Zastrzeżeń Numerów PESEL – podstawa prawna (ustawa z 7 lipca 2023 r.) i aktualny sposób zastrzeżenia, na potrzeby zaleceń w pkt II.4 pisma 07.</w:t>
      </w:r>
    </w:p>
    <w:bookmarkEnd w:id="34"/>
    <w:bookmarkStart w:id="35" w:name="vi.-zastrzeżenie-co-do-źródeł"/>
    <w:p>
      <w:pPr>
        <w:pStyle w:val="Heading2"/>
      </w:pPr>
      <w:r>
        <w:t xml:space="preserve">VI. Zastrzeżenie co do źródeł</w:t>
      </w:r>
    </w:p>
    <w:p>
      <w:pPr>
        <w:pStyle w:val="FirstParagraph"/>
      </w:pPr>
      <w:r>
        <w:t xml:space="preserve">Bezpośredni dostęp do stron ure.gov.pl, semp.org.pl, eli.gov.pl, lexlege.pl, eur-lex.europa.eu oraz portali prasowych był w tej sesji zablokowany polityką sieciową. Treść komunikatu URE, oświadczeń SEMP i orzeczeń ustalono na podstawie streszczeń z wyszukiwarki, nie z tekstów pierwotnych. Pozycje oznaczone „do potwierdzenia” sprawdzić przed użyciem w korespondencji z organami lub w pismach procesowych.</w:t>
      </w:r>
    </w:p>
    <w:bookmarkEnd w:id="35"/>
    <w:bookmarkStart w:id="65" w:name="vii.-źródła"/>
    <w:p>
      <w:pPr>
        <w:pStyle w:val="Heading2"/>
      </w:pPr>
      <w:r>
        <w:t xml:space="preserve">VII. Źródła</w:t>
      </w:r>
    </w:p>
    <w:p>
      <w:pPr>
        <w:numPr>
          <w:ilvl w:val="0"/>
          <w:numId w:val="1014"/>
        </w:numPr>
        <w:pStyle w:val="Compact"/>
      </w:pPr>
      <w:hyperlink r:id="rId36">
        <w:r>
          <w:rPr>
            <w:rStyle w:val="Hyperlink"/>
          </w:rPr>
          <w:t xml:space="preserve">Komunikat Prezesa URE: Komisja Kwalifikacyjna nr 739 utraciła uprawnienia (28.11.2025, zm. 8.12.2025)</w:t>
        </w:r>
      </w:hyperlink>
    </w:p>
    <w:p>
      <w:pPr>
        <w:numPr>
          <w:ilvl w:val="0"/>
          <w:numId w:val="1014"/>
        </w:numPr>
        <w:pStyle w:val="Compact"/>
      </w:pPr>
      <w:hyperlink r:id="rId37">
        <w:r>
          <w:rPr>
            <w:rStyle w:val="Hyperlink"/>
          </w:rPr>
          <w:t xml:space="preserve">Wpis URE na X (30.11.2025)</w:t>
        </w:r>
      </w:hyperlink>
    </w:p>
    <w:p>
      <w:pPr>
        <w:numPr>
          <w:ilvl w:val="0"/>
          <w:numId w:val="1014"/>
        </w:numPr>
        <w:pStyle w:val="Compact"/>
      </w:pPr>
      <w:hyperlink r:id="rId38">
        <w:r>
          <w:rPr>
            <w:rStyle w:val="Hyperlink"/>
          </w:rPr>
          <w:t xml:space="preserve">Strona SEMP – oświadczenia z 4 i 17 grudnia 2025 r.</w:t>
        </w:r>
      </w:hyperlink>
    </w:p>
    <w:p>
      <w:pPr>
        <w:numPr>
          <w:ilvl w:val="0"/>
          <w:numId w:val="1014"/>
        </w:numPr>
        <w:pStyle w:val="Compact"/>
      </w:pPr>
      <w:hyperlink r:id="rId39">
        <w:r>
          <w:rPr>
            <w:rStyle w:val="Hyperlink"/>
          </w:rPr>
          <w:t xml:space="preserve">Elektryka Prąd Nie Tyka – URE: świadectwa wydane po 30 maja 2025 r. przez komisję z Sosnowca są nieważne</w:t>
        </w:r>
      </w:hyperlink>
    </w:p>
    <w:p>
      <w:pPr>
        <w:numPr>
          <w:ilvl w:val="0"/>
          <w:numId w:val="1014"/>
        </w:numPr>
        <w:pStyle w:val="Compact"/>
      </w:pPr>
      <w:hyperlink r:id="rId40">
        <w:r>
          <w:rPr>
            <w:rStyle w:val="Hyperlink"/>
          </w:rPr>
          <w:t xml:space="preserve">WP Finanse – Zapłacili prawie 500 zł, nie mogą pracować</w:t>
        </w:r>
      </w:hyperlink>
    </w:p>
    <w:p>
      <w:pPr>
        <w:numPr>
          <w:ilvl w:val="0"/>
          <w:numId w:val="1014"/>
        </w:numPr>
        <w:pStyle w:val="Compact"/>
      </w:pPr>
      <w:hyperlink r:id="rId41">
        <w:r>
          <w:rPr>
            <w:rStyle w:val="Hyperlink"/>
          </w:rPr>
          <w:t xml:space="preserve">Interia – Dokumenty części energetyków są nieważne</w:t>
        </w:r>
      </w:hyperlink>
    </w:p>
    <w:p>
      <w:pPr>
        <w:numPr>
          <w:ilvl w:val="0"/>
          <w:numId w:val="1014"/>
        </w:numPr>
        <w:pStyle w:val="Compact"/>
      </w:pPr>
      <w:hyperlink r:id="rId42">
        <w:r>
          <w:rPr>
            <w:rStyle w:val="Hyperlink"/>
          </w:rPr>
          <w:t xml:space="preserve">Interia – Ukończyli kurs i zdali egzaminy, teraz nie mogą pracować</w:t>
        </w:r>
      </w:hyperlink>
    </w:p>
    <w:p>
      <w:pPr>
        <w:numPr>
          <w:ilvl w:val="0"/>
          <w:numId w:val="1014"/>
        </w:numPr>
        <w:pStyle w:val="Compact"/>
      </w:pPr>
      <w:hyperlink r:id="rId43">
        <w:r>
          <w:rPr>
            <w:rStyle w:val="Hyperlink"/>
          </w:rPr>
          <w:t xml:space="preserve">atestero.pl – ważność uprawnień SEP (stan 7.10.2026)</w:t>
        </w:r>
      </w:hyperlink>
    </w:p>
    <w:p>
      <w:pPr>
        <w:numPr>
          <w:ilvl w:val="0"/>
          <w:numId w:val="1014"/>
        </w:numPr>
        <w:pStyle w:val="Compact"/>
      </w:pPr>
      <w:hyperlink r:id="rId44">
        <w:r>
          <w:rPr>
            <w:rStyle w:val="Hyperlink"/>
          </w:rPr>
          <w:t xml:space="preserve">Art. 54 Prawa energetycznego – arslege</w:t>
        </w:r>
      </w:hyperlink>
    </w:p>
    <w:p>
      <w:pPr>
        <w:numPr>
          <w:ilvl w:val="0"/>
          <w:numId w:val="1014"/>
        </w:numPr>
        <w:pStyle w:val="Compact"/>
      </w:pPr>
      <w:hyperlink r:id="rId45">
        <w:r>
          <w:rPr>
            <w:rStyle w:val="Hyperlink"/>
          </w:rPr>
          <w:t xml:space="preserve">Art. 54 Prawa energetycznego – lexlege</w:t>
        </w:r>
      </w:hyperlink>
    </w:p>
    <w:p>
      <w:pPr>
        <w:numPr>
          <w:ilvl w:val="0"/>
          <w:numId w:val="1014"/>
        </w:numPr>
        <w:pStyle w:val="Compact"/>
      </w:pPr>
      <w:hyperlink r:id="rId46">
        <w:r>
          <w:rPr>
            <w:rStyle w:val="Hyperlink"/>
          </w:rPr>
          <w:t xml:space="preserve">Rozporządzenie MKiŚ z 1.07.2022 r., Dz.U. poz. 1392 – ISAP</w:t>
        </w:r>
      </w:hyperlink>
    </w:p>
    <w:p>
      <w:pPr>
        <w:numPr>
          <w:ilvl w:val="0"/>
          <w:numId w:val="1014"/>
        </w:numPr>
        <w:pStyle w:val="Compact"/>
      </w:pPr>
      <w:hyperlink r:id="rId47">
        <w:r>
          <w:rPr>
            <w:rStyle w:val="Hyperlink"/>
          </w:rPr>
          <w:t xml:space="preserve">Rozporządzenie MKiŚ z 1.07.2022 r. – omówienie (Portal BHP)</w:t>
        </w:r>
      </w:hyperlink>
    </w:p>
    <w:p>
      <w:pPr>
        <w:numPr>
          <w:ilvl w:val="0"/>
          <w:numId w:val="1014"/>
        </w:numPr>
        <w:pStyle w:val="Compact"/>
      </w:pPr>
      <w:hyperlink r:id="rId48">
        <w:r>
          <w:rPr>
            <w:rStyle w:val="Hyperlink"/>
          </w:rPr>
          <w:t xml:space="preserve">Art. 7a ustawy o prawach konsumenta – arslege</w:t>
        </w:r>
      </w:hyperlink>
    </w:p>
    <w:p>
      <w:pPr>
        <w:numPr>
          <w:ilvl w:val="0"/>
          <w:numId w:val="1014"/>
        </w:numPr>
        <w:pStyle w:val="Compact"/>
      </w:pPr>
      <w:hyperlink r:id="rId49">
        <w:r>
          <w:rPr>
            <w:rStyle w:val="Hyperlink"/>
          </w:rPr>
          <w:t xml:space="preserve">Ustawa o pozasądowym rozwiązywaniu sporów konsumenckich, Dz.U. 2016 poz. 1823 – ELI</w:t>
        </w:r>
      </w:hyperlink>
    </w:p>
    <w:p>
      <w:pPr>
        <w:numPr>
          <w:ilvl w:val="0"/>
          <w:numId w:val="1014"/>
        </w:numPr>
        <w:pStyle w:val="Compact"/>
      </w:pPr>
      <w:hyperlink r:id="rId50">
        <w:r>
          <w:rPr>
            <w:rStyle w:val="Hyperlink"/>
          </w:rPr>
          <w:t xml:space="preserve">Postępowanie reklamacyjne – obowiązki przedsiębiorcy (poradnikprzedsiebiorcy.pl)</w:t>
        </w:r>
      </w:hyperlink>
    </w:p>
    <w:p>
      <w:pPr>
        <w:numPr>
          <w:ilvl w:val="0"/>
          <w:numId w:val="1014"/>
        </w:numPr>
        <w:pStyle w:val="Compact"/>
      </w:pPr>
      <w:hyperlink r:id="rId51">
        <w:r>
          <w:rPr>
            <w:rStyle w:val="Hyperlink"/>
          </w:rPr>
          <w:t xml:space="preserve">TSUE C-687/21 – omówienie (McCann FitzGerald)</w:t>
        </w:r>
      </w:hyperlink>
    </w:p>
    <w:p>
      <w:pPr>
        <w:numPr>
          <w:ilvl w:val="0"/>
          <w:numId w:val="1014"/>
        </w:numPr>
        <w:pStyle w:val="Compact"/>
      </w:pPr>
      <w:hyperlink r:id="rId52">
        <w:r>
          <w:rPr>
            <w:rStyle w:val="Hyperlink"/>
          </w:rPr>
          <w:t xml:space="preserve">TSUE C-687/21 – komunikat w Dz.Urz. UE C/2024/1993</w:t>
        </w:r>
      </w:hyperlink>
    </w:p>
    <w:p>
      <w:pPr>
        <w:numPr>
          <w:ilvl w:val="0"/>
          <w:numId w:val="1014"/>
        </w:numPr>
        <w:pStyle w:val="Compact"/>
      </w:pPr>
      <w:hyperlink r:id="rId53">
        <w:r>
          <w:rPr>
            <w:rStyle w:val="Hyperlink"/>
          </w:rPr>
          <w:t xml:space="preserve">Przegląd pięciu wyroków TSUE o odszkodowaniach z RODO (Inside Privacy)</w:t>
        </w:r>
      </w:hyperlink>
    </w:p>
    <w:p>
      <w:pPr>
        <w:numPr>
          <w:ilvl w:val="0"/>
          <w:numId w:val="1014"/>
        </w:numPr>
        <w:pStyle w:val="Compact"/>
      </w:pPr>
      <w:hyperlink r:id="rId54">
        <w:r>
          <w:rPr>
            <w:rStyle w:val="Hyperlink"/>
          </w:rPr>
          <w:t xml:space="preserve">TSUE C-590/22 – zeznanie podatkowe wysłane na błędny adres (2B Advice)</w:t>
        </w:r>
      </w:hyperlink>
    </w:p>
    <w:p>
      <w:pPr>
        <w:numPr>
          <w:ilvl w:val="0"/>
          <w:numId w:val="1014"/>
        </w:numPr>
        <w:pStyle w:val="Compact"/>
      </w:pPr>
      <w:hyperlink r:id="rId55">
        <w:r>
          <w:rPr>
            <w:rStyle w:val="Hyperlink"/>
          </w:rPr>
          <w:t xml:space="preserve">Komentarz Prezesa UODO do wyroku C-590/22</w:t>
        </w:r>
      </w:hyperlink>
    </w:p>
    <w:p>
      <w:pPr>
        <w:numPr>
          <w:ilvl w:val="0"/>
          <w:numId w:val="1014"/>
        </w:numPr>
        <w:pStyle w:val="Compact"/>
      </w:pPr>
      <w:hyperlink r:id="rId56">
        <w:r>
          <w:rPr>
            <w:rStyle w:val="Hyperlink"/>
          </w:rPr>
          <w:t xml:space="preserve">Wykładnia art. 82 RODO po wyroku TSUE (prawo.pl)</w:t>
        </w:r>
      </w:hyperlink>
    </w:p>
    <w:p>
      <w:pPr>
        <w:numPr>
          <w:ilvl w:val="0"/>
          <w:numId w:val="1014"/>
        </w:numPr>
        <w:pStyle w:val="Compact"/>
      </w:pPr>
      <w:hyperlink r:id="rId57">
        <w:r>
          <w:rPr>
            <w:rStyle w:val="Hyperlink"/>
          </w:rPr>
          <w:t xml:space="preserve">Obawa przed wykorzystaniem danych jako szkoda – C-340/21 (Lege Artis)</w:t>
        </w:r>
      </w:hyperlink>
    </w:p>
    <w:p>
      <w:pPr>
        <w:numPr>
          <w:ilvl w:val="0"/>
          <w:numId w:val="1014"/>
        </w:numPr>
        <w:pStyle w:val="Compact"/>
      </w:pPr>
      <w:hyperlink r:id="rId58">
        <w:r>
          <w:rPr>
            <w:rStyle w:val="Hyperlink"/>
          </w:rPr>
          <w:t xml:space="preserve">Wyciek danych – o zadośćuczynienie można walczyć w sądzie; kwoty zasądzane (prawo.pl)</w:t>
        </w:r>
      </w:hyperlink>
    </w:p>
    <w:p>
      <w:pPr>
        <w:numPr>
          <w:ilvl w:val="0"/>
          <w:numId w:val="1014"/>
        </w:numPr>
        <w:pStyle w:val="Compact"/>
      </w:pPr>
      <w:hyperlink r:id="rId59">
        <w:r>
          <w:rPr>
            <w:rStyle w:val="Hyperlink"/>
          </w:rPr>
          <w:t xml:space="preserve">Bank Millennium – kurier zgubił przesyłkę, obowiązek zawiadomienia (Bezprawnik)</w:t>
        </w:r>
      </w:hyperlink>
    </w:p>
    <w:p>
      <w:pPr>
        <w:numPr>
          <w:ilvl w:val="0"/>
          <w:numId w:val="1014"/>
        </w:numPr>
        <w:pStyle w:val="Compact"/>
      </w:pPr>
      <w:hyperlink r:id="rId60">
        <w:r>
          <w:rPr>
            <w:rStyle w:val="Hyperlink"/>
          </w:rPr>
          <w:t xml:space="preserve">Bank Millennium – NSA utrzymał rozstrzygnięcie (rp.pl)</w:t>
        </w:r>
      </w:hyperlink>
    </w:p>
    <w:p>
      <w:pPr>
        <w:numPr>
          <w:ilvl w:val="0"/>
          <w:numId w:val="1014"/>
        </w:numPr>
        <w:pStyle w:val="Compact"/>
      </w:pPr>
      <w:hyperlink r:id="rId61">
        <w:r>
          <w:rPr>
            <w:rStyle w:val="Hyperlink"/>
          </w:rPr>
          <w:t xml:space="preserve">Kara dla Cyfrowego Polsatu za przesyłki kurierskie (android.com.pl)</w:t>
        </w:r>
      </w:hyperlink>
    </w:p>
    <w:p>
      <w:pPr>
        <w:numPr>
          <w:ilvl w:val="0"/>
          <w:numId w:val="1014"/>
        </w:numPr>
        <w:pStyle w:val="Compact"/>
      </w:pPr>
      <w:hyperlink r:id="rId62">
        <w:r>
          <w:rPr>
            <w:rStyle w:val="Hyperlink"/>
          </w:rPr>
          <w:t xml:space="preserve">Zgubiona przesyłka z danymi – kto odpowiada; orzecznictwo NSA (poradnikprzedsiebiorcy.pl)</w:t>
        </w:r>
      </w:hyperlink>
    </w:p>
    <w:p>
      <w:pPr>
        <w:numPr>
          <w:ilvl w:val="0"/>
          <w:numId w:val="1014"/>
        </w:numPr>
        <w:pStyle w:val="Compact"/>
      </w:pPr>
      <w:hyperlink r:id="rId63">
        <w:r>
          <w:rPr>
            <w:rStyle w:val="Hyperlink"/>
          </w:rPr>
          <w:t xml:space="preserve">Czy firma kurierska jest administratorem danych w przesyłkach (Lege Artis)</w:t>
        </w:r>
      </w:hyperlink>
    </w:p>
    <w:p>
      <w:pPr>
        <w:numPr>
          <w:ilvl w:val="0"/>
          <w:numId w:val="1014"/>
        </w:numPr>
        <w:pStyle w:val="Compact"/>
      </w:pPr>
      <w:hyperlink r:id="rId64">
        <w:r>
          <w:rPr>
            <w:rStyle w:val="Hyperlink"/>
          </w:rPr>
          <w:t xml:space="preserve">Właściwość sądu okręgowego w sprawach z RODO – rozdział 10 ustawy o ochronie danych osobowych (lexlege)</w:t>
        </w:r>
      </w:hyperlink>
    </w:p>
    <w:bookmarkEnd w:id="65"/>
    <w:bookmarkEnd w:id="66"/>
    <w:sectPr w:rsidR="00FC693F" w:rsidRPr="0006063C" w:rsidSect="00034616">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eastAsia="Calibri" w:hAnsi="Calibri"/>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2b-advice.com/en/2024/06/21/eugh-rules-on-sending-a-tax-return-to-the-wrong-address/" TargetMode="External" /><Relationship Type="http://schemas.openxmlformats.org/officeDocument/2006/relationships/hyperlink" Id="rId61" Target="https://android.com.pl/news/407118-wysoka-kara-dla-cyfrowego-polsatu/" TargetMode="External" /><Relationship Type="http://schemas.openxmlformats.org/officeDocument/2006/relationships/hyperlink" Id="rId44" Target="https://arslege.pl/kwalifikacje-osob-zajmujacych-sie-eksploatacja-sieci-oraz-urzadzen-i-instalacji-komisje-kwalifikacyjne/k257/a23893/" TargetMode="External" /><Relationship Type="http://schemas.openxmlformats.org/officeDocument/2006/relationships/hyperlink" Id="rId48" Target="https://arslege.pl/ustawa-o-prawach-konsumenta/k1270/a98761/" TargetMode="External" /><Relationship Type="http://schemas.openxmlformats.org/officeDocument/2006/relationships/hyperlink" Id="rId43" Target="https://atestero.pl/baza-wiedzy/waznosc-uprawnien-sep" TargetMode="External" /><Relationship Type="http://schemas.openxmlformats.org/officeDocument/2006/relationships/hyperlink" Id="rId59" Target="https://bezprawnik.pl/kurier-zgubil-list-z-pesel-ami-bank-millennium-mial-obowiazek-ostrzec-klientow/" TargetMode="External" /><Relationship Type="http://schemas.openxmlformats.org/officeDocument/2006/relationships/hyperlink" Id="rId55" Target="https://bip.uodo.gov.pl/pl/file/5533" TargetMode="External" /><Relationship Type="http://schemas.openxmlformats.org/officeDocument/2006/relationships/hyperlink" Id="rId41" Target="https://biznes.interia.pl/praca/news-dokumenty-czesci-energetykow-sa-niewazne-ure-wydal-komunikat,nId,22462605" TargetMode="External" /><Relationship Type="http://schemas.openxmlformats.org/officeDocument/2006/relationships/hyperlink" Id="rId42" Target="https://biznes.interia.pl/praca/news-zaplacili-500-zl-za-kurs-ale-nie-moga-pracowac-elektrycy-z-n,nId,22508392" TargetMode="External" /><Relationship Type="http://schemas.openxmlformats.org/officeDocument/2006/relationships/hyperlink" Id="rId57" Target="https://czasopismo.legeartis.org/2024/06/obawa-przed-skutkami-wykorzystania-danych-osobowych-odszkodowanie-naruszenie-rodo-wyrok-tsue/" TargetMode="External" /><Relationship Type="http://schemas.openxmlformats.org/officeDocument/2006/relationships/hyperlink" Id="rId63" Target="https://czasopismo.legeartis.org/tag/art-34-rodo/" TargetMode="External" /><Relationship Type="http://schemas.openxmlformats.org/officeDocument/2006/relationships/hyperlink" Id="rId39" Target="https://elektrykapradnietyka.com/62422/ure-swiadectwa-kwalifikacyjne-niewazne-komisja-smep-sosnowiec/" TargetMode="External" /><Relationship Type="http://schemas.openxmlformats.org/officeDocument/2006/relationships/hyperlink" Id="rId49" Target="https://eli.gov.pl/eli/DU/2016/1823/ogl/pol/pdf" TargetMode="External" /><Relationship Type="http://schemas.openxmlformats.org/officeDocument/2006/relationships/hyperlink" Id="rId52" Target="https://eur-lex.europa.eu/eli/C/2024/1993/oj" TargetMode="External" /><Relationship Type="http://schemas.openxmlformats.org/officeDocument/2006/relationships/hyperlink" Id="rId40" Target="https://finanse.wp.pl/zaplacili-500-zl-zdali-egzamin-elektrycy-i-tak-nie-moga-pracowac-7243247992355296a" TargetMode="External" /><Relationship Type="http://schemas.openxmlformats.org/officeDocument/2006/relationships/hyperlink" Id="rId46" Target="https://isap.sejm.gov.pl/isap.nsf/download.xsp/WDU20220001392/O/D20221392.pdf" TargetMode="External" /><Relationship Type="http://schemas.openxmlformats.org/officeDocument/2006/relationships/hyperlink" Id="rId64" Target="https://lexlege.pl/ochr-danych-osob/rozdzial-10-odpowiedzialnosc-cywilna-i-postepowanie-przed-sadem/12621/" TargetMode="External" /><Relationship Type="http://schemas.openxmlformats.org/officeDocument/2006/relationships/hyperlink" Id="rId45" Target="https://lexlege.pl/prawo-energetyczne/art-54/" TargetMode="External" /><Relationship Type="http://schemas.openxmlformats.org/officeDocument/2006/relationships/hyperlink" Id="rId50" Target="https://poradnikprzedsiebiorcy.pl/-postepowanie-reklamacyjne-konsumenta-obowiazki-przedsiebiorcy" TargetMode="External" /><Relationship Type="http://schemas.openxmlformats.org/officeDocument/2006/relationships/hyperlink" Id="rId62" Target="https://poradnikprzedsiebiorcy.pl/-zgubiona-przesylka-z-danymi-osobowymi-kto-odpowiada" TargetMode="External" /><Relationship Type="http://schemas.openxmlformats.org/officeDocument/2006/relationships/hyperlink" Id="rId38" Target="https://semp.org.pl/" TargetMode="External" /><Relationship Type="http://schemas.openxmlformats.org/officeDocument/2006/relationships/hyperlink" Id="rId53" Target="https://www.insideprivacy.com/cybersecurity-2/rounding-up-five-recent-cjeu-cases-on-gdpr-compensation/" TargetMode="External" /><Relationship Type="http://schemas.openxmlformats.org/officeDocument/2006/relationships/hyperlink" Id="rId51" Target="https://www.mccannfitzgerald.com/knowledge/data-privacy-and-cyber-risk/european-court-gives-guidance-to-national-courts-on-the-assessment-of-non-material-damage-where-the-gdpr-has-been-infringed" TargetMode="External" /><Relationship Type="http://schemas.openxmlformats.org/officeDocument/2006/relationships/hyperlink" Id="rId47" Target="https://www.portalbhp.pl/warunki-pracy/rozporzadzenie-ministra-klimatu-i-srodowiska-z-dnia-1-lipca-2022-r.-w-sprawie-szczegolowych-zasad-stwierdzania-posiadania-kwalifikacji-przez-osoby-zajmujace-sie-eksploatacja-urzadzen-instalacji-i-sieci-dz.u.-z-2022-r.-poz.-1392-10439.html" TargetMode="External" /><Relationship Type="http://schemas.openxmlformats.org/officeDocument/2006/relationships/hyperlink" Id="rId56" Target="https://www.prawo.pl/biznes/rodo-wykladnia-art-82-po-wyroku-tsue,535758.html" TargetMode="External" /><Relationship Type="http://schemas.openxmlformats.org/officeDocument/2006/relationships/hyperlink" Id="rId58" Target="https://www.prawo.pl/prawo/wyciek-danych-osobowych-o-zadoscuczynienie-mozna-walczyc-w-sadzie,439359.html" TargetMode="External" /><Relationship Type="http://schemas.openxmlformats.org/officeDocument/2006/relationships/hyperlink" Id="rId60" Target="https://www.rp.pl/dane-osobowe/art36742931-kurier-zgubil-bank-zaplaci-za-naruszenie-rodo-zdecydowal-sad" TargetMode="External" /><Relationship Type="http://schemas.openxmlformats.org/officeDocument/2006/relationships/hyperlink" Id="rId36" Target="https://www.ure.gov.pl/pl/urzad/informacje-ogolne/aktualnosci/12976,Prezes-URE-informuje-Komisja-Kwalifikacyjna-nr-739-utracila-uprawnienia-do-przep.html" TargetMode="External" /><Relationship Type="http://schemas.openxmlformats.org/officeDocument/2006/relationships/hyperlink" Id="rId37" Target="https://x.com/UREgovPL/status/1994692820905623678" TargetMode="External" /></Relationships>
</file>

<file path=word/_rels/footnotes.xml.rels><?xml version="1.0" encoding="UTF-8"?><Relationships xmlns="http://schemas.openxmlformats.org/package/2006/relationships"><Relationship Type="http://schemas.openxmlformats.org/officeDocument/2006/relationships/hyperlink" Id="rId54" Target="https://2b-advice.com/en/2024/06/21/eugh-rules-on-sending-a-tax-return-to-the-wrong-address/" TargetMode="External" /><Relationship Type="http://schemas.openxmlformats.org/officeDocument/2006/relationships/hyperlink" Id="rId61" Target="https://android.com.pl/news/407118-wysoka-kara-dla-cyfrowego-polsatu/" TargetMode="External" /><Relationship Type="http://schemas.openxmlformats.org/officeDocument/2006/relationships/hyperlink" Id="rId44" Target="https://arslege.pl/kwalifikacje-osob-zajmujacych-sie-eksploatacja-sieci-oraz-urzadzen-i-instalacji-komisje-kwalifikacyjne/k257/a23893/" TargetMode="External" /><Relationship Type="http://schemas.openxmlformats.org/officeDocument/2006/relationships/hyperlink" Id="rId48" Target="https://arslege.pl/ustawa-o-prawach-konsumenta/k1270/a98761/" TargetMode="External" /><Relationship Type="http://schemas.openxmlformats.org/officeDocument/2006/relationships/hyperlink" Id="rId43" Target="https://atestero.pl/baza-wiedzy/waznosc-uprawnien-sep" TargetMode="External" /><Relationship Type="http://schemas.openxmlformats.org/officeDocument/2006/relationships/hyperlink" Id="rId59" Target="https://bezprawnik.pl/kurier-zgubil-list-z-pesel-ami-bank-millennium-mial-obowiazek-ostrzec-klientow/" TargetMode="External" /><Relationship Type="http://schemas.openxmlformats.org/officeDocument/2006/relationships/hyperlink" Id="rId55" Target="https://bip.uodo.gov.pl/pl/file/5533" TargetMode="External" /><Relationship Type="http://schemas.openxmlformats.org/officeDocument/2006/relationships/hyperlink" Id="rId41" Target="https://biznes.interia.pl/praca/news-dokumenty-czesci-energetykow-sa-niewazne-ure-wydal-komunikat,nId,22462605" TargetMode="External" /><Relationship Type="http://schemas.openxmlformats.org/officeDocument/2006/relationships/hyperlink" Id="rId42" Target="https://biznes.interia.pl/praca/news-zaplacili-500-zl-za-kurs-ale-nie-moga-pracowac-elektrycy-z-n,nId,22508392" TargetMode="External" /><Relationship Type="http://schemas.openxmlformats.org/officeDocument/2006/relationships/hyperlink" Id="rId57" Target="https://czasopismo.legeartis.org/2024/06/obawa-przed-skutkami-wykorzystania-danych-osobowych-odszkodowanie-naruszenie-rodo-wyrok-tsue/" TargetMode="External" /><Relationship Type="http://schemas.openxmlformats.org/officeDocument/2006/relationships/hyperlink" Id="rId63" Target="https://czasopismo.legeartis.org/tag/art-34-rodo/" TargetMode="External" /><Relationship Type="http://schemas.openxmlformats.org/officeDocument/2006/relationships/hyperlink" Id="rId39" Target="https://elektrykapradnietyka.com/62422/ure-swiadectwa-kwalifikacyjne-niewazne-komisja-smep-sosnowiec/" TargetMode="External" /><Relationship Type="http://schemas.openxmlformats.org/officeDocument/2006/relationships/hyperlink" Id="rId49" Target="https://eli.gov.pl/eli/DU/2016/1823/ogl/pol/pdf" TargetMode="External" /><Relationship Type="http://schemas.openxmlformats.org/officeDocument/2006/relationships/hyperlink" Id="rId52" Target="https://eur-lex.europa.eu/eli/C/2024/1993/oj" TargetMode="External" /><Relationship Type="http://schemas.openxmlformats.org/officeDocument/2006/relationships/hyperlink" Id="rId40" Target="https://finanse.wp.pl/zaplacili-500-zl-zdali-egzamin-elektrycy-i-tak-nie-moga-pracowac-7243247992355296a" TargetMode="External" /><Relationship Type="http://schemas.openxmlformats.org/officeDocument/2006/relationships/hyperlink" Id="rId46" Target="https://isap.sejm.gov.pl/isap.nsf/download.xsp/WDU20220001392/O/D20221392.pdf" TargetMode="External" /><Relationship Type="http://schemas.openxmlformats.org/officeDocument/2006/relationships/hyperlink" Id="rId64" Target="https://lexlege.pl/ochr-danych-osob/rozdzial-10-odpowiedzialnosc-cywilna-i-postepowanie-przed-sadem/12621/" TargetMode="External" /><Relationship Type="http://schemas.openxmlformats.org/officeDocument/2006/relationships/hyperlink" Id="rId45" Target="https://lexlege.pl/prawo-energetyczne/art-54/" TargetMode="External" /><Relationship Type="http://schemas.openxmlformats.org/officeDocument/2006/relationships/hyperlink" Id="rId50" Target="https://poradnikprzedsiebiorcy.pl/-postepowanie-reklamacyjne-konsumenta-obowiazki-przedsiebiorcy" TargetMode="External" /><Relationship Type="http://schemas.openxmlformats.org/officeDocument/2006/relationships/hyperlink" Id="rId62" Target="https://poradnikprzedsiebiorcy.pl/-zgubiona-przesylka-z-danymi-osobowymi-kto-odpowiada" TargetMode="External" /><Relationship Type="http://schemas.openxmlformats.org/officeDocument/2006/relationships/hyperlink" Id="rId38" Target="https://semp.org.pl/" TargetMode="External" /><Relationship Type="http://schemas.openxmlformats.org/officeDocument/2006/relationships/hyperlink" Id="rId53" Target="https://www.insideprivacy.com/cybersecurity-2/rounding-up-five-recent-cjeu-cases-on-gdpr-compensation/" TargetMode="External" /><Relationship Type="http://schemas.openxmlformats.org/officeDocument/2006/relationships/hyperlink" Id="rId51" Target="https://www.mccannfitzgerald.com/knowledge/data-privacy-and-cyber-risk/european-court-gives-guidance-to-national-courts-on-the-assessment-of-non-material-damage-where-the-gdpr-has-been-infringed" TargetMode="External" /><Relationship Type="http://schemas.openxmlformats.org/officeDocument/2006/relationships/hyperlink" Id="rId47" Target="https://www.portalbhp.pl/warunki-pracy/rozporzadzenie-ministra-klimatu-i-srodowiska-z-dnia-1-lipca-2022-r.-w-sprawie-szczegolowych-zasad-stwierdzania-posiadania-kwalifikacji-przez-osoby-zajmujace-sie-eksploatacja-urzadzen-instalacji-i-sieci-dz.u.-z-2022-r.-poz.-1392-10439.html" TargetMode="External" /><Relationship Type="http://schemas.openxmlformats.org/officeDocument/2006/relationships/hyperlink" Id="rId56" Target="https://www.prawo.pl/biznes/rodo-wykladnia-art-82-po-wyroku-tsue,535758.html" TargetMode="External" /><Relationship Type="http://schemas.openxmlformats.org/officeDocument/2006/relationships/hyperlink" Id="rId58" Target="https://www.prawo.pl/prawo/wyciek-danych-osobowych-o-zadoscuczynienie-mozna-walczyc-w-sadzie,439359.html" TargetMode="External" /><Relationship Type="http://schemas.openxmlformats.org/officeDocument/2006/relationships/hyperlink" Id="rId60" Target="https://www.rp.pl/dane-osobowe/art36742931-kurier-zgubil-bank-zaplaci-za-naruszenie-rodo-zdecydowal-sad" TargetMode="External" /><Relationship Type="http://schemas.openxmlformats.org/officeDocument/2006/relationships/hyperlink" Id="rId36" Target="https://www.ure.gov.pl/pl/urzad/informacje-ogolne/aktualnosci/12976,Prezes-URE-informuje-Komisja-Kwalifikacyjna-nr-739-utracila-uprawnienia-do-przep.html" TargetMode="External" /><Relationship Type="http://schemas.openxmlformats.org/officeDocument/2006/relationships/hyperlink" Id="rId37" Target="https://x.com/UREgovPL/status/19946928209056236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2026-10-29T13:06:30Z</dcterms:created>
  <dcterms:modified xsi:type="dcterms:W3CDTF">2026-10-29T13:06:30Z</dcterms:modified>
</cp:coreProperties>
</file>

<file path=docProps/custom.xml><?xml version="1.0" encoding="utf-8"?>
<Properties xmlns="http://schemas.openxmlformats.org/officeDocument/2006/custom-properties" xmlns:vt="http://schemas.openxmlformats.org/officeDocument/2006/docPropsVTypes"/>
</file>