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Arial" w:hAnsi="Arial" w:eastAsia="黑体" w:cs="Arial"/>
          <w:sz w:val="28"/>
          <w:lang w:val="en-US" w:eastAsia="zh-CN"/>
        </w:rPr>
      </w:pPr>
      <w:r>
        <w:rPr>
          <w:rFonts w:hint="eastAsia" w:ascii="Arial" w:hAnsi="Arial" w:eastAsia="黑体" w:cs="Arial"/>
          <w:sz w:val="28"/>
          <w:lang w:val="en-US" w:eastAsia="zh-CN"/>
        </w:rPr>
        <w:t>东亚家庭的“夹心层”困境：基于《红手指》的伦理崩溃与代际责任分析</w:t>
      </w:r>
    </w:p>
    <w:p>
      <w:pPr>
        <w:spacing w:line="360" w:lineRule="auto"/>
        <w:jc w:val="center"/>
        <w:rPr>
          <w:rFonts w:ascii="Times New Roman" w:hAnsi="Times New Roman" w:eastAsia="楷体" w:cs="Times New Roman"/>
        </w:rPr>
      </w:pPr>
      <w:r>
        <w:rPr>
          <w:rFonts w:hint="eastAsia" w:ascii="Times New Roman" w:hAnsi="Times New Roman" w:eastAsia="楷体" w:cs="Times New Roman"/>
          <w:lang w:val="en-US" w:eastAsia="zh-CN"/>
        </w:rPr>
        <w:t>蒋昊廷</w:t>
      </w:r>
      <w:r>
        <w:rPr>
          <w:rFonts w:ascii="Times New Roman" w:hAnsi="Times New Roman" w:eastAsia="楷体" w:cs="Times New Roman"/>
        </w:rPr>
        <w:t>（</w:t>
      </w:r>
      <w:r>
        <w:rPr>
          <w:rFonts w:hint="eastAsia" w:ascii="Times New Roman" w:hAnsi="Times New Roman" w:eastAsia="楷体" w:cs="Times New Roman"/>
          <w:lang w:val="en-US" w:eastAsia="zh-CN"/>
        </w:rPr>
        <w:t>2025012602</w:t>
      </w:r>
      <w:r>
        <w:rPr>
          <w:rFonts w:ascii="Times New Roman" w:hAnsi="Times New Roman" w:eastAsia="楷体" w:cs="Times New Roman"/>
        </w:rPr>
        <w:t>，</w:t>
      </w:r>
      <w:r>
        <w:rPr>
          <w:rFonts w:hint="eastAsia" w:ascii="Times New Roman" w:hAnsi="Times New Roman" w:eastAsia="楷体" w:cs="Times New Roman"/>
          <w:lang w:val="en-US" w:eastAsia="zh-CN"/>
        </w:rPr>
        <w:t>17347667625@163.com</w:t>
      </w:r>
      <w:r>
        <w:rPr>
          <w:rFonts w:ascii="Times New Roman" w:hAnsi="Times New Roman" w:eastAsia="楷体" w:cs="Times New Roman"/>
        </w:rPr>
        <w:t>）</w:t>
      </w:r>
      <w:bookmarkStart w:id="0" w:name="_Hlk31880360"/>
    </w:p>
    <w:bookmarkEnd w:id="0"/>
    <w:p>
      <w:pPr>
        <w:spacing w:line="360" w:lineRule="auto"/>
        <w:rPr>
          <w:rFonts w:ascii="Times New Roman" w:hAnsi="Times New Roman" w:eastAsia="宋体"/>
        </w:rPr>
      </w:pPr>
    </w:p>
    <w:p>
      <w:pPr>
        <w:spacing w:line="360" w:lineRule="auto"/>
        <w:jc w:val="center"/>
        <w:rPr>
          <w:rFonts w:hint="eastAsia" w:ascii="Arial" w:hAnsi="Arial" w:eastAsia="黑体" w:cs="Arial"/>
          <w:lang w:val="en-US" w:eastAsia="zh-CN"/>
        </w:rPr>
      </w:pPr>
      <w:r>
        <w:rPr>
          <w:rFonts w:hint="eastAsia" w:ascii="Arial" w:hAnsi="Arial" w:eastAsia="黑体" w:cs="Arial"/>
          <w:lang w:val="en-US" w:eastAsia="zh-CN"/>
        </w:rPr>
        <w:t>一·引言——东亚社会老年群体边缘化问题</w:t>
      </w:r>
    </w:p>
    <w:p>
      <w:pPr>
        <w:spacing w:line="360" w:lineRule="auto"/>
        <w:jc w:val="center"/>
        <w:rPr>
          <w:rFonts w:hint="eastAsia" w:ascii="Arial" w:hAnsi="Arial" w:eastAsia="黑体" w:cs="Arial"/>
          <w:lang w:val="en-US" w:eastAsia="zh-CN"/>
        </w:rPr>
      </w:pP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在东野圭吾的社会派推理作品《红手指》中，一桩未成年杀人案如同棱镜般折射出当代东亚家庭的深层危机。小说通过前原昭夫一家从试图脱罪到嫁祸患有“老年痴呆”的母亲这一过程，将老龄化、青少年犯罪与中年危机交织成一幅完整的家庭伦理崩解图景。</w:t>
      </w:r>
    </w:p>
    <w:p>
      <w:pPr>
        <w:spacing w:line="360" w:lineRule="auto"/>
        <w:ind w:firstLine="420" w:firstLineChars="200"/>
        <w:rPr>
          <w:rFonts w:hint="default" w:ascii="Times New Roman" w:hAnsi="Times New Roman" w:eastAsia="宋体"/>
          <w:lang w:val="en-US" w:eastAsia="zh-CN"/>
        </w:rPr>
      </w:pPr>
      <w:r>
        <w:rPr>
          <w:rFonts w:hint="eastAsia" w:ascii="Times New Roman" w:hAnsi="Times New Roman" w:eastAsia="宋体"/>
          <w:lang w:val="en-US" w:eastAsia="zh-CN"/>
        </w:rPr>
        <w:t>这一文学叙事在现实社会中有着惊人对应：上海86岁何姓老伯因性格强势且有持刀威胁等过激行为，被家人拒之门外，在住宅楼公共过道里居住了近4个月，子女拒绝履行赡养义务</w:t>
      </w:r>
      <w:r>
        <w:rPr>
          <w:rStyle w:val="12"/>
          <w:rFonts w:ascii="Times New Roman" w:hAnsi="Times New Roman" w:eastAsia="宋体"/>
        </w:rPr>
        <w:footnoteReference w:id="0"/>
      </w:r>
      <w:r>
        <w:rPr>
          <w:rFonts w:hint="eastAsia" w:ascii="Times New Roman" w:hAnsi="Times New Roman" w:eastAsia="宋体"/>
          <w:lang w:val="en-US" w:eastAsia="zh-CN"/>
        </w:rPr>
        <w:t>；福州八旬黄阿婆有6套拆迁房和3个子女，但因财产分配不均引发矛盾，导致无人愿意承担主要的日常照料责任</w:t>
      </w:r>
      <w:r>
        <w:rPr>
          <w:rStyle w:val="12"/>
          <w:rFonts w:ascii="Times New Roman" w:hAnsi="Times New Roman" w:eastAsia="宋体"/>
        </w:rPr>
        <w:footnoteReference w:id="1"/>
      </w:r>
      <w:r>
        <w:rPr>
          <w:rFonts w:hint="eastAsia" w:ascii="Times New Roman" w:hAnsi="Times New Roman" w:eastAsia="宋体"/>
          <w:lang w:val="en-US" w:eastAsia="zh-CN"/>
        </w:rPr>
        <w:t>；日本一名60多岁的"茧居"儿子与95岁的母亲同住。母亲在家中去世并化成白骨长达十年才被发现，儿子在此期间一直生活在同一屋檐下</w:t>
      </w:r>
      <w:r>
        <w:rPr>
          <w:rStyle w:val="12"/>
          <w:rFonts w:ascii="Times New Roman" w:hAnsi="Times New Roman" w:eastAsia="宋体"/>
        </w:rPr>
        <w:footnoteReference w:id="2"/>
      </w:r>
      <w:r>
        <w:rPr>
          <w:rFonts w:hint="eastAsia" w:ascii="Times New Roman" w:hAnsi="Times New Roman" w:eastAsia="宋体"/>
          <w:lang w:val="en-US" w:eastAsia="zh-CN"/>
        </w:rPr>
        <w:t>。这些触目惊心的案例呈现出了社会的结构困境：家庭关系的破裂与极端边缘化、代际概念冲突与情感忽视、逆向索取与亲情异化。</w:t>
      </w:r>
    </w:p>
    <w:p>
      <w:pPr>
        <w:spacing w:line="360" w:lineRule="auto"/>
        <w:ind w:firstLine="420" w:firstLineChars="200"/>
        <w:rPr>
          <w:rFonts w:hint="default" w:ascii="Times New Roman" w:hAnsi="Times New Roman" w:eastAsia="宋体"/>
          <w:lang w:val="en-US" w:eastAsia="zh-CN"/>
        </w:rPr>
      </w:pPr>
      <w:r>
        <w:rPr>
          <w:rFonts w:hint="eastAsia" w:ascii="Times New Roman" w:hAnsi="Times New Roman" w:eastAsia="宋体"/>
          <w:lang w:val="en-US" w:eastAsia="zh-CN"/>
        </w:rPr>
        <w:t>“家庭结构中的‘夹心层’是指上有老、下有小的中间代群体。”</w:t>
      </w:r>
      <w:r>
        <w:rPr>
          <w:rStyle w:val="12"/>
          <w:rFonts w:ascii="Times New Roman" w:hAnsi="Times New Roman" w:eastAsia="宋体"/>
        </w:rPr>
        <w:footnoteReference w:id="3"/>
      </w:r>
      <w:r>
        <w:rPr>
          <w:rFonts w:hint="eastAsia" w:ascii="Times New Roman" w:hAnsi="Times New Roman" w:eastAsia="宋体"/>
          <w:lang w:val="en-US" w:eastAsia="zh-CN"/>
        </w:rPr>
        <w:t>本文将从青少年犯罪动机、父职缺位、中年危机与夫妻关系、老龄化社会的家庭伦理困境，以及这些现象在中日社会中的跨文化比较等角度，系统梳理《红手指》所反映的“夹心层”为主体的社会问题及其深层原因。</w:t>
      </w:r>
    </w:p>
    <w:p>
      <w:pPr>
        <w:spacing w:line="360" w:lineRule="auto"/>
        <w:jc w:val="both"/>
        <w:rPr>
          <w:rFonts w:hint="eastAsia" w:ascii="Arial" w:hAnsi="Arial" w:eastAsia="黑体" w:cs="Arial"/>
          <w:lang w:val="en-US" w:eastAsia="zh-CN"/>
        </w:rPr>
      </w:pPr>
    </w:p>
    <w:p>
      <w:pPr>
        <w:spacing w:line="360" w:lineRule="auto"/>
        <w:jc w:val="center"/>
        <w:rPr>
          <w:rFonts w:hint="default" w:ascii="Arial" w:hAnsi="Arial" w:eastAsia="黑体" w:cs="Arial"/>
          <w:lang w:val="en-US" w:eastAsia="zh-CN"/>
        </w:rPr>
      </w:pPr>
      <w:r>
        <w:rPr>
          <w:rFonts w:hint="eastAsia" w:ascii="Arial" w:hAnsi="Arial" w:eastAsia="黑体" w:cs="Arial"/>
          <w:lang w:val="en-US" w:eastAsia="zh-CN"/>
        </w:rPr>
        <w:t>二、青少年犯罪的动机与成因</w:t>
      </w:r>
    </w:p>
    <w:p>
      <w:pPr>
        <w:spacing w:line="360" w:lineRule="auto"/>
        <w:jc w:val="center"/>
        <w:rPr>
          <w:rFonts w:hint="default" w:ascii="Arial" w:hAnsi="Arial" w:eastAsia="黑体" w:cs="Arial"/>
          <w:lang w:val="en-US" w:eastAsia="zh-CN"/>
        </w:rPr>
      </w:pP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传统的犯罪学理论多从生物学或心理学视角解释犯罪行为，意大利的龙勃罗梭在《犯罪人论》中提出“天生犯罪人”理论，指出犯罪的决定性因素是生理原因，并且认为犯罪者与犯罪真相的原因是“原始人和低等动物的特征在当代的重新繁衍”</w:t>
      </w:r>
      <w:r>
        <w:rPr>
          <w:rStyle w:val="12"/>
          <w:rFonts w:ascii="Times New Roman" w:hAnsi="Times New Roman" w:eastAsia="宋体"/>
        </w:rPr>
        <w:footnoteReference w:id="4"/>
      </w:r>
      <w:r>
        <w:rPr>
          <w:rFonts w:hint="eastAsia" w:ascii="Times New Roman" w:hAnsi="Times New Roman" w:eastAsia="宋体"/>
          <w:lang w:val="en-US" w:eastAsia="zh-CN"/>
        </w:rPr>
        <w:t>。</w:t>
      </w: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随着科学水平和意识形态的进步，恩里科·菲利在《实证派犯罪学》中突破了犯罪前科株连效应的局限性，提出“犯罪由人类因素、自然因素和社会因素共同组成”</w:t>
      </w:r>
      <w:r>
        <w:rPr>
          <w:rStyle w:val="12"/>
          <w:rFonts w:ascii="Times New Roman" w:hAnsi="Times New Roman" w:eastAsia="宋体"/>
        </w:rPr>
        <w:footnoteReference w:id="5"/>
      </w:r>
      <w:r>
        <w:rPr>
          <w:rFonts w:hint="eastAsia" w:ascii="Times New Roman" w:hAnsi="Times New Roman" w:eastAsia="宋体"/>
          <w:lang w:val="en-US" w:eastAsia="zh-CN"/>
        </w:rPr>
        <w:t>。康树华在《犯罪社会学》中也进一步阐释到：“犯罪不仅是个人选择的结果，更是特定社会结构下的产物。”</w:t>
      </w:r>
      <w:r>
        <w:rPr>
          <w:rStyle w:val="12"/>
          <w:rFonts w:ascii="Times New Roman" w:hAnsi="Times New Roman" w:eastAsia="宋体"/>
        </w:rPr>
        <w:footnoteReference w:id="6"/>
      </w:r>
      <w:r>
        <w:rPr>
          <w:rFonts w:hint="eastAsia" w:ascii="Times New Roman" w:hAnsi="Times New Roman" w:eastAsia="宋体"/>
          <w:lang w:val="en-US" w:eastAsia="zh-CN"/>
        </w:rPr>
        <w:t>就青少年这一群体而言，对应的社会结构可能主要由原生家庭氛围和学校学习环境二者共同构成。</w:t>
      </w: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以书中的前原直巳为例，他掐死小女孩的动机并非以遗传效应为主，他的父亲仅是一名默默无闻的钟表公司职员，并不是臭名昭著的杀人犯。学校霸凌导致的社会性死亡和家庭畸形的教育——父职缺失与母爱泛滥的失衡和恶行循环使他形成了以自我为中心的攻击性人格，成为问题家庭孕育出问题儿童的典型案例。直巳在杀人后毫无罪恶感，仍然悠闲地玩游戏，表现出对生命的极度冷漠。他将自己的罪行归咎于父母，在最终自首时还强调"都是爸爸妈妈不好"。这一情节鲜明地展示了父母榜样塑造的失败如何造就了缺乏责任感的下一代。直巳的行为模式实际上是对父亲昭夫性格的继承与放大——面对问题，他们不约而同地选择了逃避。</w:t>
      </w:r>
      <w:r>
        <w:rPr>
          <w:rStyle w:val="12"/>
          <w:rFonts w:ascii="Times New Roman" w:hAnsi="Times New Roman" w:eastAsia="宋体"/>
        </w:rPr>
        <w:footnoteReference w:id="7"/>
      </w:r>
    </w:p>
    <w:p>
      <w:pPr>
        <w:spacing w:line="360" w:lineRule="auto"/>
        <w:rPr>
          <w:rFonts w:hint="default" w:ascii="Times New Roman" w:hAnsi="Times New Roman" w:eastAsia="宋体"/>
          <w:lang w:val="en-US" w:eastAsia="zh-CN"/>
        </w:rPr>
      </w:pPr>
    </w:p>
    <w:p>
      <w:pPr>
        <w:spacing w:line="360" w:lineRule="auto"/>
        <w:jc w:val="center"/>
        <w:rPr>
          <w:rFonts w:hint="eastAsia" w:ascii="Arial" w:hAnsi="Arial" w:eastAsia="黑体" w:cs="Arial"/>
          <w:lang w:val="en-US" w:eastAsia="zh-CN"/>
        </w:rPr>
      </w:pPr>
      <w:r>
        <w:rPr>
          <w:rFonts w:hint="eastAsia" w:ascii="Arial" w:hAnsi="Arial" w:eastAsia="黑体" w:cs="Arial"/>
          <w:lang w:val="en-US" w:eastAsia="zh-CN"/>
        </w:rPr>
        <w:t>三、迷茫与逃避</w:t>
      </w:r>
      <w:bookmarkStart w:id="1" w:name="_GoBack"/>
      <w:bookmarkEnd w:id="1"/>
      <w:r>
        <w:rPr>
          <w:rFonts w:hint="eastAsia" w:ascii="Arial" w:hAnsi="Arial" w:eastAsia="黑体" w:cs="Arial"/>
          <w:lang w:val="en-US" w:eastAsia="zh-CN"/>
        </w:rPr>
        <w:t>——父职缺失的产生</w:t>
      </w:r>
    </w:p>
    <w:p>
      <w:pPr>
        <w:spacing w:line="360" w:lineRule="auto"/>
        <w:jc w:val="center"/>
        <w:rPr>
          <w:rFonts w:hint="eastAsia" w:ascii="Arial" w:hAnsi="Arial" w:eastAsia="黑体" w:cs="Arial"/>
          <w:lang w:val="en-US" w:eastAsia="zh-CN"/>
        </w:rPr>
      </w:pP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诚如上文所言，原生家庭会对下一代产生不可磨灭的影响。父亲这一角色的缺位可能并非自发产生，而是对儿童时代所受的家庭环境的映射。书中的前原昭夫逃避现实的根本原因并非个人的懒惰和麻木冷漠，他本质上还是一个心理上未断奶的“巨婴”。他没有从原生家庭中独立出来“儿子”，面对打碎花盆所引发的回忆也只与母亲相关，他的父亲只是功能性与象征性的聚合体。他无法将自己的身份认同从“母亲的儿子”成功转变为“儿子的父亲”。因此，他缺乏作为一家之主和父亲所需要的心理权威和自觉。</w:t>
      </w: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在传统的日本职场中，长时间的通勤、加班和社交也在物理时间和精力上剥夺了他履行父亲职务的可能性。在日本经济高速发展的后期，社会所需要的不是一个洋溢父爱的称职父亲，而是一个能对社会提供剩余价值的“企业战士”。社会对劳动力的畸形压榨与剥削，磨灭了本身就身心俱疲的打工人呵护子女的热忱。在疲于奔命中丧失了人的主体性，成为了原子化的个体。</w:t>
      </w: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 xml:space="preserve">东亚文化十分强调父权的威严。然而现代社会，父亲的权威瓦加的同时，人们没有找到传统父权的替代品。如何与子女沟通？在平等对话的同时树立权威？当一位父亲无法成为“严父”，又无法融入未知新时代父亲模式的样板时，他大概率只能沦为“缺席的父亲”。 </w:t>
      </w:r>
    </w:p>
    <w:p>
      <w:pPr>
        <w:spacing w:line="360" w:lineRule="auto"/>
        <w:jc w:val="center"/>
        <w:rPr>
          <w:rFonts w:hint="eastAsia" w:ascii="Arial" w:hAnsi="Arial" w:eastAsia="黑体" w:cs="Arial"/>
          <w:lang w:val="en-US" w:eastAsia="zh-CN"/>
        </w:rPr>
      </w:pPr>
    </w:p>
    <w:p>
      <w:pPr>
        <w:numPr>
          <w:ilvl w:val="0"/>
          <w:numId w:val="2"/>
        </w:numPr>
        <w:spacing w:line="360" w:lineRule="auto"/>
        <w:jc w:val="center"/>
        <w:rPr>
          <w:rFonts w:hint="eastAsia" w:ascii="Arial" w:hAnsi="Arial" w:eastAsia="黑体" w:cs="Arial"/>
          <w:lang w:val="en-US" w:eastAsia="zh-CN"/>
        </w:rPr>
      </w:pPr>
      <w:r>
        <w:rPr>
          <w:rFonts w:hint="eastAsia" w:ascii="Arial" w:hAnsi="Arial" w:eastAsia="黑体" w:cs="Arial"/>
          <w:lang w:val="en-US" w:eastAsia="zh-CN"/>
        </w:rPr>
        <w:t>工作身份牺牲与价值投射的恶性循环——母职的异化</w:t>
      </w:r>
    </w:p>
    <w:p>
      <w:pPr>
        <w:numPr>
          <w:numId w:val="0"/>
        </w:numPr>
        <w:spacing w:line="360" w:lineRule="auto"/>
        <w:jc w:val="both"/>
        <w:rPr>
          <w:rFonts w:hint="eastAsia" w:ascii="Arial" w:hAnsi="Arial" w:eastAsia="黑体" w:cs="Arial"/>
          <w:lang w:val="en-US" w:eastAsia="zh-CN"/>
        </w:rPr>
      </w:pPr>
    </w:p>
    <w:p>
      <w:pPr>
        <w:spacing w:line="360" w:lineRule="auto"/>
        <w:ind w:firstLine="420" w:firstLineChars="200"/>
        <w:rPr>
          <w:rFonts w:hint="eastAsia" w:ascii="Times New Roman" w:hAnsi="Times New Roman" w:eastAsia="宋体"/>
          <w:lang w:val="en-US" w:eastAsia="zh-CN"/>
        </w:rPr>
      </w:pPr>
      <w:r>
        <w:rPr>
          <w:rFonts w:hint="eastAsia" w:ascii="Arial" w:hAnsi="Arial" w:eastAsia="黑体" w:cs="Arial"/>
          <w:lang w:val="en-US" w:eastAsia="zh-CN"/>
        </w:rPr>
        <w:t xml:space="preserve">    </w:t>
      </w:r>
      <w:r>
        <w:rPr>
          <w:rFonts w:hint="eastAsia" w:ascii="Times New Roman" w:hAnsi="Times New Roman" w:eastAsia="宋体"/>
          <w:lang w:val="en-US" w:eastAsia="zh-CN"/>
        </w:rPr>
        <w:t>“据日本统计局数据，2000年代初日本专职主妇家庭比例达68.4 %</w:t>
      </w:r>
      <w:r>
        <w:rPr>
          <w:rStyle w:val="12"/>
          <w:rFonts w:ascii="Times New Roman" w:hAnsi="Times New Roman" w:eastAsia="宋体"/>
        </w:rPr>
        <w:footnoteReference w:id="8"/>
      </w:r>
      <w:r>
        <w:rPr>
          <w:rFonts w:hint="eastAsia" w:ascii="Times New Roman" w:hAnsi="Times New Roman" w:eastAsia="宋体"/>
          <w:lang w:val="en-US" w:eastAsia="zh-CN"/>
        </w:rPr>
        <w:t>的峰值，这一社会结构为八重子式的‘护犊母兽’现象提供了滋生土壤。”八重子成为了一个“专业主妇”，但这一角色并未给她带来应有的尊重与满足。丈夫昭夫在情感上的缺席与逃避，使得夫妻关系形同虚设，她无法从婚姻中获得情感支持与价值认同。在这种情况下，她的整个世界便急剧收缩，最终将儿子直巳锚定为唯一的情感出口和价值体现。直巳不再仅仅是一个需要被养育的个体，更成为了八重子证明自身存在意义的全部载体。东野圭吾笔下的八重子也是众多女性群体的象征，她们舍弃了自我，变成了与子女的共生体，给与排他性、占有性的溺爱。在案发后，当丈夫试图报警时，“八重子握紧剪刀，把刀尖对着自己的脖子。‘求你了，别打电话。’”</w:t>
      </w:r>
      <w:r>
        <w:rPr>
          <w:rStyle w:val="12"/>
          <w:rFonts w:ascii="Times New Roman" w:hAnsi="Times New Roman" w:eastAsia="宋体"/>
        </w:rPr>
        <w:footnoteReference w:id="9"/>
      </w:r>
      <w:r>
        <w:rPr>
          <w:rFonts w:hint="eastAsia" w:ascii="Times New Roman" w:hAnsi="Times New Roman" w:eastAsia="宋体"/>
          <w:lang w:val="en-US" w:eastAsia="zh-CN"/>
        </w:rPr>
        <w:t>她是包庇儿子的最坚定主张者，并用情感绑架丈夫，共同策划嫁祸婆婆，是昭夫堕落的“共犯”与推手。</w:t>
      </w:r>
    </w:p>
    <w:p>
      <w:pPr>
        <w:numPr>
          <w:ilvl w:val="0"/>
          <w:numId w:val="0"/>
        </w:numPr>
        <w:spacing w:line="360" w:lineRule="auto"/>
        <w:jc w:val="both"/>
        <w:rPr>
          <w:rFonts w:hint="default" w:ascii="Arial" w:hAnsi="Arial" w:eastAsia="黑体" w:cs="Arial"/>
          <w:lang w:val="en-US" w:eastAsia="zh-CN"/>
        </w:rPr>
      </w:pPr>
    </w:p>
    <w:p>
      <w:pPr>
        <w:spacing w:line="360" w:lineRule="auto"/>
        <w:ind w:firstLine="420" w:firstLineChars="200"/>
        <w:jc w:val="center"/>
        <w:rPr>
          <w:rFonts w:hint="default" w:ascii="Arial" w:hAnsi="Arial" w:eastAsia="黑体" w:cs="Arial"/>
          <w:lang w:val="en-US" w:eastAsia="zh-CN"/>
        </w:rPr>
      </w:pPr>
      <w:r>
        <w:rPr>
          <w:rFonts w:hint="eastAsia" w:ascii="Arial" w:hAnsi="Arial" w:eastAsia="黑体" w:cs="Arial"/>
          <w:lang w:val="en-US" w:eastAsia="zh-CN"/>
        </w:rPr>
        <w:t>五、老龄群体边缘化</w:t>
      </w: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红手指》通过前原一家的微样本，体现了宏观的社会悲剧。母亲政惠所遭受的，不仅仅是物理空间上的隔离与驱逐，被放逐到家庭最不起眼的一间房间中，她也处在家庭情感的荒漠之中。与当下老年群体类似，前原一家权当婆婆为金钱赡养的累赘，并没有给予精神上的共情甚至尊重。</w:t>
      </w: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其二是伦理上的失范。本书最戏剧性的一处情节莫非“夹心层”昭夫夫妇从虚伪孝道到算计价值观的转变。母亲被沦为随时牺牲的替罪羊，“母爱”的分层实则是极端利己主义的体现。前原对母亲的爱不应也不能成为兑现妻子八重子对直巳的爱的筹码。但在这个功利主义盛行的社会下，我们无奈无法遏制这样的社会现象。</w:t>
      </w: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政惠的假装痴呆并非被动承受，而是一种主动但绝望的无声反抗。她通过痴呆的表象主动脱离了冷漠的三口之家。并且面对儿子的非人性举措与脱罪，一直在无声地试探与救赎。试图用主动的牺牲换来残存的良心发现。</w:t>
      </w:r>
    </w:p>
    <w:p>
      <w:pPr>
        <w:spacing w:line="360" w:lineRule="auto"/>
        <w:ind w:firstLine="420" w:firstLineChars="200"/>
        <w:rPr>
          <w:rFonts w:hint="eastAsia" w:ascii="Times New Roman" w:hAnsi="Times New Roman" w:eastAsia="宋体"/>
          <w:lang w:val="en-US" w:eastAsia="zh-CN"/>
        </w:rPr>
      </w:pPr>
    </w:p>
    <w:p>
      <w:pPr>
        <w:spacing w:line="360" w:lineRule="auto"/>
        <w:ind w:firstLine="420" w:firstLineChars="200"/>
        <w:jc w:val="center"/>
        <w:rPr>
          <w:rFonts w:hint="eastAsia" w:ascii="Arial" w:hAnsi="Arial" w:eastAsia="黑体" w:cs="Arial"/>
          <w:lang w:val="en-US" w:eastAsia="zh-CN"/>
        </w:rPr>
      </w:pPr>
      <w:r>
        <w:rPr>
          <w:rFonts w:hint="eastAsia" w:ascii="Arial" w:hAnsi="Arial" w:eastAsia="黑体" w:cs="Arial"/>
          <w:lang w:val="en-US" w:eastAsia="zh-CN"/>
        </w:rPr>
        <w:t>六、东亚社会纵向对比</w:t>
      </w:r>
    </w:p>
    <w:p>
      <w:pPr>
        <w:spacing w:line="360" w:lineRule="auto"/>
        <w:ind w:firstLine="420" w:firstLineChars="200"/>
        <w:jc w:val="center"/>
        <w:rPr>
          <w:rFonts w:hint="default" w:ascii="Arial" w:hAnsi="Arial" w:eastAsia="黑体" w:cs="Arial"/>
          <w:lang w:val="en-US" w:eastAsia="zh-CN"/>
        </w:rPr>
      </w:pPr>
    </w:p>
    <w:p>
      <w:pPr>
        <w:spacing w:line="360" w:lineRule="auto"/>
        <w:ind w:firstLine="420" w:firstLineChars="200"/>
        <w:rPr>
          <w:rFonts w:hint="eastAsia" w:ascii="Times New Roman" w:hAnsi="Times New Roman" w:eastAsia="宋体"/>
          <w:lang w:val="en-US" w:eastAsia="zh-CN"/>
        </w:rPr>
      </w:pPr>
      <w:r>
        <w:rPr>
          <w:rFonts w:hint="eastAsia" w:ascii="Times New Roman" w:hAnsi="Times New Roman" w:eastAsia="宋体"/>
          <w:lang w:val="en-US" w:eastAsia="zh-CN"/>
        </w:rPr>
        <w:t xml:space="preserve">   《红手指》所揭示的社会困境，在东亚儒家文化圈盛。在中国，“4-2-1”的倒金字塔结构对中年代“夹心层”的压力只增不减，截至 2015 年，中国约有 158 万 典型的 “4-2-1” 家庭；预测到 2035 年将增至 185 万</w:t>
      </w:r>
      <w:r>
        <w:rPr>
          <w:rStyle w:val="12"/>
          <w:rFonts w:ascii="Times New Roman" w:hAnsi="Times New Roman" w:eastAsia="宋体"/>
        </w:rPr>
        <w:footnoteReference w:id="10"/>
      </w:r>
      <w:r>
        <w:rPr>
          <w:rFonts w:hint="eastAsia" w:ascii="Times New Roman" w:hAnsi="Times New Roman" w:eastAsia="宋体"/>
          <w:lang w:val="en-US" w:eastAsia="zh-CN"/>
        </w:rPr>
        <w:t>。在韩国“养老反哺”补助的背后，是快速老龄化与未富先老的社会现实。“国民年金覆盖率虽高（约 76%）‍，但 养老金缺口 日益扩大，官方预测 2065 年 养老金基金将耗尽”。</w:t>
      </w:r>
      <w:r>
        <w:rPr>
          <w:rStyle w:val="12"/>
          <w:rFonts w:ascii="Times New Roman" w:hAnsi="Times New Roman" w:eastAsia="宋体"/>
        </w:rPr>
        <w:footnoteReference w:id="11"/>
      </w:r>
      <w:r>
        <w:rPr>
          <w:rFonts w:hint="eastAsia" w:ascii="Times New Roman" w:hAnsi="Times New Roman" w:eastAsia="宋体"/>
          <w:lang w:val="en-US" w:eastAsia="zh-CN"/>
        </w:rPr>
        <w:t>中间“夹心一代”在激烈社会竞争与家庭责任中被撕裂，丧失了人的主体性。同样，以八重子为典型的困境在东亚儒家文化圈中也引发着广泛回响。无论是在中国“鸡娃”的母亲，还是在韩国被称为“教育狂”的妈妈们身上，我们都能看到将自我价值过度投射于子女教育的类似身影。这揭示了在快速现代化的进程中，当女性在职场上面临“玻璃天花板”，在家庭中又承担着主要教育责任时，母职极易被异化为一种充满焦虑的、以实现子女“成功”来证明自我价值的沉重使命。</w:t>
      </w:r>
    </w:p>
    <w:p>
      <w:pPr>
        <w:spacing w:line="360" w:lineRule="auto"/>
        <w:rPr>
          <w:rFonts w:hint="default" w:ascii="Times New Roman" w:hAnsi="Times New Roman" w:eastAsia="宋体"/>
          <w:lang w:val="en-US" w:eastAsia="zh-CN"/>
        </w:rPr>
      </w:pPr>
    </w:p>
    <w:p>
      <w:pPr>
        <w:spacing w:line="360" w:lineRule="auto"/>
        <w:ind w:firstLine="420" w:firstLineChars="200"/>
        <w:jc w:val="center"/>
        <w:rPr>
          <w:rFonts w:hint="eastAsia" w:ascii="Arial" w:hAnsi="Arial" w:eastAsia="黑体" w:cs="Arial"/>
          <w:lang w:val="en-US" w:eastAsia="zh-CN"/>
        </w:rPr>
      </w:pPr>
    </w:p>
    <w:p>
      <w:pPr>
        <w:spacing w:line="360" w:lineRule="auto"/>
        <w:ind w:firstLine="420" w:firstLineChars="200"/>
        <w:jc w:val="center"/>
        <w:rPr>
          <w:rFonts w:hint="default" w:ascii="Arial" w:hAnsi="Arial" w:eastAsia="黑体" w:cs="Arial"/>
          <w:lang w:val="en-US" w:eastAsia="zh-CN"/>
        </w:rPr>
      </w:pPr>
      <w:r>
        <w:rPr>
          <w:rFonts w:hint="eastAsia" w:ascii="Arial" w:hAnsi="Arial" w:eastAsia="黑体" w:cs="Arial"/>
          <w:lang w:val="en-US" w:eastAsia="zh-CN"/>
        </w:rPr>
        <w:t>七、结语与展望</w:t>
      </w:r>
    </w:p>
    <w:p>
      <w:pPr>
        <w:spacing w:line="360" w:lineRule="auto"/>
        <w:ind w:firstLine="420" w:firstLineChars="200"/>
        <w:rPr>
          <w:rFonts w:hint="eastAsia" w:ascii="Times New Roman" w:hAnsi="Times New Roman" w:eastAsia="宋体"/>
          <w:lang w:eastAsia="zh-CN"/>
        </w:rPr>
      </w:pPr>
    </w:p>
    <w:p>
      <w:pPr>
        <w:spacing w:line="360" w:lineRule="auto"/>
        <w:ind w:firstLine="420" w:firstLineChars="200"/>
        <w:rPr>
          <w:rFonts w:hint="eastAsia" w:ascii="Times New Roman" w:hAnsi="Times New Roman" w:eastAsia="宋体"/>
          <w:lang w:eastAsia="zh-CN"/>
        </w:rPr>
      </w:pPr>
      <w:r>
        <w:rPr>
          <w:rFonts w:hint="eastAsia" w:ascii="Times New Roman" w:hAnsi="Times New Roman" w:eastAsia="宋体"/>
          <w:lang w:eastAsia="zh-CN"/>
        </w:rPr>
        <w:t>康树华指出：“文学作品中蕴含的社会洞察往往能超越实证研究的局限，揭示犯罪现象的深层逻辑”</w:t>
      </w:r>
      <w:r>
        <w:rPr>
          <w:rStyle w:val="12"/>
          <w:rFonts w:ascii="Times New Roman" w:hAnsi="Times New Roman" w:eastAsia="宋体"/>
        </w:rPr>
        <w:footnoteReference w:id="12"/>
      </w:r>
      <w:r>
        <w:rPr>
          <w:rFonts w:hint="eastAsia" w:ascii="Times New Roman" w:hAnsi="Times New Roman" w:eastAsia="宋体"/>
          <w:lang w:eastAsia="zh-CN"/>
        </w:rPr>
        <w:t>。东野圭吾</w:t>
      </w:r>
      <w:r>
        <w:rPr>
          <w:rFonts w:hint="eastAsia" w:ascii="Times New Roman" w:hAnsi="Times New Roman" w:eastAsia="宋体"/>
          <w:lang w:val="en-US" w:eastAsia="zh-CN"/>
        </w:rPr>
        <w:t>的</w:t>
      </w:r>
      <w:r>
        <w:rPr>
          <w:rFonts w:hint="eastAsia" w:ascii="Times New Roman" w:hAnsi="Times New Roman" w:eastAsia="宋体"/>
          <w:lang w:eastAsia="zh-CN"/>
        </w:rPr>
        <w:t>作品不仅展现了日本社会特定时期的犯罪特征，更重要的是构建了一个理解犯罪与社会关系的独特视角。未来研究</w:t>
      </w:r>
      <w:r>
        <w:rPr>
          <w:rFonts w:hint="eastAsia" w:ascii="Times New Roman" w:hAnsi="Times New Roman" w:eastAsia="宋体"/>
          <w:lang w:val="en-US" w:eastAsia="zh-CN"/>
        </w:rPr>
        <w:t>将会</w:t>
      </w:r>
      <w:r>
        <w:rPr>
          <w:rFonts w:hint="eastAsia" w:ascii="Times New Roman" w:hAnsi="Times New Roman" w:eastAsia="宋体"/>
          <w:lang w:eastAsia="zh-CN"/>
        </w:rPr>
        <w:t>拓展至全球化背景下的跨文</w:t>
      </w:r>
      <w:r>
        <w:rPr>
          <w:rFonts w:hint="eastAsia" w:ascii="Times New Roman" w:hAnsi="Times New Roman" w:eastAsia="宋体"/>
          <w:lang w:val="en-US" w:eastAsia="zh-CN"/>
        </w:rPr>
        <w:t>化的</w:t>
      </w:r>
      <w:r>
        <w:rPr>
          <w:rFonts w:hint="eastAsia" w:ascii="Times New Roman" w:hAnsi="Times New Roman" w:eastAsia="宋体"/>
          <w:lang w:eastAsia="zh-CN"/>
        </w:rPr>
        <w:t>比较研究，</w:t>
      </w:r>
      <w:r>
        <w:rPr>
          <w:rFonts w:hint="eastAsia" w:ascii="Times New Roman" w:hAnsi="Times New Roman" w:eastAsia="宋体"/>
          <w:lang w:val="en-US" w:eastAsia="zh-CN"/>
        </w:rPr>
        <w:t>从对</w:t>
      </w:r>
      <w:r>
        <w:rPr>
          <w:rFonts w:hint="eastAsia" w:ascii="Times New Roman" w:hAnsi="Times New Roman" w:eastAsia="宋体"/>
          <w:lang w:eastAsia="zh-CN"/>
        </w:rPr>
        <w:t>犯罪动机的共性与特性</w:t>
      </w:r>
      <w:r>
        <w:rPr>
          <w:rFonts w:hint="eastAsia" w:ascii="Times New Roman" w:hAnsi="Times New Roman" w:eastAsia="宋体"/>
          <w:lang w:val="en-US" w:eastAsia="zh-CN"/>
        </w:rPr>
        <w:t>的研究转向对全球社会结构的讨论（比如比较欧美国家与东亚社会家庭结的区别）</w:t>
      </w:r>
      <w:r>
        <w:rPr>
          <w:rFonts w:hint="eastAsia" w:ascii="Times New Roman" w:hAnsi="Times New Roman" w:eastAsia="宋体"/>
          <w:lang w:eastAsia="zh-CN"/>
        </w:rPr>
        <w:t>。兼顾社会结构的宏观分析与个体经验的微观考察，只有在这种辩证视角下，才能更全面地理解犯罪这一复杂的社会现象。</w:t>
      </w:r>
    </w:p>
    <w:p>
      <w:pPr>
        <w:spacing w:line="360" w:lineRule="auto"/>
        <w:rPr>
          <w:rFonts w:ascii="宋体" w:hAnsi="宋体" w:eastAsia="宋体"/>
          <w:sz w:val="18"/>
          <w:szCs w:val="18"/>
        </w:rPr>
      </w:pPr>
    </w:p>
    <w:sectPr>
      <w:footerReference r:id="rId4" w:type="default"/>
      <w:footerReference r:id="rId5" w:type="even"/>
      <w:footnotePr>
        <w:numRestart w:val="eachPage"/>
      </w:footnote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imSun-ExtB">
    <w:panose1 w:val="02010609060101010101"/>
    <w:charset w:val="86"/>
    <w:family w:val="modern"/>
    <w:pitch w:val="default"/>
    <w:sig w:usb0="00000001" w:usb1="02000000" w:usb2="00000000" w:usb3="00000000" w:csb0="00040001"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2092311109"/>
      <w:docPartObj>
        <w:docPartGallery w:val="autotext"/>
      </w:docPartObj>
    </w:sdtPr>
    <w:sdtEndPr>
      <w:rPr>
        <w:rStyle w:val="10"/>
      </w:rPr>
    </w:sdtEndPr>
    <w:sdtContent>
      <w:p>
        <w:pPr>
          <w:pStyle w:val="3"/>
          <w:framePr w:wrap="auto"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1</w:t>
        </w:r>
        <w:r>
          <w:rPr>
            <w:rStyle w:val="10"/>
          </w:rPr>
          <w:fldChar w:fldCharType="end"/>
        </w:r>
      </w:p>
    </w:sdtContent>
  </w:sdt>
  <w:p>
    <w:pPr>
      <w:pStyle w:val="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379937582"/>
      <w:docPartObj>
        <w:docPartGallery w:val="autotext"/>
      </w:docPartObj>
    </w:sdtPr>
    <w:sdtEndPr>
      <w:rPr>
        <w:rStyle w:val="10"/>
      </w:rPr>
    </w:sdtEndPr>
    <w:sdtContent>
      <w:p>
        <w:pPr>
          <w:pStyle w:val="3"/>
          <w:framePr w:wrap="auto" w:vAnchor="text" w:hAnchor="margin" w:xAlign="center" w:y="1"/>
          <w:rPr>
            <w:rStyle w:val="10"/>
          </w:rPr>
        </w:pPr>
        <w:r>
          <w:rPr>
            <w:rStyle w:val="10"/>
          </w:rPr>
          <w:fldChar w:fldCharType="begin"/>
        </w:r>
        <w:r>
          <w:rPr>
            <w:rStyle w:val="10"/>
          </w:rPr>
          <w:instrText xml:space="preserve"> PAGE </w:instrText>
        </w:r>
        <w:r>
          <w:rPr>
            <w:rStyle w:val="10"/>
          </w:rPr>
          <w:fldChar w:fldCharType="end"/>
        </w:r>
      </w:p>
    </w:sdtContent>
  </w:sdt>
  <w:p>
    <w:pPr>
      <w:pStyle w:val="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6">
    <w:p>
      <w:r>
        <w:separator/>
      </w:r>
    </w:p>
  </w:footnote>
  <w:footnote w:type="continuationSeparator" w:id="27">
    <w:p>
      <w:r>
        <w:continuationSeparator/>
      </w:r>
    </w:p>
  </w:footnote>
  <w:footnote w:id="0">
    <w:p>
      <w:pPr>
        <w:pStyle w:val="4"/>
        <w:numPr>
          <w:ilvl w:val="0"/>
          <w:numId w:val="1"/>
        </w:numPr>
        <w:jc w:val="both"/>
        <w:rPr>
          <w:rStyle w:val="12"/>
          <w:rFonts w:ascii="Times New Roman" w:hAnsi="Times New Roman" w:eastAsia="宋体" w:cs="Times New Roman"/>
          <w:vertAlign w:val="baseline"/>
        </w:rPr>
      </w:pPr>
      <w:r>
        <w:rPr>
          <w:rStyle w:val="12"/>
          <w:rFonts w:hint="eastAsia" w:ascii="Times New Roman" w:hAnsi="Times New Roman" w:eastAsia="宋体" w:cs="Times New Roman"/>
          <w:vertAlign w:val="baseline"/>
        </w:rPr>
        <w:t>何老伯因持刀威胁被子女拒之门外，居住楼道近 4 个月[EB/OL]. 网易新闻, 2025</w:t>
      </w:r>
      <w:r>
        <w:rPr>
          <w:rFonts w:hint="eastAsia" w:ascii="Times New Roman" w:hAnsi="Times New Roman" w:eastAsia="宋体" w:cs="Times New Roman"/>
          <w:vertAlign w:val="baseline"/>
          <w:lang w:val="en-US" w:eastAsia="zh-CN"/>
        </w:rPr>
        <w:t>.</w:t>
      </w:r>
      <w:r>
        <w:rPr>
          <w:rStyle w:val="12"/>
          <w:rFonts w:hint="eastAsia" w:ascii="Times New Roman" w:hAnsi="Times New Roman" w:eastAsia="宋体" w:cs="Times New Roman"/>
          <w:vertAlign w:val="baseline"/>
        </w:rPr>
        <w:t>5</w:t>
      </w:r>
      <w:r>
        <w:rPr>
          <w:rFonts w:hint="eastAsia" w:ascii="Times New Roman" w:hAnsi="Times New Roman" w:eastAsia="宋体" w:cs="Times New Roman"/>
          <w:vertAlign w:val="baseline"/>
          <w:lang w:val="en-US" w:eastAsia="zh-CN"/>
        </w:rPr>
        <w:t>.</w:t>
      </w:r>
      <w:r>
        <w:rPr>
          <w:rStyle w:val="12"/>
          <w:rFonts w:hint="eastAsia" w:ascii="Times New Roman" w:hAnsi="Times New Roman" w:eastAsia="宋体" w:cs="Times New Roman"/>
          <w:vertAlign w:val="baseline"/>
        </w:rPr>
        <w:t xml:space="preserve">17. </w:t>
      </w:r>
    </w:p>
  </w:footnote>
  <w:footnote w:id="1">
    <w:p>
      <w:pPr>
        <w:pStyle w:val="4"/>
        <w:jc w:val="both"/>
        <w:rPr>
          <w:rStyle w:val="12"/>
          <w:rFonts w:ascii="Times New Roman" w:hAnsi="Times New Roman" w:eastAsia="宋体" w:cs="Times New Roman"/>
          <w:vertAlign w:val="baseline"/>
        </w:rPr>
      </w:pPr>
      <w:r>
        <w:rPr>
          <w:rFonts w:hint="eastAsia" w:ascii="Times New Roman" w:hAnsi="Times New Roman" w:eastAsia="宋体" w:cs="Times New Roman"/>
          <w:vertAlign w:val="baseline"/>
          <w:lang w:val="en-US" w:eastAsia="zh-CN"/>
        </w:rPr>
        <w:t>2</w:t>
      </w:r>
      <w:r>
        <w:rPr>
          <w:rStyle w:val="12"/>
          <w:rFonts w:hint="eastAsia" w:ascii="Times New Roman" w:hAnsi="Times New Roman" w:eastAsia="宋体" w:cs="Times New Roman"/>
          <w:vertAlign w:val="baseline"/>
          <w:lang w:val="en-US" w:eastAsia="zh-CN"/>
        </w:rPr>
        <w:t>.</w:t>
      </w:r>
      <w:r>
        <w:rPr>
          <w:rStyle w:val="12"/>
          <w:rFonts w:ascii="Times New Roman" w:hAnsi="Times New Roman" w:eastAsia="宋体" w:cs="Times New Roman"/>
          <w:vertAlign w:val="baseline"/>
        </w:rPr>
        <w:t xml:space="preserve"> </w:t>
      </w:r>
      <w:r>
        <w:rPr>
          <w:rStyle w:val="12"/>
          <w:rFonts w:hint="eastAsia" w:ascii="Times New Roman" w:hAnsi="Times New Roman" w:eastAsia="宋体" w:cs="Times New Roman"/>
          <w:vertAlign w:val="baseline"/>
        </w:rPr>
        <w:t>八旬老人因拆迁 6 套房产分配不均引发赡养纠纷[EB/OL]. 2025</w:t>
      </w:r>
      <w:r>
        <w:rPr>
          <w:rFonts w:hint="eastAsia" w:ascii="Times New Roman" w:hAnsi="Times New Roman" w:eastAsia="宋体" w:cs="Times New Roman"/>
          <w:vertAlign w:val="baseline"/>
          <w:lang w:val="en-US" w:eastAsia="zh-CN"/>
        </w:rPr>
        <w:t>.</w:t>
      </w:r>
      <w:r>
        <w:rPr>
          <w:rStyle w:val="12"/>
          <w:rFonts w:hint="eastAsia" w:ascii="Times New Roman" w:hAnsi="Times New Roman" w:eastAsia="宋体" w:cs="Times New Roman"/>
          <w:vertAlign w:val="baseline"/>
        </w:rPr>
        <w:t>2</w:t>
      </w:r>
      <w:r>
        <w:rPr>
          <w:rFonts w:hint="eastAsia" w:ascii="Times New Roman" w:hAnsi="Times New Roman" w:eastAsia="宋体" w:cs="Times New Roman"/>
          <w:vertAlign w:val="baseline"/>
          <w:lang w:val="en-US" w:eastAsia="zh-CN"/>
        </w:rPr>
        <w:t>.</w:t>
      </w:r>
      <w:r>
        <w:rPr>
          <w:rStyle w:val="12"/>
          <w:rFonts w:hint="eastAsia" w:ascii="Times New Roman" w:hAnsi="Times New Roman" w:eastAsia="宋体" w:cs="Times New Roman"/>
          <w:vertAlign w:val="baseline"/>
        </w:rPr>
        <w:t xml:space="preserve">21. </w:t>
      </w:r>
    </w:p>
  </w:footnote>
  <w:footnote w:id="2">
    <w:p>
      <w:pPr>
        <w:pStyle w:val="4"/>
        <w:jc w:val="both"/>
        <w:rPr>
          <w:rStyle w:val="12"/>
          <w:rFonts w:ascii="Times New Roman" w:hAnsi="Times New Roman" w:eastAsia="宋体" w:cs="Times New Roman"/>
          <w:vertAlign w:val="baseline"/>
        </w:rPr>
      </w:pPr>
      <w:r>
        <w:rPr>
          <w:rFonts w:hint="eastAsia" w:ascii="Times New Roman" w:hAnsi="Times New Roman" w:eastAsia="宋体" w:cs="Times New Roman"/>
          <w:vertAlign w:val="baseline"/>
          <w:lang w:val="en-US" w:eastAsia="zh-CN"/>
        </w:rPr>
        <w:t>3</w:t>
      </w:r>
      <w:r>
        <w:rPr>
          <w:rStyle w:val="12"/>
          <w:rFonts w:hint="eastAsia" w:ascii="Times New Roman" w:hAnsi="Times New Roman" w:eastAsia="宋体" w:cs="Times New Roman"/>
          <w:vertAlign w:val="baseline"/>
          <w:lang w:val="en-US" w:eastAsia="zh-CN"/>
        </w:rPr>
        <w:t>.</w:t>
      </w:r>
      <w:r>
        <w:rPr>
          <w:rStyle w:val="12"/>
          <w:rFonts w:ascii="Times New Roman" w:hAnsi="Times New Roman" w:eastAsia="宋体" w:cs="Times New Roman"/>
          <w:vertAlign w:val="baseline"/>
        </w:rPr>
        <w:t xml:space="preserve"> </w:t>
      </w:r>
      <w:r>
        <w:rPr>
          <w:rStyle w:val="12"/>
          <w:rFonts w:hint="eastAsia" w:ascii="Times New Roman" w:hAnsi="Times New Roman" w:eastAsia="宋体" w:cs="Times New Roman"/>
          <w:vertAlign w:val="baseline"/>
        </w:rPr>
        <w:t>一具十年白骨惊现日本公寓！60岁社恐男任95岁亡母遗体成骨，荒诞案件折射社会顽疾[EB/OL]. 2025</w:t>
      </w:r>
      <w:r>
        <w:rPr>
          <w:rFonts w:hint="eastAsia" w:ascii="Times New Roman" w:hAnsi="Times New Roman" w:eastAsia="宋体" w:cs="Times New Roman"/>
          <w:vertAlign w:val="baseline"/>
          <w:lang w:val="en-US" w:eastAsia="zh-CN"/>
        </w:rPr>
        <w:t>.</w:t>
      </w:r>
      <w:r>
        <w:rPr>
          <w:rStyle w:val="12"/>
          <w:rFonts w:hint="eastAsia" w:ascii="Times New Roman" w:hAnsi="Times New Roman" w:eastAsia="宋体" w:cs="Times New Roman"/>
          <w:vertAlign w:val="baseline"/>
        </w:rPr>
        <w:t>7</w:t>
      </w:r>
      <w:r>
        <w:rPr>
          <w:rFonts w:hint="eastAsia" w:ascii="Times New Roman" w:hAnsi="Times New Roman" w:eastAsia="宋体" w:cs="Times New Roman"/>
          <w:vertAlign w:val="baseline"/>
          <w:lang w:val="en-US" w:eastAsia="zh-CN"/>
        </w:rPr>
        <w:t>.</w:t>
      </w:r>
      <w:r>
        <w:rPr>
          <w:rStyle w:val="12"/>
          <w:rFonts w:hint="eastAsia" w:ascii="Times New Roman" w:hAnsi="Times New Roman" w:eastAsia="宋体" w:cs="Times New Roman"/>
          <w:vertAlign w:val="baseline"/>
        </w:rPr>
        <w:t>9.</w:t>
      </w:r>
    </w:p>
  </w:footnote>
  <w:footnote w:id="3">
    <w:p>
      <w:pPr>
        <w:pStyle w:val="4"/>
        <w:jc w:val="both"/>
        <w:rPr>
          <w:rStyle w:val="12"/>
          <w:rFonts w:ascii="Times New Roman" w:hAnsi="Times New Roman" w:eastAsia="宋体" w:cs="Times New Roman"/>
          <w:vertAlign w:val="baseline"/>
        </w:rPr>
      </w:pPr>
      <w:r>
        <w:rPr>
          <w:rFonts w:hint="eastAsia" w:ascii="Times New Roman" w:hAnsi="Times New Roman" w:eastAsia="宋体" w:cs="Times New Roman"/>
          <w:vertAlign w:val="baseline"/>
          <w:lang w:val="en-US" w:eastAsia="zh-CN"/>
        </w:rPr>
        <w:t>4</w:t>
      </w:r>
      <w:r>
        <w:rPr>
          <w:rStyle w:val="12"/>
          <w:rFonts w:hint="eastAsia" w:ascii="Times New Roman" w:hAnsi="Times New Roman" w:eastAsia="宋体" w:cs="Times New Roman"/>
          <w:vertAlign w:val="baseline"/>
          <w:lang w:val="en-US" w:eastAsia="zh-CN"/>
        </w:rPr>
        <w:t>.</w:t>
      </w:r>
      <w:r>
        <w:rPr>
          <w:rStyle w:val="12"/>
          <w:rFonts w:ascii="Times New Roman" w:hAnsi="Times New Roman" w:eastAsia="宋体" w:cs="Times New Roman"/>
          <w:vertAlign w:val="baseline"/>
        </w:rPr>
        <w:t xml:space="preserve"> 冉光和. 夹心层家庭结构与家庭金融投资决策研究[D]. 重庆大学, 2021.</w:t>
      </w:r>
    </w:p>
    <w:p>
      <w:pPr>
        <w:pStyle w:val="4"/>
        <w:jc w:val="both"/>
        <w:rPr>
          <w:rFonts w:ascii="Times New Roman" w:hAnsi="Times New Roman" w:eastAsia="宋体" w:cs="Times New Roman"/>
        </w:rPr>
      </w:pPr>
    </w:p>
  </w:footnote>
  <w:footnote w:id="4">
    <w:p>
      <w:pPr>
        <w:pStyle w:val="4"/>
        <w:jc w:val="both"/>
        <w:rPr>
          <w:rFonts w:hint="default" w:ascii="Times New Roman" w:hAnsi="Times New Roman" w:eastAsia="宋体" w:cs="Times New Roman"/>
          <w:lang w:val="en-US"/>
        </w:rPr>
      </w:pPr>
      <w:r>
        <w:rPr>
          <w:rFonts w:hint="default" w:ascii="Times New Roman" w:hAnsi="Times New Roman" w:eastAsia="宋体" w:cs="Times New Roman"/>
          <w:lang w:val="en-US"/>
        </w:rPr>
        <w:footnoteRef/>
      </w:r>
      <w:r>
        <w:rPr>
          <w:rFonts w:hint="eastAsia" w:ascii="Times New Roman" w:hAnsi="Times New Roman" w:eastAsia="宋体" w:cs="Times New Roman"/>
          <w:lang w:val="en-US" w:eastAsia="zh-CN"/>
        </w:rPr>
        <w:t>.</w:t>
      </w:r>
      <w:r>
        <w:rPr>
          <w:rFonts w:hint="default" w:ascii="Times New Roman" w:hAnsi="Times New Roman" w:eastAsia="宋体" w:cs="Times New Roman"/>
          <w:lang w:val="en-US"/>
        </w:rPr>
        <w:t xml:space="preserve"> Cesare Lombroso.Criminal Man,</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rPr>
        <w:t>fourth ed</w:t>
      </w:r>
      <w:r>
        <w:rPr>
          <w:rFonts w:hint="eastAsia" w:ascii="Times New Roman" w:hAnsi="Times New Roman" w:eastAsia="宋体" w:cs="Times New Roman"/>
          <w:lang w:val="en-US" w:eastAsia="zh-CN"/>
        </w:rPr>
        <w:t>i</w:t>
      </w:r>
      <w:r>
        <w:rPr>
          <w:rFonts w:hint="default" w:ascii="Times New Roman" w:hAnsi="Times New Roman" w:eastAsia="宋体" w:cs="Times New Roman"/>
          <w:lang w:val="en-US"/>
        </w:rPr>
        <w:t>tion.</w:t>
      </w:r>
      <w:r>
        <w:rPr>
          <w:rFonts w:hint="eastAsia" w:ascii="Times New Roman" w:hAnsi="Times New Roman" w:eastAsia="宋体" w:cs="Times New Roman"/>
          <w:lang w:val="en-US" w:eastAsia="zh-CN"/>
        </w:rPr>
        <w:t xml:space="preserve"> </w:t>
      </w:r>
      <w:r>
        <w:rPr>
          <w:rFonts w:hint="default" w:ascii="Times New Roman" w:hAnsi="Times New Roman" w:eastAsia="宋体" w:cs="Times New Roman"/>
          <w:lang w:val="en-US"/>
        </w:rPr>
        <w:t>Duke University Press,</w:t>
      </w:r>
      <w:r>
        <w:rPr>
          <w:rFonts w:hint="eastAsia" w:ascii="Times New Roman" w:hAnsi="Times New Roman" w:eastAsia="宋体" w:cs="Times New Roman"/>
          <w:lang w:val="en-US" w:eastAsia="zh-CN"/>
        </w:rPr>
        <w:t xml:space="preserve"> 2006.</w:t>
      </w:r>
      <w:r>
        <w:rPr>
          <w:rFonts w:hint="default" w:ascii="Times New Roman" w:hAnsi="Times New Roman" w:eastAsia="宋体" w:cs="Times New Roman"/>
          <w:lang w:val="en-US"/>
        </w:rPr>
        <w:t>48.</w:t>
      </w:r>
    </w:p>
  </w:footnote>
  <w:footnote w:id="5">
    <w:p>
      <w:pPr>
        <w:pStyle w:val="4"/>
        <w:jc w:val="both"/>
        <w:rPr>
          <w:rFonts w:hint="default" w:ascii="Times New Roman" w:hAnsi="Times New Roman" w:eastAsia="宋体" w:cs="Times New Roman"/>
          <w:lang w:val="en-US"/>
        </w:rPr>
      </w:pPr>
      <w:r>
        <w:rPr>
          <w:rFonts w:hint="default" w:ascii="Times New Roman" w:hAnsi="Times New Roman" w:eastAsia="宋体" w:cs="Times New Roman"/>
          <w:lang w:val="en-US"/>
        </w:rPr>
        <w:footnoteRef/>
      </w:r>
      <w:r>
        <w:rPr>
          <w:rFonts w:hint="eastAsia" w:ascii="Times New Roman" w:hAnsi="Times New Roman" w:eastAsia="宋体" w:cs="Times New Roman"/>
          <w:lang w:val="en-US" w:eastAsia="zh-CN"/>
        </w:rPr>
        <w:t>.恩里科·菲利</w:t>
      </w:r>
      <w:r>
        <w:rPr>
          <w:rFonts w:hint="default" w:ascii="Times New Roman" w:hAnsi="Times New Roman" w:eastAsia="宋体" w:cs="Times New Roman"/>
          <w:lang w:val="en-US"/>
        </w:rPr>
        <w:t>.</w:t>
      </w:r>
      <w:r>
        <w:rPr>
          <w:rFonts w:hint="eastAsia" w:ascii="Times New Roman" w:hAnsi="Times New Roman" w:eastAsia="宋体" w:cs="Times New Roman"/>
          <w:lang w:val="en-US" w:eastAsia="zh-CN"/>
        </w:rPr>
        <w:t>实证派犯罪学</w:t>
      </w:r>
      <w:r>
        <w:rPr>
          <w:rFonts w:hint="default" w:ascii="Times New Roman" w:hAnsi="Times New Roman" w:eastAsia="宋体" w:cs="Times New Roman"/>
          <w:lang w:val="en-US"/>
        </w:rPr>
        <w:t>[</w:t>
      </w:r>
      <w:r>
        <w:rPr>
          <w:rFonts w:hint="eastAsia" w:ascii="Times New Roman" w:hAnsi="Times New Roman" w:eastAsia="宋体" w:cs="Times New Roman"/>
          <w:lang w:val="en-US" w:eastAsia="zh-CN"/>
        </w:rPr>
        <w:t>M</w:t>
      </w:r>
      <w:r>
        <w:rPr>
          <w:rFonts w:hint="default" w:ascii="Times New Roman" w:hAnsi="Times New Roman" w:eastAsia="宋体" w:cs="Times New Roman"/>
          <w:lang w:val="en-US"/>
        </w:rPr>
        <w:t>].</w:t>
      </w:r>
      <w:r>
        <w:rPr>
          <w:rFonts w:hint="eastAsia" w:ascii="Times New Roman" w:hAnsi="Times New Roman" w:eastAsia="宋体" w:cs="Times New Roman"/>
          <w:lang w:val="en-US" w:eastAsia="zh-CN"/>
        </w:rPr>
        <w:t>商务印书馆</w:t>
      </w:r>
      <w:r>
        <w:rPr>
          <w:rFonts w:hint="default" w:ascii="Times New Roman" w:hAnsi="Times New Roman" w:eastAsia="宋体" w:cs="Times New Roman"/>
          <w:lang w:val="en-US"/>
        </w:rPr>
        <w:t>,201</w:t>
      </w:r>
      <w:r>
        <w:rPr>
          <w:rFonts w:hint="eastAsia" w:ascii="Times New Roman" w:hAnsi="Times New Roman" w:eastAsia="宋体" w:cs="Times New Roman"/>
          <w:lang w:val="en-US" w:eastAsia="zh-CN"/>
        </w:rPr>
        <w:t>6</w:t>
      </w:r>
      <w:r>
        <w:rPr>
          <w:rFonts w:hint="default" w:ascii="Times New Roman" w:hAnsi="Times New Roman" w:eastAsia="宋体" w:cs="Times New Roman"/>
          <w:lang w:val="en-US"/>
        </w:rPr>
        <w:t>.4</w:t>
      </w:r>
      <w:r>
        <w:rPr>
          <w:rFonts w:hint="eastAsia" w:ascii="Times New Roman" w:hAnsi="Times New Roman" w:eastAsia="宋体" w:cs="Times New Roman"/>
          <w:lang w:val="en-US" w:eastAsia="zh-CN"/>
        </w:rPr>
        <w:t>1.</w:t>
      </w:r>
    </w:p>
  </w:footnote>
  <w:footnote w:id="6">
    <w:p>
      <w:pPr>
        <w:pStyle w:val="4"/>
        <w:jc w:val="both"/>
        <w:rPr>
          <w:rFonts w:hint="eastAsia" w:ascii="Times New Roman" w:hAnsi="Times New Roman" w:eastAsia="宋体" w:cs="Times New Roman"/>
          <w:lang w:val="en-US" w:eastAsia="zh-CN"/>
        </w:rPr>
      </w:pPr>
      <w:r>
        <w:rPr>
          <w:rFonts w:hint="default" w:ascii="Times New Roman" w:hAnsi="Times New Roman" w:eastAsia="宋体" w:cs="Times New Roman"/>
          <w:lang w:val="en-US"/>
        </w:rPr>
        <w:footnoteRef/>
      </w:r>
      <w:r>
        <w:rPr>
          <w:rFonts w:hint="eastAsia" w:ascii="Times New Roman" w:hAnsi="Times New Roman" w:eastAsia="宋体" w:cs="Times New Roman"/>
          <w:lang w:val="en-US" w:eastAsia="zh-CN"/>
        </w:rPr>
        <w:t>.</w:t>
      </w:r>
      <w:r>
        <w:rPr>
          <w:rFonts w:hint="eastAsia" w:ascii="Times New Roman" w:hAnsi="Times New Roman" w:eastAsia="宋体" w:cs="Times New Roman"/>
          <w:lang w:val="en-US"/>
        </w:rPr>
        <w:t>康树华.《犯罪社会学》</w:t>
      </w:r>
      <w:r>
        <w:rPr>
          <w:rFonts w:hint="default" w:ascii="Times New Roman" w:hAnsi="Times New Roman" w:eastAsia="宋体" w:cs="Times New Roman"/>
          <w:lang w:val="en-US"/>
        </w:rPr>
        <w:t>[</w:t>
      </w:r>
      <w:r>
        <w:rPr>
          <w:rFonts w:hint="eastAsia" w:ascii="Times New Roman" w:hAnsi="Times New Roman" w:eastAsia="宋体" w:cs="Times New Roman"/>
          <w:lang w:val="en-US" w:eastAsia="zh-CN"/>
        </w:rPr>
        <w:t>M</w:t>
      </w:r>
      <w:r>
        <w:rPr>
          <w:rFonts w:hint="default" w:ascii="Times New Roman" w:hAnsi="Times New Roman" w:eastAsia="宋体" w:cs="Times New Roman"/>
          <w:lang w:val="en-US"/>
        </w:rPr>
        <w:t>]</w:t>
      </w:r>
      <w:r>
        <w:rPr>
          <w:rFonts w:hint="eastAsia" w:ascii="Times New Roman" w:hAnsi="Times New Roman" w:eastAsia="宋体" w:cs="Times New Roman"/>
          <w:lang w:val="en-US"/>
        </w:rPr>
        <w:t>. 中国政法大学出版社.</w:t>
      </w:r>
      <w:r>
        <w:rPr>
          <w:rFonts w:hint="eastAsia" w:ascii="Times New Roman" w:hAnsi="Times New Roman" w:eastAsia="宋体" w:cs="Times New Roman"/>
          <w:lang w:val="en-US" w:eastAsia="zh-CN"/>
        </w:rPr>
        <w:t>1999.</w:t>
      </w:r>
      <w:r>
        <w:rPr>
          <w:rFonts w:hint="eastAsia" w:ascii="Times New Roman" w:hAnsi="Times New Roman" w:eastAsia="宋体" w:cs="Times New Roman"/>
          <w:lang w:val="en-US"/>
        </w:rPr>
        <w:t>67</w:t>
      </w:r>
      <w:r>
        <w:rPr>
          <w:rFonts w:hint="eastAsia" w:ascii="Times New Roman" w:hAnsi="Times New Roman" w:eastAsia="宋体" w:cs="Times New Roman"/>
          <w:lang w:val="en-US" w:eastAsia="zh-CN"/>
        </w:rPr>
        <w:t>.</w:t>
      </w:r>
    </w:p>
  </w:footnote>
  <w:footnote w:id="7">
    <w:p>
      <w:pPr>
        <w:pStyle w:val="4"/>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rPr>
        <w:footnoteRef/>
      </w:r>
      <w:r>
        <w:rPr>
          <w:rFonts w:hint="eastAsia" w:ascii="Times New Roman" w:hAnsi="Times New Roman" w:eastAsia="宋体" w:cs="Times New Roman"/>
          <w:lang w:val="en-US" w:eastAsia="zh-CN"/>
        </w:rPr>
        <w:t>.东野圭吾. 红手指[M]. 北京: 南海出版社, 2017. 67.</w:t>
      </w:r>
    </w:p>
    <w:p>
      <w:pPr>
        <w:pStyle w:val="4"/>
        <w:jc w:val="both"/>
        <w:rPr>
          <w:rFonts w:hint="eastAsia" w:ascii="Times New Roman" w:hAnsi="Times New Roman" w:eastAsia="宋体" w:cs="Times New Roman"/>
          <w:lang w:val="en-US" w:eastAsia="zh-CN"/>
        </w:rPr>
      </w:pPr>
    </w:p>
    <w:p>
      <w:pPr>
        <w:pStyle w:val="4"/>
        <w:jc w:val="both"/>
        <w:rPr>
          <w:rFonts w:hint="eastAsia" w:ascii="Times New Roman" w:hAnsi="Times New Roman" w:eastAsia="宋体" w:cs="Times New Roman"/>
          <w:lang w:val="en-US" w:eastAsia="zh-CN"/>
        </w:rPr>
      </w:pPr>
    </w:p>
  </w:footnote>
  <w:footnote w:id="8">
    <w:p>
      <w:pPr>
        <w:pStyle w:val="4"/>
        <w:jc w:val="both"/>
        <w:rPr>
          <w:rFonts w:hint="default" w:ascii="Times New Roman" w:hAnsi="Times New Roman" w:eastAsia="宋体" w:cs="Times New Roman"/>
          <w:lang w:val="en-US"/>
        </w:rPr>
      </w:pPr>
      <w:r>
        <w:rPr>
          <w:rFonts w:hint="default" w:ascii="Times New Roman" w:hAnsi="Times New Roman" w:eastAsia="宋体" w:cs="Times New Roman"/>
          <w:lang w:val="en-US"/>
        </w:rPr>
        <w:footnoteRef/>
      </w:r>
      <w:r>
        <w:rPr>
          <w:rFonts w:hint="eastAsia" w:ascii="Times New Roman" w:hAnsi="Times New Roman" w:eastAsia="宋体" w:cs="Times New Roman"/>
          <w:lang w:val="en-US" w:eastAsia="zh-CN"/>
        </w:rPr>
        <w:t>.</w:t>
      </w:r>
      <w:r>
        <w:rPr>
          <w:rFonts w:hint="eastAsia" w:ascii="Times New Roman" w:hAnsi="Times New Roman" w:eastAsia="宋体" w:cs="Times New Roman"/>
          <w:lang w:val="en-US"/>
        </w:rPr>
        <w:t xml:space="preserve"> 日本统计局. 日本全职主妇比例年鉴[EB/OL]. 东京: 日本统计局, 2023. </w:t>
      </w:r>
    </w:p>
  </w:footnote>
  <w:footnote w:id="9">
    <w:p>
      <w:pPr>
        <w:pStyle w:val="4"/>
        <w:jc w:val="both"/>
        <w:rPr>
          <w:rFonts w:hint="default" w:ascii="Times New Roman" w:hAnsi="Times New Roman" w:eastAsia="宋体" w:cs="Times New Roman"/>
          <w:lang w:val="en-US"/>
        </w:rPr>
      </w:pPr>
      <w:r>
        <w:rPr>
          <w:rFonts w:hint="default" w:ascii="Times New Roman" w:hAnsi="Times New Roman" w:eastAsia="宋体" w:cs="Times New Roman"/>
          <w:lang w:val="en-US"/>
        </w:rPr>
        <w:footnoteRef/>
      </w:r>
      <w:r>
        <w:rPr>
          <w:rFonts w:hint="eastAsia" w:ascii="Times New Roman" w:hAnsi="Times New Roman" w:eastAsia="宋体" w:cs="Times New Roman"/>
          <w:lang w:val="en-US" w:eastAsia="zh-C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东野圭吾. 红手指[M]. 北京: 南海出版社, 2017. 70</w:t>
      </w:r>
    </w:p>
  </w:footnote>
  <w:footnote w:id="10">
    <w:p>
      <w:pPr>
        <w:pStyle w:val="4"/>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w:t>
      </w:r>
      <w:r>
        <w:rPr>
          <w:rFonts w:hint="eastAsia" w:ascii="Times New Roman" w:hAnsi="Times New Roman" w:eastAsia="宋体" w:cs="Times New Roman"/>
          <w:lang w:val="en-US"/>
        </w:rPr>
        <w:t>JIANG Quanbao, SÁNCHEZ-BARRICARTE J J. The 4-2-1 family structure in China: a survival analysis based on life tables[J]. Eur J Ageing (2011) 8:119–127</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lang w:val="en-US"/>
        </w:rPr>
        <w:t>DOI 10.1007/s10433-011-0189-1</w:t>
      </w:r>
    </w:p>
  </w:footnote>
  <w:footnote w:id="11">
    <w:p>
      <w:pPr>
        <w:pStyle w:val="4"/>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w:t>
      </w:r>
      <w:r>
        <w:rPr>
          <w:rFonts w:hint="default" w:ascii="Times New Roman" w:hAnsi="Times New Roman" w:eastAsia="宋体" w:cs="Times New Roman"/>
          <w:lang w:val="en-US"/>
        </w:rPr>
        <w:t>宗威. 年轻人不愿结婚生孩子，韩国人养老金2055年将耗尽[EB/OL]. 2021</w:t>
      </w:r>
      <w:r>
        <w:rPr>
          <w:rFonts w:hint="eastAsia" w:ascii="Times New Roman" w:hAnsi="Times New Roman" w:eastAsia="宋体" w:cs="Times New Roman"/>
          <w:lang w:val="en-US" w:eastAsia="zh-CN"/>
        </w:rPr>
        <w:t>.03.</w:t>
      </w:r>
      <w:r>
        <w:rPr>
          <w:rFonts w:hint="default" w:ascii="Times New Roman" w:hAnsi="Times New Roman" w:eastAsia="宋体" w:cs="Times New Roman"/>
          <w:lang w:val="en-US"/>
        </w:rPr>
        <w:t>25</w:t>
      </w:r>
      <w:r>
        <w:rPr>
          <w:rFonts w:hint="eastAsia" w:ascii="Times New Roman" w:hAnsi="Times New Roman" w:eastAsia="宋体" w:cs="Times New Roman"/>
          <w:lang w:val="en-US" w:eastAsia="zh-CN"/>
        </w:rPr>
        <w:t>.</w:t>
      </w:r>
    </w:p>
  </w:footnote>
  <w:footnote w:id="12">
    <w:p>
      <w:pPr>
        <w:pStyle w:val="4"/>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3.</w:t>
      </w:r>
      <w:r>
        <w:rPr>
          <w:rFonts w:hint="eastAsia" w:ascii="Times New Roman" w:hAnsi="Times New Roman" w:eastAsia="宋体" w:cs="Times New Roman"/>
          <w:lang w:val="en-US"/>
        </w:rPr>
        <w:t>康树华.《犯罪社会学》</w:t>
      </w:r>
      <w:r>
        <w:rPr>
          <w:rFonts w:hint="default" w:ascii="Times New Roman" w:hAnsi="Times New Roman" w:eastAsia="宋体" w:cs="Times New Roman"/>
          <w:lang w:val="en-US"/>
        </w:rPr>
        <w:t>[</w:t>
      </w:r>
      <w:r>
        <w:rPr>
          <w:rFonts w:hint="eastAsia" w:ascii="Times New Roman" w:hAnsi="Times New Roman" w:eastAsia="宋体" w:cs="Times New Roman"/>
          <w:lang w:val="en-US" w:eastAsia="zh-CN"/>
        </w:rPr>
        <w:t>M</w:t>
      </w:r>
      <w:r>
        <w:rPr>
          <w:rFonts w:hint="default" w:ascii="Times New Roman" w:hAnsi="Times New Roman" w:eastAsia="宋体" w:cs="Times New Roman"/>
          <w:lang w:val="en-US"/>
        </w:rPr>
        <w:t>]</w:t>
      </w:r>
      <w:r>
        <w:rPr>
          <w:rFonts w:hint="eastAsia" w:ascii="Times New Roman" w:hAnsi="Times New Roman" w:eastAsia="宋体" w:cs="Times New Roman"/>
          <w:lang w:val="en-US"/>
        </w:rPr>
        <w:t>. 中国政法大学出版社.</w:t>
      </w:r>
      <w:r>
        <w:rPr>
          <w:rFonts w:hint="eastAsia" w:ascii="Times New Roman" w:hAnsi="Times New Roman" w:eastAsia="宋体" w:cs="Times New Roman"/>
          <w:lang w:val="en-US" w:eastAsia="zh-CN"/>
        </w:rPr>
        <w:t>1999.158.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23EF18"/>
    <w:multiLevelType w:val="singleLevel"/>
    <w:tmpl w:val="D523EF18"/>
    <w:lvl w:ilvl="0" w:tentative="0">
      <w:start w:val="1"/>
      <w:numFmt w:val="decimal"/>
      <w:suff w:val="space"/>
      <w:lvlText w:val="%1."/>
      <w:lvlJc w:val="left"/>
    </w:lvl>
  </w:abstractNum>
  <w:abstractNum w:abstractNumId="1">
    <w:nsid w:val="E0F89821"/>
    <w:multiLevelType w:val="singleLevel"/>
    <w:tmpl w:val="E0F89821"/>
    <w:lvl w:ilvl="0" w:tentative="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Restart w:val="eachPage"/>
    <w:footnote w:id="26"/>
    <w:footnote w:id="2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mFiMzgxZjIwNzU5MjJmYjQ3NGNkZDRkNWEwMzJiZGMifQ=="/>
  </w:docVars>
  <w:rsids>
    <w:rsidRoot w:val="003B3E5B"/>
    <w:rsid w:val="00126EE8"/>
    <w:rsid w:val="00161203"/>
    <w:rsid w:val="00196663"/>
    <w:rsid w:val="00196C75"/>
    <w:rsid w:val="001C26FA"/>
    <w:rsid w:val="002D750D"/>
    <w:rsid w:val="00392B8A"/>
    <w:rsid w:val="003B3E5B"/>
    <w:rsid w:val="003D704E"/>
    <w:rsid w:val="00465E98"/>
    <w:rsid w:val="00465F82"/>
    <w:rsid w:val="00482467"/>
    <w:rsid w:val="00482A73"/>
    <w:rsid w:val="004E3276"/>
    <w:rsid w:val="004F2C05"/>
    <w:rsid w:val="00593B2F"/>
    <w:rsid w:val="00614668"/>
    <w:rsid w:val="00661D42"/>
    <w:rsid w:val="006810A8"/>
    <w:rsid w:val="00712F11"/>
    <w:rsid w:val="00772BC4"/>
    <w:rsid w:val="00794411"/>
    <w:rsid w:val="007B2AAC"/>
    <w:rsid w:val="00824A5F"/>
    <w:rsid w:val="008D3B45"/>
    <w:rsid w:val="009C57B4"/>
    <w:rsid w:val="00B86230"/>
    <w:rsid w:val="00BA791F"/>
    <w:rsid w:val="00BB3C26"/>
    <w:rsid w:val="00BB63C0"/>
    <w:rsid w:val="00BC3C7B"/>
    <w:rsid w:val="00C03F25"/>
    <w:rsid w:val="00C10A53"/>
    <w:rsid w:val="00C917B4"/>
    <w:rsid w:val="00D03AEE"/>
    <w:rsid w:val="00D55010"/>
    <w:rsid w:val="00D601C4"/>
    <w:rsid w:val="00DC5ED1"/>
    <w:rsid w:val="00E3597B"/>
    <w:rsid w:val="00EC2469"/>
    <w:rsid w:val="00F15375"/>
    <w:rsid w:val="141E4F44"/>
    <w:rsid w:val="19CA465F"/>
    <w:rsid w:val="2AA40C4C"/>
    <w:rsid w:val="358F50C9"/>
    <w:rsid w:val="367657E5"/>
    <w:rsid w:val="3C5A58BF"/>
    <w:rsid w:val="545427C9"/>
    <w:rsid w:val="6051122F"/>
    <w:rsid w:val="64E55CF1"/>
    <w:rsid w:val="68AA0AF4"/>
    <w:rsid w:val="7C5F1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3"/>
    <w:unhideWhenUsed/>
    <w:qFormat/>
    <w:uiPriority w:val="9"/>
    <w:pPr>
      <w:keepNext/>
      <w:keepLines/>
      <w:spacing w:before="260" w:after="260" w:line="416" w:lineRule="auto"/>
      <w:jc w:val="left"/>
      <w:outlineLvl w:val="1"/>
    </w:pPr>
    <w:rPr>
      <w:rFonts w:eastAsia="SimSun-ExtB" w:asciiTheme="majorHAnsi" w:hAnsiTheme="majorHAnsi" w:cstheme="majorBidi"/>
      <w:bCs/>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5"/>
    <w:unhideWhenUsed/>
    <w:qFormat/>
    <w:uiPriority w:val="99"/>
    <w:pPr>
      <w:tabs>
        <w:tab w:val="center" w:pos="4153"/>
        <w:tab w:val="right" w:pos="8306"/>
      </w:tabs>
      <w:snapToGrid w:val="0"/>
      <w:jc w:val="left"/>
    </w:pPr>
    <w:rPr>
      <w:sz w:val="18"/>
      <w:szCs w:val="18"/>
    </w:rPr>
  </w:style>
  <w:style w:type="paragraph" w:styleId="4">
    <w:name w:val="footnote text"/>
    <w:basedOn w:val="1"/>
    <w:link w:val="14"/>
    <w:semiHidden/>
    <w:unhideWhenUsed/>
    <w:qFormat/>
    <w:uiPriority w:val="99"/>
    <w:pPr>
      <w:snapToGrid w:val="0"/>
      <w:jc w:val="left"/>
    </w:pPr>
    <w:rPr>
      <w:sz w:val="18"/>
      <w:szCs w:val="18"/>
    </w:rPr>
  </w:style>
  <w:style w:type="paragraph" w:styleId="5">
    <w:name w:val="Normal (Web)"/>
    <w:basedOn w:val="1"/>
    <w:qFormat/>
    <w:uiPriority w:val="0"/>
    <w:rPr>
      <w:sz w:val="24"/>
    </w:rPr>
  </w:style>
  <w:style w:type="paragraph" w:styleId="6">
    <w:name w:val="Title"/>
    <w:basedOn w:val="1"/>
    <w:next w:val="1"/>
    <w:link w:val="16"/>
    <w:qFormat/>
    <w:uiPriority w:val="10"/>
    <w:pPr>
      <w:spacing w:before="240" w:after="60"/>
      <w:jc w:val="center"/>
      <w:outlineLvl w:val="0"/>
    </w:pPr>
    <w:rPr>
      <w:rFonts w:asciiTheme="majorHAnsi" w:hAnsiTheme="majorHAnsi" w:eastAsiaTheme="majorEastAsia" w:cstheme="majorBidi"/>
      <w:b/>
      <w:bCs/>
      <w:sz w:val="32"/>
      <w:szCs w:val="32"/>
    </w:rPr>
  </w:style>
  <w:style w:type="table" w:styleId="8">
    <w:name w:val="Table Grid"/>
    <w:basedOn w:val="7"/>
    <w:qFormat/>
    <w:uiPriority w:val="39"/>
    <w:rPr>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page number"/>
    <w:basedOn w:val="9"/>
    <w:semiHidden/>
    <w:unhideWhenUsed/>
    <w:qFormat/>
    <w:uiPriority w:val="99"/>
  </w:style>
  <w:style w:type="character" w:styleId="11">
    <w:name w:val="Emphasis"/>
    <w:basedOn w:val="9"/>
    <w:qFormat/>
    <w:uiPriority w:val="0"/>
    <w:rPr>
      <w:i/>
    </w:rPr>
  </w:style>
  <w:style w:type="character" w:styleId="12">
    <w:name w:val="footnote reference"/>
    <w:basedOn w:val="9"/>
    <w:semiHidden/>
    <w:unhideWhenUsed/>
    <w:qFormat/>
    <w:uiPriority w:val="99"/>
    <w:rPr>
      <w:vertAlign w:val="superscript"/>
    </w:rPr>
  </w:style>
  <w:style w:type="character" w:customStyle="1" w:styleId="13">
    <w:name w:val="标题 2 字符"/>
    <w:basedOn w:val="9"/>
    <w:link w:val="2"/>
    <w:qFormat/>
    <w:uiPriority w:val="9"/>
    <w:rPr>
      <w:rFonts w:eastAsia="SimSun-ExtB" w:asciiTheme="majorHAnsi" w:hAnsiTheme="majorHAnsi" w:cstheme="majorBidi"/>
      <w:bCs/>
      <w:szCs w:val="32"/>
    </w:rPr>
  </w:style>
  <w:style w:type="character" w:customStyle="1" w:styleId="14">
    <w:name w:val="脚注文本 字符"/>
    <w:basedOn w:val="9"/>
    <w:link w:val="4"/>
    <w:semiHidden/>
    <w:uiPriority w:val="99"/>
    <w:rPr>
      <w:sz w:val="18"/>
      <w:szCs w:val="18"/>
    </w:rPr>
  </w:style>
  <w:style w:type="character" w:customStyle="1" w:styleId="15">
    <w:name w:val="页脚 字符"/>
    <w:basedOn w:val="9"/>
    <w:link w:val="3"/>
    <w:qFormat/>
    <w:uiPriority w:val="99"/>
    <w:rPr>
      <w:sz w:val="18"/>
      <w:szCs w:val="18"/>
    </w:rPr>
  </w:style>
  <w:style w:type="character" w:customStyle="1" w:styleId="16">
    <w:name w:val="标题 字符"/>
    <w:basedOn w:val="9"/>
    <w:link w:val="6"/>
    <w:qFormat/>
    <w:uiPriority w:val="10"/>
    <w:rPr>
      <w:rFonts w:asciiTheme="majorHAnsi" w:hAnsiTheme="majorHAnsi" w:eastAsiaTheme="majorEastAsia" w:cstheme="majorBidi"/>
      <w:b/>
      <w:bCs/>
      <w:sz w:val="32"/>
      <w:szCs w:val="32"/>
    </w:rPr>
  </w:style>
  <w:style w:type="paragraph" w:styleId="1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B4260-E54F-B645-8876-45C6382B9745}">
  <ds:schemaRefs/>
</ds:datastoreItem>
</file>

<file path=docProps/app.xml><?xml version="1.0" encoding="utf-8"?>
<Properties xmlns="http://schemas.openxmlformats.org/officeDocument/2006/extended-properties" xmlns:vt="http://schemas.openxmlformats.org/officeDocument/2006/docPropsVTypes">
  <Template>Normal.dotm</Template>
  <Pages>4</Pages>
  <Words>2866</Words>
  <Characters>2927</Characters>
  <Lines>9</Lines>
  <Paragraphs>2</Paragraphs>
  <TotalTime>0</TotalTime>
  <ScaleCrop>false</ScaleCrop>
  <LinksUpToDate>false</LinksUpToDate>
  <CharactersWithSpaces>2952</CharactersWithSpaces>
  <Application>WPS Office_11.1.0.12173_F1E327BC-269C-435d-A152-05C5408002CA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2022-03-28T00:30:00Z</dcterms:created>
  <dc:creator>mao jun</dc:creator>
  <cp:lastModifiedBy>蒋昊廷</cp:lastModifiedBy>
  <dcterms:modified xsi:type="dcterms:W3CDTF">2025-10-19T02:48:40Z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4FA67C621C0C4162A8645EBFEBB6613A</vt:lpwstr>
  </property>
</Properties>
</file>