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78C73">
      <w:pPr>
        <w:pStyle w:val="31"/>
      </w:pPr>
      <w:r>
        <w:t>单探测车主动感知研究方案</w:t>
      </w:r>
    </w:p>
    <w:p w14:paraId="0D50716A">
      <w:pPr>
        <w:pStyle w:val="26"/>
      </w:pPr>
      <w:r>
        <w:t>面向数据稀缺交叉口的交通</w:t>
      </w:r>
      <w:bookmarkStart w:id="0" w:name="_GoBack"/>
      <w:bookmarkEnd w:id="0"/>
      <w:r>
        <w:t>状态估计与主动感知决策</w:t>
      </w:r>
    </w:p>
    <w:p w14:paraId="23A60E27">
      <w:pPr>
        <w:pStyle w:val="168"/>
      </w:pPr>
      <w:r>
        <w:t>核心任务：一辆探测车在有限作业时间内，依靠局部、片段化观测，持续估计目标交叉口的关键交通状态，并主动选择能够改善估计的后续行动。</w:t>
      </w:r>
    </w:p>
    <w:p w14:paraId="0820E21D">
      <w:pPr>
        <w:pStyle w:val="4"/>
      </w:pPr>
      <w:r>
        <w:t>研究定位与当前边界</w:t>
      </w:r>
    </w:p>
    <w:p w14:paraId="7CD02939">
      <w:r>
        <w:t>研究对象是数据稀缺十字交叉口。车辆可以在包含该交叉口的有限周边路网中合法巡回，但交通状态估计的主要目标仍限定于目标交叉口及其进口车道。项目形成“局部观测—状态估计—信息价值—主动决策—新观测”的闭环，可借鉴主动信息采样与部分可观测规划方法。[2,3]</w:t>
      </w:r>
    </w:p>
    <w:tbl>
      <w:tblPr>
        <w:tblStyle w:val="32"/>
        <w:tblW w:w="9360" w:type="dxa"/>
        <w:tblInd w:w="120" w:type="dxa"/>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Layout w:type="fixed"/>
        <w:tblCellMar>
          <w:top w:w="0" w:type="dxa"/>
          <w:left w:w="108" w:type="dxa"/>
          <w:bottom w:w="0" w:type="dxa"/>
          <w:right w:w="108" w:type="dxa"/>
        </w:tblCellMar>
      </w:tblPr>
      <w:tblGrid>
        <w:gridCol w:w="1500"/>
        <w:gridCol w:w="6500"/>
        <w:gridCol w:w="1360"/>
      </w:tblGrid>
      <w:tr w14:paraId="24001B32">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blHeader/>
        </w:trPr>
        <w:tc>
          <w:tcPr>
            <w:tcW w:w="1500" w:type="dxa"/>
            <w:shd w:val="clear" w:color="auto" w:fill="F4F6F9"/>
            <w:tcMar>
              <w:top w:w="80" w:type="dxa"/>
              <w:left w:w="120" w:type="dxa"/>
              <w:bottom w:w="80" w:type="dxa"/>
              <w:right w:w="120" w:type="dxa"/>
            </w:tcMar>
            <w:vAlign w:val="center"/>
          </w:tcPr>
          <w:p w14:paraId="20EF16B1">
            <w:pPr>
              <w:pStyle w:val="165"/>
            </w:pPr>
            <w:r>
              <w:rPr>
                <w:b/>
              </w:rPr>
              <w:t>事项</w:t>
            </w:r>
          </w:p>
        </w:tc>
        <w:tc>
          <w:tcPr>
            <w:tcW w:w="6500" w:type="dxa"/>
            <w:shd w:val="clear" w:color="auto" w:fill="F4F6F9"/>
            <w:tcMar>
              <w:top w:w="80" w:type="dxa"/>
              <w:left w:w="120" w:type="dxa"/>
              <w:bottom w:w="80" w:type="dxa"/>
              <w:right w:w="120" w:type="dxa"/>
            </w:tcMar>
            <w:vAlign w:val="center"/>
          </w:tcPr>
          <w:p w14:paraId="11DA14A1">
            <w:pPr>
              <w:pStyle w:val="165"/>
            </w:pPr>
            <w:r>
              <w:rPr>
                <w:b/>
              </w:rPr>
              <w:t>当前方案</w:t>
            </w:r>
          </w:p>
        </w:tc>
        <w:tc>
          <w:tcPr>
            <w:tcW w:w="1360" w:type="dxa"/>
            <w:shd w:val="clear" w:color="auto" w:fill="F4F6F9"/>
            <w:tcMar>
              <w:top w:w="80" w:type="dxa"/>
              <w:left w:w="120" w:type="dxa"/>
              <w:bottom w:w="80" w:type="dxa"/>
              <w:right w:w="120" w:type="dxa"/>
            </w:tcMar>
            <w:vAlign w:val="center"/>
          </w:tcPr>
          <w:p w14:paraId="2E6818C9">
            <w:pPr>
              <w:pStyle w:val="165"/>
            </w:pPr>
            <w:r>
              <w:rPr>
                <w:b/>
              </w:rPr>
              <w:t>状态</w:t>
            </w:r>
          </w:p>
        </w:tc>
      </w:tr>
      <w:tr w14:paraId="5698EEB1">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00F616F0">
            <w:pPr>
              <w:pStyle w:val="165"/>
            </w:pPr>
            <w:r>
              <w:t>研究主体</w:t>
            </w:r>
          </w:p>
        </w:tc>
        <w:tc>
          <w:tcPr>
            <w:tcW w:w="6500" w:type="dxa"/>
            <w:tcMar>
              <w:top w:w="80" w:type="dxa"/>
              <w:left w:w="120" w:type="dxa"/>
              <w:bottom w:w="80" w:type="dxa"/>
              <w:right w:w="120" w:type="dxa"/>
            </w:tcMar>
            <w:vAlign w:val="center"/>
          </w:tcPr>
          <w:p w14:paraId="63824C1F">
            <w:pPr>
              <w:pStyle w:val="165"/>
            </w:pPr>
            <w:r>
              <w:t>单辆主动探测车；四个进口属于一个目标交叉口</w:t>
            </w:r>
          </w:p>
        </w:tc>
        <w:tc>
          <w:tcPr>
            <w:tcW w:w="1360" w:type="dxa"/>
            <w:tcMar>
              <w:top w:w="80" w:type="dxa"/>
              <w:left w:w="120" w:type="dxa"/>
              <w:bottom w:w="80" w:type="dxa"/>
              <w:right w:w="120" w:type="dxa"/>
            </w:tcMar>
            <w:vAlign w:val="center"/>
          </w:tcPr>
          <w:p w14:paraId="101DABA0">
            <w:pPr>
              <w:pStyle w:val="165"/>
            </w:pPr>
            <w:r>
              <w:t>已基本明确</w:t>
            </w:r>
          </w:p>
        </w:tc>
      </w:tr>
      <w:tr w14:paraId="60C0E549">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23C6AE1">
            <w:pPr>
              <w:pStyle w:val="165"/>
            </w:pPr>
            <w:r>
              <w:t>外围返回</w:t>
            </w:r>
          </w:p>
        </w:tc>
        <w:tc>
          <w:tcPr>
            <w:tcW w:w="6500" w:type="dxa"/>
            <w:tcMar>
              <w:top w:w="80" w:type="dxa"/>
              <w:left w:w="120" w:type="dxa"/>
              <w:bottom w:w="80" w:type="dxa"/>
              <w:right w:w="120" w:type="dxa"/>
            </w:tcMar>
            <w:vAlign w:val="center"/>
          </w:tcPr>
          <w:p w14:paraId="374E190A">
            <w:pPr>
              <w:pStyle w:val="165"/>
            </w:pPr>
            <w:r>
              <w:t>根据已有观测选择返回入口；固定模块执行合法路线</w:t>
            </w:r>
          </w:p>
        </w:tc>
        <w:tc>
          <w:tcPr>
            <w:tcW w:w="1360" w:type="dxa"/>
            <w:tcMar>
              <w:top w:w="80" w:type="dxa"/>
              <w:left w:w="120" w:type="dxa"/>
              <w:bottom w:w="80" w:type="dxa"/>
              <w:right w:w="120" w:type="dxa"/>
            </w:tcMar>
            <w:vAlign w:val="center"/>
          </w:tcPr>
          <w:p w14:paraId="4E0D1F26">
            <w:pPr>
              <w:pStyle w:val="165"/>
            </w:pPr>
            <w:r>
              <w:t>已基本明确</w:t>
            </w:r>
          </w:p>
        </w:tc>
      </w:tr>
      <w:tr w14:paraId="26A3EBA6">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A3F1683">
            <w:pPr>
              <w:pStyle w:val="165"/>
            </w:pPr>
            <w:r>
              <w:t>主估计变量</w:t>
            </w:r>
          </w:p>
        </w:tc>
        <w:tc>
          <w:tcPr>
            <w:tcW w:w="6500" w:type="dxa"/>
            <w:tcMar>
              <w:top w:w="80" w:type="dxa"/>
              <w:left w:w="120" w:type="dxa"/>
              <w:bottom w:w="80" w:type="dxa"/>
              <w:right w:w="120" w:type="dxa"/>
            </w:tcMar>
            <w:vAlign w:val="center"/>
          </w:tcPr>
          <w:p w14:paraId="7EF90C62">
            <w:pPr>
              <w:pStyle w:val="165"/>
            </w:pPr>
            <w:r>
              <w:t>各进口车道排队长度及其不确定性</w:t>
            </w:r>
          </w:p>
        </w:tc>
        <w:tc>
          <w:tcPr>
            <w:tcW w:w="1360" w:type="dxa"/>
            <w:tcMar>
              <w:top w:w="80" w:type="dxa"/>
              <w:left w:w="120" w:type="dxa"/>
              <w:bottom w:w="80" w:type="dxa"/>
              <w:right w:w="120" w:type="dxa"/>
            </w:tcMar>
            <w:vAlign w:val="center"/>
          </w:tcPr>
          <w:p w14:paraId="098292E3">
            <w:pPr>
              <w:pStyle w:val="165"/>
            </w:pPr>
            <w:r>
              <w:t>本版建议</w:t>
            </w:r>
          </w:p>
        </w:tc>
      </w:tr>
      <w:tr w14:paraId="1C543885">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4D3DCD7">
            <w:pPr>
              <w:pStyle w:val="165"/>
            </w:pPr>
            <w:r>
              <w:t>主任务形式</w:t>
            </w:r>
          </w:p>
        </w:tc>
        <w:tc>
          <w:tcPr>
            <w:tcW w:w="6500" w:type="dxa"/>
            <w:tcMar>
              <w:top w:w="80" w:type="dxa"/>
              <w:left w:w="120" w:type="dxa"/>
              <w:bottom w:w="80" w:type="dxa"/>
              <w:right w:w="120" w:type="dxa"/>
            </w:tcMar>
            <w:vAlign w:val="center"/>
          </w:tcPr>
          <w:p w14:paraId="142AA8C5">
            <w:pPr>
              <w:pStyle w:val="165"/>
            </w:pPr>
            <w:r>
              <w:t>固定时间预算；持续估计并报告终点质量</w:t>
            </w:r>
          </w:p>
        </w:tc>
        <w:tc>
          <w:tcPr>
            <w:tcW w:w="1360" w:type="dxa"/>
            <w:tcMar>
              <w:top w:w="80" w:type="dxa"/>
              <w:left w:w="120" w:type="dxa"/>
              <w:bottom w:w="80" w:type="dxa"/>
              <w:right w:w="120" w:type="dxa"/>
            </w:tcMar>
            <w:vAlign w:val="center"/>
          </w:tcPr>
          <w:p w14:paraId="1D402489">
            <w:pPr>
              <w:pStyle w:val="165"/>
            </w:pPr>
            <w:r>
              <w:t>本版建议</w:t>
            </w:r>
          </w:p>
        </w:tc>
      </w:tr>
      <w:tr w14:paraId="77DA3EFA">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86953DC">
            <w:pPr>
              <w:pStyle w:val="165"/>
            </w:pPr>
            <w:r>
              <w:t>扩展变量</w:t>
            </w:r>
          </w:p>
        </w:tc>
        <w:tc>
          <w:tcPr>
            <w:tcW w:w="6500" w:type="dxa"/>
            <w:tcMar>
              <w:top w:w="80" w:type="dxa"/>
              <w:left w:w="120" w:type="dxa"/>
              <w:bottom w:w="80" w:type="dxa"/>
              <w:right w:w="120" w:type="dxa"/>
            </w:tcMar>
            <w:vAlign w:val="center"/>
          </w:tcPr>
          <w:p w14:paraId="6DA6546C">
            <w:pPr>
              <w:pStyle w:val="165"/>
            </w:pPr>
            <w:r>
              <w:t>车道级速度、密度与短时间窗状态场</w:t>
            </w:r>
          </w:p>
        </w:tc>
        <w:tc>
          <w:tcPr>
            <w:tcW w:w="1360" w:type="dxa"/>
            <w:tcMar>
              <w:top w:w="80" w:type="dxa"/>
              <w:left w:w="120" w:type="dxa"/>
              <w:bottom w:w="80" w:type="dxa"/>
              <w:right w:w="120" w:type="dxa"/>
            </w:tcMar>
            <w:vAlign w:val="center"/>
          </w:tcPr>
          <w:p w14:paraId="3029F327">
            <w:pPr>
              <w:pStyle w:val="165"/>
            </w:pPr>
            <w:r>
              <w:t>后续扩展</w:t>
            </w:r>
          </w:p>
        </w:tc>
      </w:tr>
      <w:tr w14:paraId="4E777945">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97F174E">
            <w:pPr>
              <w:pStyle w:val="165"/>
            </w:pPr>
            <w:r>
              <w:t>方法安排</w:t>
            </w:r>
          </w:p>
        </w:tc>
        <w:tc>
          <w:tcPr>
            <w:tcW w:w="6500" w:type="dxa"/>
            <w:tcMar>
              <w:top w:w="80" w:type="dxa"/>
              <w:left w:w="120" w:type="dxa"/>
              <w:bottom w:w="80" w:type="dxa"/>
              <w:right w:w="120" w:type="dxa"/>
            </w:tcMar>
            <w:vAlign w:val="center"/>
          </w:tcPr>
          <w:p w14:paraId="729F2DCD">
            <w:pPr>
              <w:pStyle w:val="165"/>
            </w:pPr>
            <w:r>
              <w:t>状态估计、单车强化学习、多场景序列策略学习</w:t>
            </w:r>
          </w:p>
        </w:tc>
        <w:tc>
          <w:tcPr>
            <w:tcW w:w="1360" w:type="dxa"/>
            <w:tcMar>
              <w:top w:w="80" w:type="dxa"/>
              <w:left w:w="120" w:type="dxa"/>
              <w:bottom w:w="80" w:type="dxa"/>
              <w:right w:w="120" w:type="dxa"/>
            </w:tcMar>
            <w:vAlign w:val="center"/>
          </w:tcPr>
          <w:p w14:paraId="50D57FC9">
            <w:pPr>
              <w:pStyle w:val="165"/>
            </w:pPr>
            <w:r>
              <w:t>本版建议</w:t>
            </w:r>
          </w:p>
        </w:tc>
      </w:tr>
    </w:tbl>
    <w:p w14:paraId="115C5B22">
      <w:pPr>
        <w:pStyle w:val="169"/>
      </w:pPr>
    </w:p>
    <w:p w14:paraId="10744626">
      <w:r>
        <w:t>传感器配置第一版固定，保留范围、视场和遮挡模型。多车协同、传感器布局优化及从零训练完整自动驾驶控制器暂不作为本项目主线。具体预算、尺度、网络结构和精度阈值需通过预实验确定。</w:t>
      </w:r>
    </w:p>
    <w:p w14:paraId="7B0C4BD7">
      <w:pPr>
        <w:pStyle w:val="3"/>
      </w:pPr>
      <w:r>
        <w:t>研究内容一：片段观测下的状态估计与信息价值</w:t>
      </w:r>
    </w:p>
    <w:p w14:paraId="13AFDD88">
      <w:pPr>
        <w:pStyle w:val="4"/>
      </w:pPr>
      <w:r>
        <w:t>目标、观测与缺失的区分</w:t>
      </w:r>
    </w:p>
    <w:p w14:paraId="1484CD35">
      <w:r>
        <w:t>把目标状态定义为各进口车道的排队长度向量。排队定义需统一低速阈值、空间连续性、计量单位和队尾规则；队尾超出监测边界时，应标注截断或“至少达到边界”，不能当作精确长度。</w:t>
      </w:r>
    </w:p>
    <w:p w14:paraId="339CB028">
      <w:pPr>
        <w:pStyle w:val="167"/>
      </w:pPr>
      <m:oMathPara>
        <m:oMath>
          <m:sSub>
            <m:sSubPr/>
            <m:e>
              <m:r>
                <m:rPr/>
                <m:t>Y</m:t>
              </m:r>
            </m:e>
            <m:sub>
              <m:r>
                <m:rPr/>
                <m:t>t</m:t>
              </m:r>
            </m:sub>
          </m:sSub>
          <m:r>
            <m:rPr/>
            <m:t>= (</m:t>
          </m:r>
          <m:sSub>
            <m:sSubPr/>
            <m:e>
              <m:r>
                <m:rPr/>
                <m:t>L</m:t>
              </m:r>
            </m:e>
            <m:sub>
              <m:r>
                <m:rPr/>
                <m:t>1,t</m:t>
              </m:r>
            </m:sub>
          </m:sSub>
          <m:r>
            <m:rPr/>
            <m:t>, …,</m:t>
          </m:r>
          <m:sSub>
            <m:sSubPr/>
            <m:e>
              <m:r>
                <m:rPr/>
                <m:t>L</m:t>
              </m:r>
            </m:e>
            <m:sub>
              <m:r>
                <m:rPr/>
                <m:t>M,t</m:t>
              </m:r>
            </m:sub>
          </m:sSub>
          <m:r>
            <m:rPr/>
            <m:t>)</m:t>
          </m:r>
        </m:oMath>
      </m:oMathPara>
    </w:p>
    <w:p w14:paraId="1DD9382E">
      <w:r>
        <w:t>探测车直接获得的是附近车辆的位置、速度、车道和轨迹片段，以及可见范围、时间戳和检测置信度。局部停车车辆数不是完整队列长度；局部样本密度也不是未遮挡全车道的真实密度。空区域、未观测区域和被遮挡区域应分别编码。</w:t>
      </w:r>
    </w:p>
    <w:p w14:paraId="0E686C2B">
      <w:pPr>
        <w:pStyle w:val="4"/>
      </w:pPr>
      <w:r>
        <w:t>拟研究的状态估计方法</w:t>
      </w:r>
    </w:p>
    <w:p w14:paraId="2C962981">
      <w:r>
        <w:t>建立车道图与时间序列表示，使用历史观测、动作、观测掩码、信息年龄及明确可获取的道路和信号信息，输出状态估计及预测区间。其概率基础是对隐藏交通状态的信念更新；有限网络输出是这一信念的近似表示。</w:t>
      </w:r>
    </w:p>
    <w:p w14:paraId="3C3978BF">
      <w:pPr>
        <w:pStyle w:val="167"/>
      </w:pPr>
      <m:oMathPara>
        <m:oMath>
          <m:r>
            <m:rPr/>
            <m:t>(</m:t>
          </m:r>
          <m:acc>
            <m:accPr/>
            <m:e>
              <m:sSub>
                <m:sSubPr/>
                <m:e>
                  <m:r>
                    <m:rPr/>
                    <m:t>Y</m:t>
                  </m:r>
                </m:e>
                <m:sub>
                  <m:r>
                    <m:rPr/>
                    <m:t>t</m:t>
                  </m:r>
                </m:sub>
              </m:sSub>
            </m:e>
          </m:acc>
          <m:r>
            <m:rPr/>
            <m:t>,</m:t>
          </m:r>
          <m:sSub>
            <m:sSubPr/>
            <m:e>
              <m:r>
                <m:rPr/>
                <m:t>U</m:t>
              </m:r>
            </m:e>
            <m:sub>
              <m:r>
                <m:rPr/>
                <m:t>t</m:t>
              </m:r>
            </m:sub>
          </m:sSub>
          <m:r>
            <m:rPr/>
            <m:t>) =</m:t>
          </m:r>
          <m:sSub>
            <m:sSubPr/>
            <m:e>
              <m:r>
                <m:rPr/>
                <m:t>f</m:t>
              </m:r>
            </m:e>
            <m:sub>
              <m:r>
                <m:rPr/>
                <m:t>θ</m:t>
              </m:r>
            </m:sub>
          </m:sSub>
          <m:r>
            <m:rPr/>
            <m:t>(</m:t>
          </m:r>
          <m:sSub>
            <m:sSubPr/>
            <m:e>
              <m:r>
                <m:rPr/>
                <m:t>o</m:t>
              </m:r>
            </m:e>
            <m:sub>
              <m:r>
                <m:rPr/>
                <m:t>0:t</m:t>
              </m:r>
            </m:sub>
          </m:sSub>
          <m:r>
            <m:rPr/>
            <m:t>,</m:t>
          </m:r>
          <m:sSub>
            <m:sSubPr/>
            <m:e>
              <m:r>
                <m:rPr/>
                <m:t>a</m:t>
              </m:r>
            </m:e>
            <m:sub>
              <m:r>
                <m:rPr/>
                <m:t>0:t−1</m:t>
              </m:r>
            </m:sub>
          </m:sSub>
          <m:r>
            <m:rPr/>
            <m:t>,</m:t>
          </m:r>
          <m:sSub>
            <m:sSubPr/>
            <m:e>
              <m:r>
                <m:rPr/>
                <m:t>K</m:t>
              </m:r>
            </m:e>
            <m:sub>
              <m:r>
                <m:rPr/>
                <m:t>t</m:t>
              </m:r>
            </m:sub>
          </m:sSub>
          <m:r>
            <m:rPr/>
            <m:t>)</m:t>
          </m:r>
        </m:oMath>
      </m:oMathPara>
    </w:p>
    <w:p w14:paraId="30036283">
      <w:r>
        <w:t>初步实现先建立历史均值/简单交通机理基线和带记忆的时序估计器，例如 GRU；再检验车道图关联、物理约束及不确定性建模的贡献。物理约束应作用于明确的变量关系：若加入车辆数，应满足包含进出流和换道交换的守恒关系，不能直接把“排队长度”当作守恒量。</w:t>
      </w:r>
    </w:p>
    <w:p w14:paraId="052BE930">
      <w:pPr>
        <w:pStyle w:val="4"/>
      </w:pPr>
      <w:r>
        <w:t>信息价值与时间变化</w:t>
      </w:r>
    </w:p>
    <w:p w14:paraId="62423008">
      <w:r>
        <w:t>信息价值以目标估计误差或校准后的不确定性降低来定义。比较新增观测前后的效果时，应对齐同一目标时刻；观察到新的复杂情况后，单次估计不确定性可能上升，不能预设每次观测都单调改善。</w:t>
      </w:r>
    </w:p>
    <w:p w14:paraId="0989E25B">
      <w:r>
        <w:t>探测车离开后，状态与不确定性继续按动态模型演化。访问次数可作为辅助特征，但不能替代信息年龄和当前不确定性；轨迹行为熵、速度方差和数据量也不能直接等同于任务信息价值。</w:t>
      </w:r>
    </w:p>
    <w:p w14:paraId="22D38794">
      <w:pPr>
        <w:pStyle w:val="168"/>
      </w:pPr>
      <w:r>
        <w:t>本部分输出：状态估计器、可靠性评价、任务相关的信息价值指标，以及单车在不同遮挡、预算和车流条件下的可观测性边界。未观测且缺少关联证据的区域应允许保留较高不确定性。</w:t>
      </w:r>
    </w:p>
    <w:p w14:paraId="64818B66">
      <w:pPr>
        <w:pStyle w:val="3"/>
      </w:pPr>
      <w:r>
        <w:t>研究内容二：交通约束下的单车主动感知决策</w:t>
      </w:r>
    </w:p>
    <w:p w14:paraId="104DF206">
      <w:pPr>
        <w:pStyle w:val="4"/>
      </w:pPr>
      <w:r>
        <w:t>部分可观测与策略输入</w:t>
      </w:r>
    </w:p>
    <w:p w14:paraId="12636B07">
      <w:r>
        <w:t>车辆无法看到完整交通状态，按部分可观测决策问题建模。策略利用当前观测及历史形成判断，不能把所在车道单元当作全部状态；全域仿真真值只能用于训练监督或评价，不能直接输入可部署策略。</w:t>
      </w:r>
    </w:p>
    <w:tbl>
      <w:tblPr>
        <w:tblStyle w:val="32"/>
        <w:tblW w:w="9360" w:type="dxa"/>
        <w:tblInd w:w="120" w:type="dxa"/>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Layout w:type="fixed"/>
        <w:tblCellMar>
          <w:top w:w="0" w:type="dxa"/>
          <w:left w:w="108" w:type="dxa"/>
          <w:bottom w:w="0" w:type="dxa"/>
          <w:right w:w="108" w:type="dxa"/>
        </w:tblCellMar>
      </w:tblPr>
      <w:tblGrid>
        <w:gridCol w:w="3600"/>
        <w:gridCol w:w="5760"/>
      </w:tblGrid>
      <w:tr w14:paraId="01B4B786">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blHeader/>
        </w:trPr>
        <w:tc>
          <w:tcPr>
            <w:tcW w:w="3600" w:type="dxa"/>
            <w:shd w:val="clear" w:color="auto" w:fill="F4F6F9"/>
            <w:tcMar>
              <w:top w:w="80" w:type="dxa"/>
              <w:left w:w="120" w:type="dxa"/>
              <w:bottom w:w="80" w:type="dxa"/>
              <w:right w:w="120" w:type="dxa"/>
            </w:tcMar>
            <w:vAlign w:val="center"/>
          </w:tcPr>
          <w:p w14:paraId="144ACA1E">
            <w:pPr>
              <w:pStyle w:val="165"/>
            </w:pPr>
            <w:r>
              <w:rPr>
                <w:b/>
              </w:rPr>
              <w:t>策略输入</w:t>
            </w:r>
          </w:p>
        </w:tc>
        <w:tc>
          <w:tcPr>
            <w:tcW w:w="5760" w:type="dxa"/>
            <w:shd w:val="clear" w:color="auto" w:fill="F4F6F9"/>
            <w:tcMar>
              <w:top w:w="80" w:type="dxa"/>
              <w:left w:w="120" w:type="dxa"/>
              <w:bottom w:w="80" w:type="dxa"/>
              <w:right w:w="120" w:type="dxa"/>
            </w:tcMar>
            <w:vAlign w:val="center"/>
          </w:tcPr>
          <w:p w14:paraId="76C58D26">
            <w:pPr>
              <w:pStyle w:val="165"/>
            </w:pPr>
            <w:r>
              <w:rPr>
                <w:b/>
              </w:rPr>
              <w:t>作用</w:t>
            </w:r>
          </w:p>
        </w:tc>
      </w:tr>
      <w:tr w14:paraId="6E0D854C">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3600" w:type="dxa"/>
            <w:tcMar>
              <w:top w:w="80" w:type="dxa"/>
              <w:left w:w="120" w:type="dxa"/>
              <w:bottom w:w="80" w:type="dxa"/>
              <w:right w:w="120" w:type="dxa"/>
            </w:tcMar>
            <w:vAlign w:val="center"/>
          </w:tcPr>
          <w:p w14:paraId="21946426">
            <w:pPr>
              <w:pStyle w:val="165"/>
            </w:pPr>
            <w:r>
              <w:t>自车位置、速度、车道</w:t>
            </w:r>
          </w:p>
        </w:tc>
        <w:tc>
          <w:tcPr>
            <w:tcW w:w="5760" w:type="dxa"/>
            <w:tcMar>
              <w:top w:w="80" w:type="dxa"/>
              <w:left w:w="120" w:type="dxa"/>
              <w:bottom w:w="80" w:type="dxa"/>
              <w:right w:w="120" w:type="dxa"/>
            </w:tcMar>
            <w:vAlign w:val="center"/>
          </w:tcPr>
          <w:p w14:paraId="59B667CB">
            <w:pPr>
              <w:pStyle w:val="165"/>
            </w:pPr>
            <w:r>
              <w:t>确定当前运动状态和可行动作</w:t>
            </w:r>
          </w:p>
        </w:tc>
      </w:tr>
      <w:tr w14:paraId="553B1E16">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3600" w:type="dxa"/>
            <w:tcMar>
              <w:top w:w="80" w:type="dxa"/>
              <w:left w:w="120" w:type="dxa"/>
              <w:bottom w:w="80" w:type="dxa"/>
              <w:right w:w="120" w:type="dxa"/>
            </w:tcMar>
            <w:vAlign w:val="center"/>
          </w:tcPr>
          <w:p w14:paraId="13BFBE9B">
            <w:pPr>
              <w:pStyle w:val="165"/>
            </w:pPr>
            <w:r>
              <w:t>局部交通观测及其历史</w:t>
            </w:r>
          </w:p>
        </w:tc>
        <w:tc>
          <w:tcPr>
            <w:tcW w:w="5760" w:type="dxa"/>
            <w:tcMar>
              <w:top w:w="80" w:type="dxa"/>
              <w:left w:w="120" w:type="dxa"/>
              <w:bottom w:w="80" w:type="dxa"/>
              <w:right w:w="120" w:type="dxa"/>
            </w:tcMar>
            <w:vAlign w:val="center"/>
          </w:tcPr>
          <w:p w14:paraId="6F01831D">
            <w:pPr>
              <w:pStyle w:val="165"/>
            </w:pPr>
            <w:r>
              <w:t>提供真实可获取的交通证据</w:t>
            </w:r>
          </w:p>
        </w:tc>
      </w:tr>
      <w:tr w14:paraId="695D9C0A">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3600" w:type="dxa"/>
            <w:tcMar>
              <w:top w:w="80" w:type="dxa"/>
              <w:left w:w="120" w:type="dxa"/>
              <w:bottom w:w="80" w:type="dxa"/>
              <w:right w:w="120" w:type="dxa"/>
            </w:tcMar>
            <w:vAlign w:val="center"/>
          </w:tcPr>
          <w:p w14:paraId="4185CB18">
            <w:pPr>
              <w:pStyle w:val="165"/>
            </w:pPr>
            <w:r>
              <w:t>全域目标状态估计与不确定性</w:t>
            </w:r>
          </w:p>
        </w:tc>
        <w:tc>
          <w:tcPr>
            <w:tcW w:w="5760" w:type="dxa"/>
            <w:tcMar>
              <w:top w:w="80" w:type="dxa"/>
              <w:left w:w="120" w:type="dxa"/>
              <w:bottom w:w="80" w:type="dxa"/>
              <w:right w:w="120" w:type="dxa"/>
            </w:tcMar>
            <w:vAlign w:val="center"/>
          </w:tcPr>
          <w:p w14:paraId="6759CCE0">
            <w:pPr>
              <w:pStyle w:val="165"/>
            </w:pPr>
            <w:r>
              <w:t>判断哪些车道还不清楚</w:t>
            </w:r>
          </w:p>
        </w:tc>
      </w:tr>
      <w:tr w14:paraId="3FF0CD73">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3600" w:type="dxa"/>
            <w:tcMar>
              <w:top w:w="80" w:type="dxa"/>
              <w:left w:w="120" w:type="dxa"/>
              <w:bottom w:w="80" w:type="dxa"/>
              <w:right w:w="120" w:type="dxa"/>
            </w:tcMar>
            <w:vAlign w:val="center"/>
          </w:tcPr>
          <w:p w14:paraId="58DDD079">
            <w:pPr>
              <w:pStyle w:val="165"/>
            </w:pPr>
            <w:r>
              <w:t>观测时间、可见范围和缺失掩码</w:t>
            </w:r>
          </w:p>
        </w:tc>
        <w:tc>
          <w:tcPr>
            <w:tcW w:w="5760" w:type="dxa"/>
            <w:tcMar>
              <w:top w:w="80" w:type="dxa"/>
              <w:left w:w="120" w:type="dxa"/>
              <w:bottom w:w="80" w:type="dxa"/>
              <w:right w:w="120" w:type="dxa"/>
            </w:tcMar>
            <w:vAlign w:val="center"/>
          </w:tcPr>
          <w:p w14:paraId="367D800E">
            <w:pPr>
              <w:pStyle w:val="165"/>
            </w:pPr>
            <w:r>
              <w:t>区分信息过时、缺测与确实无车</w:t>
            </w:r>
          </w:p>
        </w:tc>
      </w:tr>
      <w:tr w14:paraId="06206C19">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3600" w:type="dxa"/>
            <w:tcMar>
              <w:top w:w="80" w:type="dxa"/>
              <w:left w:w="120" w:type="dxa"/>
              <w:bottom w:w="80" w:type="dxa"/>
              <w:right w:w="120" w:type="dxa"/>
            </w:tcMar>
            <w:vAlign w:val="center"/>
          </w:tcPr>
          <w:p w14:paraId="4D975EB1">
            <w:pPr>
              <w:pStyle w:val="165"/>
            </w:pPr>
            <w:r>
              <w:t>剩余预算、候选路线及预计耗时</w:t>
            </w:r>
          </w:p>
        </w:tc>
        <w:tc>
          <w:tcPr>
            <w:tcW w:w="5760" w:type="dxa"/>
            <w:tcMar>
              <w:top w:w="80" w:type="dxa"/>
              <w:left w:w="120" w:type="dxa"/>
              <w:bottom w:w="80" w:type="dxa"/>
              <w:right w:w="120" w:type="dxa"/>
            </w:tcMar>
            <w:vAlign w:val="center"/>
          </w:tcPr>
          <w:p w14:paraId="2B7DBCB3">
            <w:pPr>
              <w:pStyle w:val="165"/>
            </w:pPr>
            <w:r>
              <w:t>权衡未来探测机会与移动成本</w:t>
            </w:r>
          </w:p>
        </w:tc>
      </w:tr>
      <w:tr w14:paraId="4C801EC4">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3600" w:type="dxa"/>
            <w:tcMar>
              <w:top w:w="80" w:type="dxa"/>
              <w:left w:w="120" w:type="dxa"/>
              <w:bottom w:w="80" w:type="dxa"/>
              <w:right w:w="120" w:type="dxa"/>
            </w:tcMar>
            <w:vAlign w:val="center"/>
          </w:tcPr>
          <w:p w14:paraId="4B6DB41F">
            <w:pPr>
              <w:pStyle w:val="165"/>
            </w:pPr>
            <w:r>
              <w:t>道路拓扑及合法动作掩码</w:t>
            </w:r>
          </w:p>
        </w:tc>
        <w:tc>
          <w:tcPr>
            <w:tcW w:w="5760" w:type="dxa"/>
            <w:tcMar>
              <w:top w:w="80" w:type="dxa"/>
              <w:left w:w="120" w:type="dxa"/>
              <w:bottom w:w="80" w:type="dxa"/>
              <w:right w:w="120" w:type="dxa"/>
            </w:tcMar>
            <w:vAlign w:val="center"/>
          </w:tcPr>
          <w:p w14:paraId="238EF91C">
            <w:pPr>
              <w:pStyle w:val="165"/>
            </w:pPr>
            <w:r>
              <w:t>限定真实可执行的行为</w:t>
            </w:r>
          </w:p>
        </w:tc>
      </w:tr>
    </w:tbl>
    <w:p w14:paraId="329165BD">
      <w:pPr>
        <w:pStyle w:val="169"/>
      </w:pPr>
    </w:p>
    <w:p w14:paraId="22A9AFF6">
      <w:pPr>
        <w:pStyle w:val="4"/>
      </w:pPr>
      <w:r>
        <w:t>分层动作与外围返回</w:t>
      </w:r>
    </w:p>
    <w:p w14:paraId="0F889BD6">
      <w:r>
        <w:t>任务层选择下一目标车道群、可行转向或返回入口；行为层按固定周期执行合法的车道保持、换道或速度目标；底层用已有跟驰和控制模块完成连续驾驶。第一版可固定速度控制，只优化目标、车道和转向，随后再检验主动速度选择的增量收益。</w:t>
      </w:r>
    </w:p>
    <w:p w14:paraId="3923EBE0">
      <w:r>
        <w:t>外围表示为出口到入口的有向连接。每个可行组合先保留一条合法路线，并记录实际持续时间及等待；入口选择参考当前状态估计、信息新鲜度、预计到达时的观测价值和返回成本。不得给策略提供不可获得的外围全局实时车流。</w:t>
      </w:r>
    </w:p>
    <w:p w14:paraId="2198CECD">
      <w:r>
        <w:t>在关键转向或出口选择前作出任务决策；执行中只在确有改道机会或延误明显变化时重新规划。任务层与行为层可以采用不同更新频率，但第一版不要求两层都训练强化学习。</w:t>
      </w:r>
    </w:p>
    <w:p w14:paraId="036A567F">
      <w:pPr>
        <w:pStyle w:val="168"/>
      </w:pPr>
      <w:r>
        <w:t>本部分输出：以状态估计质量为目标的闭环策略，以及固定巡回、最快返回、信息驱动返回之间的可重复比较。局部行为和入口选择的收益分别做消融验证。</w:t>
      </w:r>
    </w:p>
    <w:p w14:paraId="489E6CB9">
      <w:pPr>
        <w:pStyle w:val="3"/>
      </w:pPr>
      <w:r>
        <w:t>任务目标、奖励与时间预算</w:t>
      </w:r>
    </w:p>
    <w:p w14:paraId="55834447">
      <w:pPr>
        <w:pStyle w:val="4"/>
      </w:pPr>
      <w:r>
        <w:t>固定预算的主任务</w:t>
      </w:r>
    </w:p>
    <w:p w14:paraId="451A4C8E">
      <w:r>
        <w:t>本版建议首先研究固定作业预算 B 内的动态估计。每个任务持续更新当前状态，分别报告全程误差与终点误差。若最终用途仅关心作业结束的状态，应另设终点误差主目标，不能把在线持续估计与事后时间窗重建混为同一任务。</w:t>
      </w:r>
    </w:p>
    <w:p w14:paraId="05FC1946">
      <w:pPr>
        <w:pStyle w:val="167"/>
      </w:pPr>
      <m:oMathPara>
        <m:oMath>
          <m:sSub>
            <m:sSubPr/>
            <m:e>
              <m:r>
                <m:rPr/>
                <m:t>e</m:t>
              </m:r>
            </m:e>
            <m:sub>
              <m:r>
                <m:rPr/>
                <m:t>k</m:t>
              </m:r>
            </m:sub>
          </m:sSub>
          <m:r>
            <m:rPr/>
            <m:t>=</m:t>
          </m:r>
          <m:f>
            <m:fPr/>
            <m:num>
              <m:r>
                <m:rPr/>
                <m:t>1</m:t>
              </m:r>
            </m:num>
            <m:den>
              <m:r>
                <m:rPr/>
                <m:t>M</m:t>
              </m:r>
            </m:den>
          </m:f>
          <m:nary>
            <m:naryPr>
              <m:chr m:val="∑"/>
              <m:limLoc m:val="undOvr"/>
            </m:naryPr>
            <m:sub>
              <m:r>
                <m:rPr/>
                <m:t>ℓ=1</m:t>
              </m:r>
            </m:sub>
            <m:sup>
              <m:r>
                <m:rPr/>
                <m:t>M</m:t>
              </m:r>
            </m:sup>
            <m:e>
              <m:r>
                <m:rPr/>
                <m:t>|</m:t>
              </m:r>
              <m:acc>
                <m:accPr/>
                <m:e>
                  <m:sSub>
                    <m:sSubPr/>
                    <m:e>
                      <m:r>
                        <m:rPr/>
                        <m:t>L</m:t>
                      </m:r>
                    </m:e>
                    <m:sub>
                      <m:r>
                        <m:rPr/>
                        <m:t>ℓ,k</m:t>
                      </m:r>
                    </m:sub>
                  </m:sSub>
                </m:e>
              </m:acc>
              <m:r>
                <m:rPr/>
                <m:t>−</m:t>
              </m:r>
              <m:sSub>
                <m:sSubPr/>
                <m:e>
                  <m:r>
                    <m:rPr/>
                    <m:t>L</m:t>
                  </m:r>
                </m:e>
                <m:sub>
                  <m:r>
                    <m:rPr/>
                    <m:t>ℓ,k</m:t>
                  </m:r>
                </m:sub>
              </m:sSub>
              <m:r>
                <m:rPr/>
                <m:t>|</m:t>
              </m:r>
            </m:e>
          </m:nary>
        </m:oMath>
      </m:oMathPara>
    </w:p>
    <w:p w14:paraId="5E389BD8">
      <w:pPr>
        <w:pStyle w:val="167"/>
      </w:pPr>
      <m:oMathPara>
        <m:oMath>
          <m:r>
            <m:rPr/>
            <m:t>J(π) =</m:t>
          </m:r>
          <m:sSub>
            <m:sSubPr/>
            <m:e>
              <m:r>
                <m:rPr/>
                <m:t>E</m:t>
              </m:r>
            </m:e>
            <m:sub>
              <m:r>
                <m:rPr/>
                <m:t>π</m:t>
              </m:r>
            </m:sub>
          </m:sSub>
          <m:r>
            <m:rPr/>
            <m:t>[</m:t>
          </m:r>
          <m:f>
            <m:fPr/>
            <m:num>
              <m:r>
                <m:rPr/>
                <m:t>1</m:t>
              </m:r>
            </m:num>
            <m:den>
              <m:r>
                <m:rPr/>
                <m:t>B</m:t>
              </m:r>
            </m:den>
          </m:f>
          <m:nary>
            <m:naryPr>
              <m:chr m:val="∑"/>
              <m:limLoc m:val="undOvr"/>
            </m:naryPr>
            <m:sub>
              <m:r>
                <m:rPr/>
                <m:t>k=0</m:t>
              </m:r>
            </m:sub>
            <m:sup>
              <m:r>
                <m:rPr/>
                <m:t>N−1</m:t>
              </m:r>
            </m:sup>
            <m:e>
              <m:sSub>
                <m:sSubPr/>
                <m:e>
                  <m:r>
                    <m:rPr/>
                    <m:t>e</m:t>
                  </m:r>
                </m:e>
                <m:sub>
                  <m:r>
                    <m:rPr/>
                    <m:t>k+1</m:t>
                  </m:r>
                </m:sub>
              </m:sSub>
              <m:r>
                <m:rPr/>
                <m:t>Δ</m:t>
              </m:r>
              <m:sSub>
                <m:sSubPr/>
                <m:e>
                  <m:r>
                    <m:rPr/>
                    <m:t>t</m:t>
                  </m:r>
                </m:e>
                <m:sub>
                  <m:r>
                    <m:rPr/>
                    <m:t>k</m:t>
                  </m:r>
                </m:sub>
              </m:sSub>
            </m:e>
          </m:nary>
          <m:r>
            <m:rPr/>
            <m:t>+ β</m:t>
          </m:r>
          <m:sSub>
            <m:sSubPr/>
            <m:e>
              <m:r>
                <m:rPr/>
                <m:t>e</m:t>
              </m:r>
            </m:e>
            <m:sub>
              <m:r>
                <m:rPr/>
                <m:t>N</m:t>
              </m:r>
            </m:sub>
          </m:sSub>
          <m:r>
            <m:rPr/>
            <m:t>+</m:t>
          </m:r>
          <m:sSub>
            <m:sSubPr/>
            <m:e>
              <m:r>
                <m:rPr/>
                <m:t>λ</m:t>
              </m:r>
            </m:e>
            <m:sub>
              <m:r>
                <m:rPr/>
                <m:t>d</m:t>
              </m:r>
            </m:sub>
          </m:sSub>
          <m:r>
            <m:rPr/>
            <m:t>D +</m:t>
          </m:r>
          <m:sSub>
            <m:sSubPr/>
            <m:e>
              <m:r>
                <m:rPr/>
                <m:t>λ</m:t>
              </m:r>
            </m:e>
            <m:sub>
              <m:r>
                <m:rPr/>
                <m:t>c</m:t>
              </m:r>
            </m:sub>
          </m:sSub>
          <m:r>
            <m:rPr/>
            <m:t>C]</m:t>
          </m:r>
        </m:oMath>
      </m:oMathPara>
    </w:p>
    <w:p w14:paraId="3BBCDF2B">
      <w:r>
        <w:t>其中 e 为以米计的车道平均绝对误差，k 对应基础估计更新，Δt 为相邻更新间隔，所有间隔之和为 B；D 为交通扰动，C 为采集成本。最小化 J；β 控制终点权重，λ 吸收量纲和偏好，须在验证集确定后固定。成本可采用额外里程；固定预算下的常数时间罚项本身不区分策略。</w:t>
      </w:r>
    </w:p>
    <w:p w14:paraId="6E78DF01">
      <w:pPr>
        <w:pStyle w:val="4"/>
      </w:pPr>
      <w:r>
        <w:t>与目标一致的逐步奖励</w:t>
      </w:r>
    </w:p>
    <w:p w14:paraId="361DE32D">
      <w:pPr>
        <w:pStyle w:val="167"/>
      </w:pPr>
      <m:oMathPara>
        <m:oMath>
          <m:sSub>
            <m:sSubPr/>
            <m:e>
              <m:r>
                <m:rPr/>
                <m:t>r</m:t>
              </m:r>
            </m:e>
            <m:sub>
              <m:r>
                <m:rPr/>
                <m:t>k</m:t>
              </m:r>
            </m:sub>
          </m:sSub>
          <m:r>
            <m:rPr/>
            <m:t>= −</m:t>
          </m:r>
          <m:f>
            <m:fPr/>
            <m:num>
              <m:sSub>
                <m:sSubPr/>
                <m:e>
                  <m:r>
                    <m:rPr/>
                    <m:t>Δt</m:t>
                  </m:r>
                </m:e>
                <m:sub>
                  <m:r>
                    <m:rPr/>
                    <m:t>k</m:t>
                  </m:r>
                </m:sub>
              </m:sSub>
            </m:num>
            <m:den>
              <m:r>
                <m:rPr/>
                <m:t>B</m:t>
              </m:r>
            </m:den>
          </m:f>
          <m:sSub>
            <m:sSubPr/>
            <m:e>
              <m:r>
                <m:rPr/>
                <m:t>e</m:t>
              </m:r>
            </m:e>
            <m:sub>
              <m:r>
                <m:rPr/>
                <m:t>k+1</m:t>
              </m:r>
            </m:sub>
          </m:sSub>
          <m:r>
            <m:rPr/>
            <m:t>−</m:t>
          </m:r>
          <m:sSub>
            <m:sSubPr/>
            <m:e>
              <m:r>
                <m:rPr/>
                <m:t>λ</m:t>
              </m:r>
            </m:e>
            <m:sub>
              <m:r>
                <m:rPr/>
                <m:t>d</m:t>
              </m:r>
            </m:sub>
          </m:sSub>
          <m:sSub>
            <m:sSubPr/>
            <m:e>
              <m:r>
                <m:rPr/>
                <m:t>d</m:t>
              </m:r>
            </m:e>
            <m:sub>
              <m:r>
                <m:rPr/>
                <m:t>k</m:t>
              </m:r>
            </m:sub>
          </m:sSub>
          <m:r>
            <m:rPr/>
            <m:t>−</m:t>
          </m:r>
          <m:sSub>
            <m:sSubPr/>
            <m:e>
              <m:r>
                <m:rPr/>
                <m:t>λ</m:t>
              </m:r>
            </m:e>
            <m:sub>
              <m:r>
                <m:rPr/>
                <m:t>c</m:t>
              </m:r>
            </m:sub>
          </m:sSub>
          <m:sSub>
            <m:sSubPr/>
            <m:e>
              <m:r>
                <m:rPr/>
                <m:t>c</m:t>
              </m:r>
            </m:e>
            <m:sub>
              <m:r>
                <m:rPr/>
                <m:t>k</m:t>
              </m:r>
            </m:sub>
          </m:sSub>
        </m:oMath>
      </m:oMathPara>
    </w:p>
    <w:p w14:paraId="0F3920BD">
      <w:r>
        <w:t>终点再加入 −βe_N。上述写法在 D、C 可分解为逐步增量、有限时域不折扣时对应 J。返回宏动作累加其间所有基础步奖励，不能只用返回时误差乘总耗时。若引入折扣，应明确其偏重近期估计的含义，并按动作实际持续时间处理。[4]</w:t>
      </w:r>
    </w:p>
    <w:p w14:paraId="3ECBE39D">
      <w:r>
        <w:t>扰动可用其他车辆额外延误、急减速等指标评价。相对正常驾驶对照的因果扰动若只能在整段任务后计算，就作为终点代价；局部逐步指标须标明是代理量。合法性与底层控制独立约束动作，违规或碰撞记为失败，不能因提前结束而获得更低累计损失。</w:t>
      </w:r>
    </w:p>
    <w:p w14:paraId="0DB23759">
      <w:pPr>
        <w:pStyle w:val="4"/>
      </w:pPr>
      <w:r>
        <w:t>质量阈值终止作为扩展</w:t>
      </w:r>
    </w:p>
    <w:p w14:paraId="4901CB01">
      <w:r>
        <w:t>在估计不确定性校准可靠后，再研究最短时间达到质量要求。部署判据应基于可计算的置信区间或风险估计，并要求各关键进口满足条件、持续若干次更新，同时设最长作业时间。真值误差只用于检验判据的可靠性；超时未达标必须报告。</w:t>
      </w:r>
    </w:p>
    <w:p w14:paraId="2BB1D942">
      <w:r>
        <w:t>外围绕行属于同一 episode：交通继续运行、旧信息继续演化、计时不重置。若途中仍能观测到目标相关信息，继续用于估计。结束采集不等于要求车辆立即停车。</w:t>
      </w:r>
    </w:p>
    <w:p w14:paraId="0269DACD">
      <w:pPr>
        <w:pStyle w:val="3"/>
      </w:pPr>
      <w:r>
        <w:t>研究内容三：多场景数据与序列策略泛化</w:t>
      </w:r>
    </w:p>
    <w:p w14:paraId="27A49FC7">
      <w:pPr>
        <w:pStyle w:val="4"/>
      </w:pPr>
      <w:r>
        <w:t>数据生成与质量定义</w:t>
      </w:r>
    </w:p>
    <w:p w14:paraId="7A084A60">
      <w:r>
        <w:t>多场景仿真生成完整交通真值；状态估计器学习从局部观测推断状态；强化学习学习采集策略。策略执行产生交互轨迹，而一条高分轨迹本身不等于一套最优策略。正式训练从场景分布反复抽样，不必为每个具体交通状态独立训练。</w:t>
      </w:r>
    </w:p>
    <w:p w14:paraId="1A612F74">
      <w:r>
        <w:t>离线数据保留观测及动作历史、因果计算的状态估计、不确定性、合法动作、奖励、实际持续时间和地图特征，并记录随机种子、模型版本和终止原因。全域真值单独存为监督与评价字段，不能混入策略输入。</w:t>
      </w:r>
    </w:p>
    <w:p w14:paraId="26FA1261">
      <w:r>
        <w:t>在各交通难度和遮挡条件内分层评价质量，比较相同预算下相对基准策略的改善；保留多质量样本及失败恢复过程。通过独立重复实验评价策略可靠性，避免只挑选车流恰好容易观察的幸运高分样本。回报条件学习在随机环境中的这一风险已有原始研究分析。[7]</w:t>
      </w:r>
    </w:p>
    <w:p w14:paraId="0836C1ED">
      <w:pPr>
        <w:pStyle w:val="4"/>
      </w:pPr>
      <w:r>
        <w:t>Transformer 的候选位置</w:t>
      </w:r>
    </w:p>
    <w:p w14:paraId="142BB235">
      <w:r>
        <w:t>将 Transformer 用于观测—动作历史及车道结构的联合表示，学习能够随新观测更新的下一步动作。目标是验证其对长历史、空间关联和场景变化的利用能力，而不是让模型一次生成整条固定路线。</w:t>
      </w:r>
    </w:p>
    <w:p w14:paraId="05231282">
      <w:r>
        <w:t>先比较同一数据集上的 GRU 与 Transformer 行为克隆，再在数据条件支持时研究 Decision Transformer。行为克隆只拟合示范动作；原始 DT 还以期望回报等条件生成动作。两者需明确区分。[6]</w:t>
      </w:r>
    </w:p>
    <w:p w14:paraId="3EB8096B">
      <w:r>
        <w:t>若训练回报依赖仿真真值误差，真实执行时无法用相同即时奖励更新剩余回报。DT 分支必须明确可部署的收益或目标条件及其更新规则；否则先保留无回报条件的序列策略。禁止以真值更新策略输入后声称实现了真实泛化。</w:t>
      </w:r>
    </w:p>
    <w:p w14:paraId="408F15CE">
      <w:pPr>
        <w:pStyle w:val="4"/>
      </w:pPr>
      <w:r>
        <w:t>泛化层级与检验</w:t>
      </w:r>
    </w:p>
    <w:tbl>
      <w:tblPr>
        <w:tblStyle w:val="32"/>
        <w:tblW w:w="9360" w:type="dxa"/>
        <w:tblInd w:w="120" w:type="dxa"/>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Layout w:type="fixed"/>
        <w:tblCellMar>
          <w:top w:w="0" w:type="dxa"/>
          <w:left w:w="108" w:type="dxa"/>
          <w:bottom w:w="0" w:type="dxa"/>
          <w:right w:w="108" w:type="dxa"/>
        </w:tblCellMar>
      </w:tblPr>
      <w:tblGrid>
        <w:gridCol w:w="1750"/>
        <w:gridCol w:w="4700"/>
        <w:gridCol w:w="2910"/>
      </w:tblGrid>
      <w:tr w14:paraId="1A6D81A9">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blHeader/>
        </w:trPr>
        <w:tc>
          <w:tcPr>
            <w:tcW w:w="1750" w:type="dxa"/>
            <w:shd w:val="clear" w:color="auto" w:fill="F4F6F9"/>
            <w:tcMar>
              <w:top w:w="80" w:type="dxa"/>
              <w:left w:w="120" w:type="dxa"/>
              <w:bottom w:w="80" w:type="dxa"/>
              <w:right w:w="120" w:type="dxa"/>
            </w:tcMar>
            <w:vAlign w:val="center"/>
          </w:tcPr>
          <w:p w14:paraId="62077FE9">
            <w:pPr>
              <w:pStyle w:val="165"/>
            </w:pPr>
            <w:r>
              <w:rPr>
                <w:b/>
              </w:rPr>
              <w:t>层级</w:t>
            </w:r>
          </w:p>
        </w:tc>
        <w:tc>
          <w:tcPr>
            <w:tcW w:w="4700" w:type="dxa"/>
            <w:shd w:val="clear" w:color="auto" w:fill="F4F6F9"/>
            <w:tcMar>
              <w:top w:w="80" w:type="dxa"/>
              <w:left w:w="120" w:type="dxa"/>
              <w:bottom w:w="80" w:type="dxa"/>
              <w:right w:w="120" w:type="dxa"/>
            </w:tcMar>
            <w:vAlign w:val="center"/>
          </w:tcPr>
          <w:p w14:paraId="7AA9E511">
            <w:pPr>
              <w:pStyle w:val="165"/>
            </w:pPr>
            <w:r>
              <w:rPr>
                <w:b/>
              </w:rPr>
              <w:t>测试设置</w:t>
            </w:r>
          </w:p>
        </w:tc>
        <w:tc>
          <w:tcPr>
            <w:tcW w:w="2910" w:type="dxa"/>
            <w:shd w:val="clear" w:color="auto" w:fill="F4F6F9"/>
            <w:tcMar>
              <w:top w:w="80" w:type="dxa"/>
              <w:left w:w="120" w:type="dxa"/>
              <w:bottom w:w="80" w:type="dxa"/>
              <w:right w:w="120" w:type="dxa"/>
            </w:tcMar>
            <w:vAlign w:val="center"/>
          </w:tcPr>
          <w:p w14:paraId="4F04F45E">
            <w:pPr>
              <w:pStyle w:val="165"/>
            </w:pPr>
            <w:r>
              <w:rPr>
                <w:b/>
              </w:rPr>
              <w:t>结论边界</w:t>
            </w:r>
          </w:p>
        </w:tc>
      </w:tr>
      <w:tr w14:paraId="55AFEA51">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750" w:type="dxa"/>
            <w:tcMar>
              <w:top w:w="80" w:type="dxa"/>
              <w:left w:w="120" w:type="dxa"/>
              <w:bottom w:w="80" w:type="dxa"/>
              <w:right w:w="120" w:type="dxa"/>
            </w:tcMar>
            <w:vAlign w:val="center"/>
          </w:tcPr>
          <w:p w14:paraId="3F747E02">
            <w:pPr>
              <w:pStyle w:val="165"/>
            </w:pPr>
            <w:r>
              <w:t>新交通过程</w:t>
            </w:r>
          </w:p>
        </w:tc>
        <w:tc>
          <w:tcPr>
            <w:tcW w:w="4700" w:type="dxa"/>
            <w:tcMar>
              <w:top w:w="80" w:type="dxa"/>
              <w:left w:w="120" w:type="dxa"/>
              <w:bottom w:w="80" w:type="dxa"/>
              <w:right w:w="120" w:type="dxa"/>
            </w:tcMar>
            <w:vAlign w:val="center"/>
          </w:tcPr>
          <w:p w14:paraId="2296BD63">
            <w:pPr>
              <w:pStyle w:val="165"/>
            </w:pPr>
            <w:r>
              <w:t>相同道路与参数范围，未见随机种子</w:t>
            </w:r>
          </w:p>
        </w:tc>
        <w:tc>
          <w:tcPr>
            <w:tcW w:w="2910" w:type="dxa"/>
            <w:tcMar>
              <w:top w:w="80" w:type="dxa"/>
              <w:left w:w="120" w:type="dxa"/>
              <w:bottom w:w="80" w:type="dxa"/>
              <w:right w:w="120" w:type="dxa"/>
            </w:tcMar>
            <w:vAlign w:val="center"/>
          </w:tcPr>
          <w:p w14:paraId="05EBEA29">
            <w:pPr>
              <w:pStyle w:val="165"/>
            </w:pPr>
            <w:r>
              <w:t>分布内稳健性</w:t>
            </w:r>
          </w:p>
        </w:tc>
      </w:tr>
      <w:tr w14:paraId="0D73C20A">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750" w:type="dxa"/>
            <w:tcMar>
              <w:top w:w="80" w:type="dxa"/>
              <w:left w:w="120" w:type="dxa"/>
              <w:bottom w:w="80" w:type="dxa"/>
              <w:right w:w="120" w:type="dxa"/>
            </w:tcMar>
            <w:vAlign w:val="center"/>
          </w:tcPr>
          <w:p w14:paraId="1405B33C">
            <w:pPr>
              <w:pStyle w:val="165"/>
            </w:pPr>
            <w:r>
              <w:t>新交通条件</w:t>
            </w:r>
          </w:p>
        </w:tc>
        <w:tc>
          <w:tcPr>
            <w:tcW w:w="4700" w:type="dxa"/>
            <w:tcMar>
              <w:top w:w="80" w:type="dxa"/>
              <w:left w:w="120" w:type="dxa"/>
              <w:bottom w:w="80" w:type="dxa"/>
              <w:right w:w="120" w:type="dxa"/>
            </w:tcMar>
            <w:vAlign w:val="center"/>
          </w:tcPr>
          <w:p w14:paraId="1685B1DA">
            <w:pPr>
              <w:pStyle w:val="165"/>
            </w:pPr>
            <w:r>
              <w:t>未见流量、信号或遮挡参数组合</w:t>
            </w:r>
          </w:p>
        </w:tc>
        <w:tc>
          <w:tcPr>
            <w:tcW w:w="2910" w:type="dxa"/>
            <w:tcMar>
              <w:top w:w="80" w:type="dxa"/>
              <w:left w:w="120" w:type="dxa"/>
              <w:bottom w:w="80" w:type="dxa"/>
              <w:right w:w="120" w:type="dxa"/>
            </w:tcMar>
            <w:vAlign w:val="center"/>
          </w:tcPr>
          <w:p w14:paraId="27185C4C">
            <w:pPr>
              <w:pStyle w:val="165"/>
            </w:pPr>
            <w:r>
              <w:t>条件变化下的泛化</w:t>
            </w:r>
          </w:p>
        </w:tc>
      </w:tr>
      <w:tr w14:paraId="036C9FDF">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750" w:type="dxa"/>
            <w:tcMar>
              <w:top w:w="80" w:type="dxa"/>
              <w:left w:w="120" w:type="dxa"/>
              <w:bottom w:w="80" w:type="dxa"/>
              <w:right w:w="120" w:type="dxa"/>
            </w:tcMar>
            <w:vAlign w:val="center"/>
          </w:tcPr>
          <w:p w14:paraId="24FD893D">
            <w:pPr>
              <w:pStyle w:val="165"/>
            </w:pPr>
            <w:r>
              <w:t>新道路结构</w:t>
            </w:r>
          </w:p>
        </w:tc>
        <w:tc>
          <w:tcPr>
            <w:tcW w:w="4700" w:type="dxa"/>
            <w:tcMar>
              <w:top w:w="80" w:type="dxa"/>
              <w:left w:w="120" w:type="dxa"/>
              <w:bottom w:w="80" w:type="dxa"/>
              <w:right w:w="120" w:type="dxa"/>
            </w:tcMar>
            <w:vAlign w:val="center"/>
          </w:tcPr>
          <w:p w14:paraId="37F3DAA2">
            <w:pPr>
              <w:pStyle w:val="165"/>
            </w:pPr>
            <w:r>
              <w:t>留出的几何、渠化或路口类型</w:t>
            </w:r>
          </w:p>
        </w:tc>
        <w:tc>
          <w:tcPr>
            <w:tcW w:w="2910" w:type="dxa"/>
            <w:tcMar>
              <w:top w:w="80" w:type="dxa"/>
              <w:left w:w="120" w:type="dxa"/>
              <w:bottom w:w="80" w:type="dxa"/>
              <w:right w:w="120" w:type="dxa"/>
            </w:tcMar>
            <w:vAlign w:val="center"/>
          </w:tcPr>
          <w:p w14:paraId="47709DB2">
            <w:pPr>
              <w:pStyle w:val="165"/>
            </w:pPr>
            <w:r>
              <w:t>结构迁移能力</w:t>
            </w:r>
          </w:p>
        </w:tc>
      </w:tr>
    </w:tbl>
    <w:p w14:paraId="2308189C">
      <w:pPr>
        <w:pStyle w:val="169"/>
      </w:pPr>
    </w:p>
    <w:p w14:paraId="5FD5E360">
      <w:r>
        <w:t>前三部分共享严格的数据划分：状态估计器、策略训练、数据筛选和超参数选择均不得使用测试场景真值。换随机种子不能直接支撑跨结构泛化结论。</w:t>
      </w:r>
    </w:p>
    <w:p w14:paraId="2CD7D422">
      <w:pPr>
        <w:pStyle w:val="3"/>
      </w:pPr>
      <w:r>
        <w:t>仿真体系与分阶段训练流程</w:t>
      </w:r>
    </w:p>
    <w:p w14:paraId="0D9C908C">
      <w:pPr>
        <w:pStyle w:val="4"/>
      </w:pPr>
      <w:r>
        <w:t>环境构建</w:t>
      </w:r>
    </w:p>
    <w:p w14:paraId="5ECA4BA0">
      <w:r>
        <w:t>优先使用 SUMO 与几何可见性模型实现交通互动、信号运行和局部观测；后续按需要接入 CARLA 等三维环境检验传感器与遮挡误差。第一版的几何观测模型只是选定传感器的近似，需通过理想可见、遮挡及含噪观测的对照检查影响。</w:t>
      </w:r>
    </w:p>
    <w:p w14:paraId="090F5EAB">
      <w:r>
        <w:t>道路地图暂按已知处理。信号信息必须列出可获取范围：首版可将已知配时及相位作为实验简化，后续单独测试仅有可见相位或信息缺失的情况。不能把仿真接口可读取的字段默认视为真实车辆能够获得的输入。</w:t>
      </w:r>
    </w:p>
    <w:p w14:paraId="17AE5A62">
      <w:pPr>
        <w:pStyle w:val="4"/>
      </w:pPr>
      <w:r>
        <w:t>依赖顺序</w:t>
      </w:r>
    </w:p>
    <w:p w14:paraId="2FD16F79">
      <w:pPr>
        <w:pStyle w:val="171"/>
        <w:numPr>
          <w:ilvl w:val="0"/>
          <w:numId w:val="7"/>
        </w:numPr>
      </w:pPr>
      <w:r>
        <w:t>建立目标交叉口及必要返回道路，检验候选入口和车道连接的合法可达性，测量不同车流下的返回耗时。</w:t>
      </w:r>
    </w:p>
    <w:p w14:paraId="7A4D89C4">
      <w:pPr>
        <w:pStyle w:val="171"/>
        <w:numPr>
          <w:ilvl w:val="0"/>
          <w:numId w:val="7"/>
        </w:numPr>
      </w:pPr>
      <w:r>
        <w:t>生成完整交通状态与受限观测配对数据。先用固定巡回和合法随机行为采样，并通过范围、视场及遮挡产生连续缺失模式。</w:t>
      </w:r>
    </w:p>
    <w:p w14:paraId="34EF0FE7">
      <w:pPr>
        <w:pStyle w:val="171"/>
        <w:numPr>
          <w:ilvl w:val="0"/>
          <w:numId w:val="7"/>
        </w:numPr>
      </w:pPr>
      <w:r>
        <w:t>训练状态估计器，并在独立场景检验误差与区间校准。随机独立遮蔽仅作补充，不能替代探测轨迹造成的结构性缺失。</w:t>
      </w:r>
    </w:p>
    <w:p w14:paraId="06D5226D">
      <w:pPr>
        <w:pStyle w:val="171"/>
        <w:numPr>
          <w:ilvl w:val="0"/>
          <w:numId w:val="7"/>
        </w:numPr>
      </w:pPr>
      <w:r>
        <w:t>冻结已验证的估计器，训练单车主动策略。初步采用带记忆的 PPO 基线；先固定底层驾驶，再扩展必要的局部行为动作。[5]</w:t>
      </w:r>
    </w:p>
    <w:p w14:paraId="5D371D59">
      <w:pPr>
        <w:pStyle w:val="171"/>
        <w:numPr>
          <w:ilvl w:val="0"/>
          <w:numId w:val="7"/>
        </w:numPr>
      </w:pPr>
      <w:r>
        <w:t>收集不同策略及训练阶段的轨迹，建立多场景离线数据集；训练并比较序列策略，检验其泛化与计算开销。</w:t>
      </w:r>
    </w:p>
    <w:p w14:paraId="0CE2D253">
      <w:pPr>
        <w:pStyle w:val="171"/>
        <w:numPr>
          <w:ilvl w:val="0"/>
          <w:numId w:val="7"/>
        </w:numPr>
      </w:pPr>
      <w:r>
        <w:t>在未见场景进行统一评价。若新策略产生了估计器未覆盖的观测分布，可用训练场景补充数据并分阶段更新，随后重新固定估计器比较策略。</w:t>
      </w:r>
    </w:p>
    <w:p w14:paraId="619EA971">
      <w:pPr>
        <w:pStyle w:val="4"/>
      </w:pPr>
      <w:r>
        <w:t>随机化与可重复性</w:t>
      </w:r>
    </w:p>
    <w:p w14:paraId="51C55E55">
      <w:r>
        <w:t>调试和配对比较固定种子；正式训练变化车辆到达、车型、跟驰参数、转向比例与交通需求。每个 episode 内保持交通连续演化，必要时按预设过程改变需求。车辆可对探测车行为作出响应，不能把所有背景车辆轨迹锁死。使用预热阶段建立合理初始交通状态。[8]</w:t>
      </w:r>
    </w:p>
    <w:p w14:paraId="72FE0973">
      <w:pPr>
        <w:pStyle w:val="3"/>
      </w:pPr>
      <w:r>
        <w:t>实验设计与评价口径</w:t>
      </w:r>
    </w:p>
    <w:p w14:paraId="1FC9C661">
      <w:pPr>
        <w:pStyle w:val="4"/>
      </w:pPr>
      <w:r>
        <w:t>递进对照</w:t>
      </w:r>
    </w:p>
    <w:tbl>
      <w:tblPr>
        <w:tblStyle w:val="32"/>
        <w:tblW w:w="9360" w:type="dxa"/>
        <w:tblInd w:w="120" w:type="dxa"/>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Layout w:type="fixed"/>
        <w:tblCellMar>
          <w:top w:w="0" w:type="dxa"/>
          <w:left w:w="108" w:type="dxa"/>
          <w:bottom w:w="0" w:type="dxa"/>
          <w:right w:w="108" w:type="dxa"/>
        </w:tblCellMar>
      </w:tblPr>
      <w:tblGrid>
        <w:gridCol w:w="2050"/>
        <w:gridCol w:w="4550"/>
        <w:gridCol w:w="2760"/>
      </w:tblGrid>
      <w:tr w14:paraId="2302E418">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blHeader/>
        </w:trPr>
        <w:tc>
          <w:tcPr>
            <w:tcW w:w="2050" w:type="dxa"/>
            <w:shd w:val="clear" w:color="auto" w:fill="F4F6F9"/>
            <w:tcMar>
              <w:top w:w="80" w:type="dxa"/>
              <w:left w:w="120" w:type="dxa"/>
              <w:bottom w:w="80" w:type="dxa"/>
              <w:right w:w="120" w:type="dxa"/>
            </w:tcMar>
            <w:vAlign w:val="center"/>
          </w:tcPr>
          <w:p w14:paraId="57C5C1D1">
            <w:pPr>
              <w:pStyle w:val="165"/>
            </w:pPr>
            <w:r>
              <w:rPr>
                <w:b/>
              </w:rPr>
              <w:t>问题</w:t>
            </w:r>
          </w:p>
        </w:tc>
        <w:tc>
          <w:tcPr>
            <w:tcW w:w="4550" w:type="dxa"/>
            <w:shd w:val="clear" w:color="auto" w:fill="F4F6F9"/>
            <w:tcMar>
              <w:top w:w="80" w:type="dxa"/>
              <w:left w:w="120" w:type="dxa"/>
              <w:bottom w:w="80" w:type="dxa"/>
              <w:right w:w="120" w:type="dxa"/>
            </w:tcMar>
            <w:vAlign w:val="center"/>
          </w:tcPr>
          <w:p w14:paraId="38C1775D">
            <w:pPr>
              <w:pStyle w:val="165"/>
            </w:pPr>
            <w:r>
              <w:rPr>
                <w:b/>
              </w:rPr>
              <w:t>对照安排</w:t>
            </w:r>
          </w:p>
        </w:tc>
        <w:tc>
          <w:tcPr>
            <w:tcW w:w="2760" w:type="dxa"/>
            <w:shd w:val="clear" w:color="auto" w:fill="F4F6F9"/>
            <w:tcMar>
              <w:top w:w="80" w:type="dxa"/>
              <w:left w:w="120" w:type="dxa"/>
              <w:bottom w:w="80" w:type="dxa"/>
              <w:right w:w="120" w:type="dxa"/>
            </w:tcMar>
            <w:vAlign w:val="center"/>
          </w:tcPr>
          <w:p w14:paraId="475B9872">
            <w:pPr>
              <w:pStyle w:val="165"/>
            </w:pPr>
            <w:r>
              <w:rPr>
                <w:b/>
              </w:rPr>
              <w:t>固定条件</w:t>
            </w:r>
          </w:p>
        </w:tc>
      </w:tr>
      <w:tr w14:paraId="1FCC64E4">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13B08D5A">
            <w:pPr>
              <w:pStyle w:val="165"/>
            </w:pPr>
            <w:r>
              <w:t>片段信息是否有用</w:t>
            </w:r>
          </w:p>
        </w:tc>
        <w:tc>
          <w:tcPr>
            <w:tcW w:w="4550" w:type="dxa"/>
            <w:tcMar>
              <w:top w:w="80" w:type="dxa"/>
              <w:left w:w="120" w:type="dxa"/>
              <w:bottom w:w="80" w:type="dxa"/>
              <w:right w:w="120" w:type="dxa"/>
            </w:tcMar>
            <w:vAlign w:val="center"/>
          </w:tcPr>
          <w:p w14:paraId="59F7E0AE">
            <w:pPr>
              <w:pStyle w:val="165"/>
            </w:pPr>
            <w:r>
              <w:t>仅先验；简单机理/时序估计；所提估计器；全观测参考</w:t>
            </w:r>
          </w:p>
        </w:tc>
        <w:tc>
          <w:tcPr>
            <w:tcW w:w="2760" w:type="dxa"/>
            <w:tcMar>
              <w:top w:w="80" w:type="dxa"/>
              <w:left w:w="120" w:type="dxa"/>
              <w:bottom w:w="80" w:type="dxa"/>
              <w:right w:w="120" w:type="dxa"/>
            </w:tcMar>
            <w:vAlign w:val="center"/>
          </w:tcPr>
          <w:p w14:paraId="485DDF75">
            <w:pPr>
              <w:pStyle w:val="165"/>
            </w:pPr>
            <w:r>
              <w:t>相同真实交通和观测集合</w:t>
            </w:r>
          </w:p>
        </w:tc>
      </w:tr>
      <w:tr w14:paraId="63DC5109">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48FED4DF">
            <w:pPr>
              <w:pStyle w:val="165"/>
            </w:pPr>
            <w:r>
              <w:t>主动采样是否有用</w:t>
            </w:r>
          </w:p>
        </w:tc>
        <w:tc>
          <w:tcPr>
            <w:tcW w:w="4550" w:type="dxa"/>
            <w:tcMar>
              <w:top w:w="80" w:type="dxa"/>
              <w:left w:w="120" w:type="dxa"/>
              <w:bottom w:w="80" w:type="dxa"/>
              <w:right w:w="120" w:type="dxa"/>
            </w:tcMar>
            <w:vAlign w:val="center"/>
          </w:tcPr>
          <w:p w14:paraId="36C3479E">
            <w:pPr>
              <w:pStyle w:val="165"/>
            </w:pPr>
            <w:r>
              <w:t>固定巡回；合法随机；信息收益贪心；带记忆 RL</w:t>
            </w:r>
          </w:p>
        </w:tc>
        <w:tc>
          <w:tcPr>
            <w:tcW w:w="2760" w:type="dxa"/>
            <w:tcMar>
              <w:top w:w="80" w:type="dxa"/>
              <w:left w:w="120" w:type="dxa"/>
              <w:bottom w:w="80" w:type="dxa"/>
              <w:right w:w="120" w:type="dxa"/>
            </w:tcMar>
            <w:vAlign w:val="center"/>
          </w:tcPr>
          <w:p w14:paraId="648751C1">
            <w:pPr>
              <w:pStyle w:val="165"/>
            </w:pPr>
            <w:r>
              <w:t>相同估计器、预算及传感器</w:t>
            </w:r>
          </w:p>
        </w:tc>
      </w:tr>
      <w:tr w14:paraId="1FAF4EFC">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388571AF">
            <w:pPr>
              <w:pStyle w:val="165"/>
            </w:pPr>
            <w:r>
              <w:t>返回决策是否有用</w:t>
            </w:r>
          </w:p>
        </w:tc>
        <w:tc>
          <w:tcPr>
            <w:tcW w:w="4550" w:type="dxa"/>
            <w:tcMar>
              <w:top w:w="80" w:type="dxa"/>
              <w:left w:w="120" w:type="dxa"/>
              <w:bottom w:w="80" w:type="dxa"/>
              <w:right w:w="120" w:type="dxa"/>
            </w:tcMar>
            <w:vAlign w:val="center"/>
          </w:tcPr>
          <w:p w14:paraId="4AF8CE03">
            <w:pPr>
              <w:pStyle w:val="165"/>
            </w:pPr>
            <w:r>
              <w:t>固定返回；最快返回；信息驱动返回</w:t>
            </w:r>
          </w:p>
        </w:tc>
        <w:tc>
          <w:tcPr>
            <w:tcW w:w="2760" w:type="dxa"/>
            <w:tcMar>
              <w:top w:w="80" w:type="dxa"/>
              <w:left w:w="120" w:type="dxa"/>
              <w:bottom w:w="80" w:type="dxa"/>
              <w:right w:w="120" w:type="dxa"/>
            </w:tcMar>
            <w:vAlign w:val="center"/>
          </w:tcPr>
          <w:p w14:paraId="13E11A11">
            <w:pPr>
              <w:pStyle w:val="165"/>
            </w:pPr>
            <w:r>
              <w:t>相同底层驾驶和路线库</w:t>
            </w:r>
          </w:p>
        </w:tc>
      </w:tr>
      <w:tr w14:paraId="560D20E6">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42A4DE66">
            <w:pPr>
              <w:pStyle w:val="165"/>
            </w:pPr>
            <w:r>
              <w:t>关键机制是否有效</w:t>
            </w:r>
          </w:p>
        </w:tc>
        <w:tc>
          <w:tcPr>
            <w:tcW w:w="4550" w:type="dxa"/>
            <w:tcMar>
              <w:top w:w="80" w:type="dxa"/>
              <w:left w:w="120" w:type="dxa"/>
              <w:bottom w:w="80" w:type="dxa"/>
              <w:right w:w="120" w:type="dxa"/>
            </w:tcMar>
            <w:vAlign w:val="center"/>
          </w:tcPr>
          <w:p w14:paraId="2E8F62E4">
            <w:pPr>
              <w:pStyle w:val="165"/>
            </w:pPr>
            <w:r>
              <w:t>去掉历史、不确定性、信息年龄、遮挡或返回选择</w:t>
            </w:r>
          </w:p>
        </w:tc>
        <w:tc>
          <w:tcPr>
            <w:tcW w:w="2760" w:type="dxa"/>
            <w:tcMar>
              <w:top w:w="80" w:type="dxa"/>
              <w:left w:w="120" w:type="dxa"/>
              <w:bottom w:w="80" w:type="dxa"/>
              <w:right w:w="120" w:type="dxa"/>
            </w:tcMar>
            <w:vAlign w:val="center"/>
          </w:tcPr>
          <w:p w14:paraId="49846DE5">
            <w:pPr>
              <w:pStyle w:val="165"/>
            </w:pPr>
            <w:r>
              <w:t>每次只改变相应因素</w:t>
            </w:r>
          </w:p>
        </w:tc>
      </w:tr>
      <w:tr w14:paraId="4D8D878D">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2050" w:type="dxa"/>
            <w:tcMar>
              <w:top w:w="80" w:type="dxa"/>
              <w:left w:w="120" w:type="dxa"/>
              <w:bottom w:w="80" w:type="dxa"/>
              <w:right w:w="120" w:type="dxa"/>
            </w:tcMar>
            <w:vAlign w:val="center"/>
          </w:tcPr>
          <w:p w14:paraId="0549F708">
            <w:pPr>
              <w:pStyle w:val="165"/>
            </w:pPr>
            <w:r>
              <w:t>Transformer 是否必要</w:t>
            </w:r>
          </w:p>
        </w:tc>
        <w:tc>
          <w:tcPr>
            <w:tcW w:w="4550" w:type="dxa"/>
            <w:tcMar>
              <w:top w:w="80" w:type="dxa"/>
              <w:left w:w="120" w:type="dxa"/>
              <w:bottom w:w="80" w:type="dxa"/>
              <w:right w:w="120" w:type="dxa"/>
            </w:tcMar>
            <w:vAlign w:val="center"/>
          </w:tcPr>
          <w:p w14:paraId="2E936CB3">
            <w:pPr>
              <w:pStyle w:val="165"/>
            </w:pPr>
            <w:r>
              <w:t>GRU 与 Transformer 模仿学习；条件满足时加入 DT</w:t>
            </w:r>
          </w:p>
        </w:tc>
        <w:tc>
          <w:tcPr>
            <w:tcW w:w="2760" w:type="dxa"/>
            <w:tcMar>
              <w:top w:w="80" w:type="dxa"/>
              <w:left w:w="120" w:type="dxa"/>
              <w:bottom w:w="80" w:type="dxa"/>
              <w:right w:w="120" w:type="dxa"/>
            </w:tcMar>
            <w:vAlign w:val="center"/>
          </w:tcPr>
          <w:p w14:paraId="0E77D980">
            <w:pPr>
              <w:pStyle w:val="165"/>
            </w:pPr>
            <w:r>
              <w:t>相同离线数据、划分与调参预算</w:t>
            </w:r>
          </w:p>
        </w:tc>
      </w:tr>
    </w:tbl>
    <w:p w14:paraId="2DB44596">
      <w:pPr>
        <w:pStyle w:val="169"/>
      </w:pPr>
    </w:p>
    <w:p w14:paraId="4F021B57">
      <w:r>
        <w:t>全观测结果用于表明信息条件改善的参考效果，不自动构成任意学习策略的理论性能上界。在线 RL 与离线模型须分别披露训练数据、环境交互量和计算成本；教师采集数据的成本不能忽略。</w:t>
      </w:r>
    </w:p>
    <w:p w14:paraId="2B16DF94">
      <w:pPr>
        <w:pStyle w:val="4"/>
      </w:pPr>
      <w:r>
        <w:t>需要报告的指标</w:t>
      </w:r>
    </w:p>
    <w:p w14:paraId="3373DF80">
      <w:pPr>
        <w:pStyle w:val="170"/>
        <w:numPr>
          <w:ilvl w:val="0"/>
          <w:numId w:val="8"/>
        </w:numPr>
      </w:pPr>
      <w:r>
        <w:t>估计质量：车道排队长度 MAE/RMSE、全程误差、终点误差、各进口结果及最差进口结果。扩展状态场采用统一的空间和时间评价尺度。</w:t>
      </w:r>
    </w:p>
    <w:p w14:paraId="6E5635F5">
      <w:pPr>
        <w:pStyle w:val="170"/>
        <w:numPr>
          <w:ilvl w:val="0"/>
          <w:numId w:val="8"/>
        </w:numPr>
      </w:pPr>
      <w:r>
        <w:t>不确定性：预测区间覆盖率与宽度，并按流量、遮挡、信息年龄分层；置信程度低不应被隐藏在全域平均值中。</w:t>
      </w:r>
    </w:p>
    <w:p w14:paraId="2E184D88">
      <w:pPr>
        <w:pStyle w:val="170"/>
        <w:numPr>
          <w:ilvl w:val="0"/>
          <w:numId w:val="8"/>
        </w:numPr>
      </w:pPr>
      <w:r>
        <w:t>任务效率：固定预算下的质量曲线、有效观测比例、行驶里程、实际返回耗时；阈值任务同时报告成功率、耗时和超时率。</w:t>
      </w:r>
    </w:p>
    <w:p w14:paraId="3C1236ED">
      <w:pPr>
        <w:pStyle w:val="170"/>
        <w:numPr>
          <w:ilvl w:val="0"/>
          <w:numId w:val="8"/>
        </w:numPr>
      </w:pPr>
      <w:r>
        <w:t>交通与可靠性：他车延误及急减速、违规/碰撞、任务中断、不同种子的均值与区间。失败任务保留在完整统计中。</w:t>
      </w:r>
    </w:p>
    <w:p w14:paraId="4CD8F0F1">
      <w:pPr>
        <w:pStyle w:val="4"/>
      </w:pPr>
      <w:r>
        <w:t>候选参数与公平比较</w:t>
      </w:r>
    </w:p>
    <w:p w14:paraId="7C9582D9">
      <w:r>
        <w:t>空间单元可先比较 10、20、40 米；时间采样与行为决策间隔独立设置。作业预算应结合信号周期和实测返回耗时选择多档，数值不在本版提前定为最优。所有尺度实验在共同的物理真值上评价，避免因粗化目标获得虚假精度提升。</w:t>
      </w:r>
    </w:p>
    <w:p w14:paraId="157BBA6A">
      <w:r>
        <w:t>训练/验证/测试按完整 episode、需求组合及地图结构分组，禁止把同一仿真的相邻片段分到不同集合。配对比较尽量固定外部到达过程；策略不同导致的背景车辆响应差异是应保留的实验效应。</w:t>
      </w:r>
    </w:p>
    <w:p w14:paraId="70521F07">
      <w:pPr>
        <w:pStyle w:val="3"/>
      </w:pPr>
      <w:r>
        <w:t>推进顺序、研究假设与待确定事项</w:t>
      </w:r>
    </w:p>
    <w:p w14:paraId="70CF3770">
      <w:pPr>
        <w:pStyle w:val="4"/>
      </w:pPr>
      <w:r>
        <w:t>阶段交付与判断依据</w:t>
      </w:r>
    </w:p>
    <w:tbl>
      <w:tblPr>
        <w:tblStyle w:val="32"/>
        <w:tblW w:w="9360" w:type="dxa"/>
        <w:tblInd w:w="120" w:type="dxa"/>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Layout w:type="fixed"/>
        <w:tblCellMar>
          <w:top w:w="0" w:type="dxa"/>
          <w:left w:w="108" w:type="dxa"/>
          <w:bottom w:w="0" w:type="dxa"/>
          <w:right w:w="108" w:type="dxa"/>
        </w:tblCellMar>
      </w:tblPr>
      <w:tblGrid>
        <w:gridCol w:w="1600"/>
        <w:gridCol w:w="3500"/>
        <w:gridCol w:w="4260"/>
      </w:tblGrid>
      <w:tr w14:paraId="77AD7B87">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blHeader/>
        </w:trPr>
        <w:tc>
          <w:tcPr>
            <w:tcW w:w="1600" w:type="dxa"/>
            <w:shd w:val="clear" w:color="auto" w:fill="F4F6F9"/>
            <w:tcMar>
              <w:top w:w="80" w:type="dxa"/>
              <w:left w:w="120" w:type="dxa"/>
              <w:bottom w:w="80" w:type="dxa"/>
              <w:right w:w="120" w:type="dxa"/>
            </w:tcMar>
            <w:vAlign w:val="center"/>
          </w:tcPr>
          <w:p w14:paraId="59452FAA">
            <w:pPr>
              <w:pStyle w:val="165"/>
            </w:pPr>
            <w:r>
              <w:rPr>
                <w:b/>
              </w:rPr>
              <w:t>阶段</w:t>
            </w:r>
          </w:p>
        </w:tc>
        <w:tc>
          <w:tcPr>
            <w:tcW w:w="3500" w:type="dxa"/>
            <w:shd w:val="clear" w:color="auto" w:fill="F4F6F9"/>
            <w:tcMar>
              <w:top w:w="80" w:type="dxa"/>
              <w:left w:w="120" w:type="dxa"/>
              <w:bottom w:w="80" w:type="dxa"/>
              <w:right w:w="120" w:type="dxa"/>
            </w:tcMar>
            <w:vAlign w:val="center"/>
          </w:tcPr>
          <w:p w14:paraId="4BED1243">
            <w:pPr>
              <w:pStyle w:val="165"/>
            </w:pPr>
            <w:r>
              <w:rPr>
                <w:b/>
              </w:rPr>
              <w:t>交付物</w:t>
            </w:r>
          </w:p>
        </w:tc>
        <w:tc>
          <w:tcPr>
            <w:tcW w:w="4260" w:type="dxa"/>
            <w:shd w:val="clear" w:color="auto" w:fill="F4F6F9"/>
            <w:tcMar>
              <w:top w:w="80" w:type="dxa"/>
              <w:left w:w="120" w:type="dxa"/>
              <w:bottom w:w="80" w:type="dxa"/>
              <w:right w:w="120" w:type="dxa"/>
            </w:tcMar>
            <w:vAlign w:val="center"/>
          </w:tcPr>
          <w:p w14:paraId="3164BE55">
            <w:pPr>
              <w:pStyle w:val="165"/>
            </w:pPr>
            <w:r>
              <w:rPr>
                <w:b/>
              </w:rPr>
              <w:t>进入下一阶段的依据</w:t>
            </w:r>
          </w:p>
        </w:tc>
      </w:tr>
      <w:tr w14:paraId="3EC5DB9F">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0A6C9305">
            <w:pPr>
              <w:pStyle w:val="165"/>
            </w:pPr>
            <w:r>
              <w:t>场景与观测</w:t>
            </w:r>
          </w:p>
        </w:tc>
        <w:tc>
          <w:tcPr>
            <w:tcW w:w="3500" w:type="dxa"/>
            <w:tcMar>
              <w:top w:w="80" w:type="dxa"/>
              <w:left w:w="120" w:type="dxa"/>
              <w:bottom w:w="80" w:type="dxa"/>
              <w:right w:w="120" w:type="dxa"/>
            </w:tcMar>
            <w:vAlign w:val="center"/>
          </w:tcPr>
          <w:p w14:paraId="1573B32A">
            <w:pPr>
              <w:pStyle w:val="165"/>
            </w:pPr>
            <w:r>
              <w:t>小区域路网、合法路线库、观测接口、真值定义</w:t>
            </w:r>
          </w:p>
        </w:tc>
        <w:tc>
          <w:tcPr>
            <w:tcW w:w="4260" w:type="dxa"/>
            <w:tcMar>
              <w:top w:w="80" w:type="dxa"/>
              <w:left w:w="120" w:type="dxa"/>
              <w:bottom w:w="80" w:type="dxa"/>
              <w:right w:w="120" w:type="dxa"/>
            </w:tcMar>
            <w:vAlign w:val="center"/>
          </w:tcPr>
          <w:p w14:paraId="2152775C">
            <w:pPr>
              <w:pStyle w:val="165"/>
            </w:pPr>
            <w:r>
              <w:t>返回路径可执行；观测符合设定范围与遮挡</w:t>
            </w:r>
          </w:p>
        </w:tc>
      </w:tr>
      <w:tr w14:paraId="715A12CD">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8595A77">
            <w:pPr>
              <w:pStyle w:val="165"/>
            </w:pPr>
            <w:r>
              <w:t>估计预实验</w:t>
            </w:r>
          </w:p>
        </w:tc>
        <w:tc>
          <w:tcPr>
            <w:tcW w:w="3500" w:type="dxa"/>
            <w:tcMar>
              <w:top w:w="80" w:type="dxa"/>
              <w:left w:w="120" w:type="dxa"/>
              <w:bottom w:w="80" w:type="dxa"/>
              <w:right w:w="120" w:type="dxa"/>
            </w:tcMar>
            <w:vAlign w:val="center"/>
          </w:tcPr>
          <w:p w14:paraId="3A2BD939">
            <w:pPr>
              <w:pStyle w:val="165"/>
            </w:pPr>
            <w:r>
              <w:t>状态估计器、误差与区间可靠性曲线</w:t>
            </w:r>
          </w:p>
        </w:tc>
        <w:tc>
          <w:tcPr>
            <w:tcW w:w="4260" w:type="dxa"/>
            <w:tcMar>
              <w:top w:w="80" w:type="dxa"/>
              <w:left w:w="120" w:type="dxa"/>
              <w:bottom w:w="80" w:type="dxa"/>
              <w:right w:w="120" w:type="dxa"/>
            </w:tcMar>
            <w:vAlign w:val="center"/>
          </w:tcPr>
          <w:p w14:paraId="2D1C6409">
            <w:pPr>
              <w:pStyle w:val="165"/>
            </w:pPr>
            <w:r>
              <w:t>局部观测相对先验有可重复增益；明确失效条件</w:t>
            </w:r>
          </w:p>
        </w:tc>
      </w:tr>
      <w:tr w14:paraId="13B96EC6">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1FB4ACFC">
            <w:pPr>
              <w:pStyle w:val="165"/>
            </w:pPr>
            <w:r>
              <w:t>主动决策</w:t>
            </w:r>
          </w:p>
        </w:tc>
        <w:tc>
          <w:tcPr>
            <w:tcW w:w="3500" w:type="dxa"/>
            <w:tcMar>
              <w:top w:w="80" w:type="dxa"/>
              <w:left w:w="120" w:type="dxa"/>
              <w:bottom w:w="80" w:type="dxa"/>
              <w:right w:w="120" w:type="dxa"/>
            </w:tcMar>
            <w:vAlign w:val="center"/>
          </w:tcPr>
          <w:p w14:paraId="3543F9D9">
            <w:pPr>
              <w:pStyle w:val="165"/>
            </w:pPr>
            <w:r>
              <w:t>闭环 RL 策略及固定/贪心对照</w:t>
            </w:r>
          </w:p>
        </w:tc>
        <w:tc>
          <w:tcPr>
            <w:tcW w:w="4260" w:type="dxa"/>
            <w:tcMar>
              <w:top w:w="80" w:type="dxa"/>
              <w:left w:w="120" w:type="dxa"/>
              <w:bottom w:w="80" w:type="dxa"/>
              <w:right w:w="120" w:type="dxa"/>
            </w:tcMar>
            <w:vAlign w:val="center"/>
          </w:tcPr>
          <w:p w14:paraId="74F15C97">
            <w:pPr>
              <w:pStyle w:val="165"/>
            </w:pPr>
            <w:r>
              <w:t>同预算改善目标估计，且收益未由违规或扰动换取</w:t>
            </w:r>
          </w:p>
        </w:tc>
      </w:tr>
      <w:tr w14:paraId="0D373019">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333D7D53">
            <w:pPr>
              <w:pStyle w:val="165"/>
            </w:pPr>
            <w:r>
              <w:t>序列泛化</w:t>
            </w:r>
          </w:p>
        </w:tc>
        <w:tc>
          <w:tcPr>
            <w:tcW w:w="3500" w:type="dxa"/>
            <w:tcMar>
              <w:top w:w="80" w:type="dxa"/>
              <w:left w:w="120" w:type="dxa"/>
              <w:bottom w:w="80" w:type="dxa"/>
              <w:right w:w="120" w:type="dxa"/>
            </w:tcMar>
            <w:vAlign w:val="center"/>
          </w:tcPr>
          <w:p w14:paraId="024423FB">
            <w:pPr>
              <w:pStyle w:val="165"/>
            </w:pPr>
            <w:r>
              <w:t>多场景数据集、序列策略及留出测试</w:t>
            </w:r>
          </w:p>
        </w:tc>
        <w:tc>
          <w:tcPr>
            <w:tcW w:w="4260" w:type="dxa"/>
            <w:tcMar>
              <w:top w:w="80" w:type="dxa"/>
              <w:left w:w="120" w:type="dxa"/>
              <w:bottom w:w="80" w:type="dxa"/>
              <w:right w:w="120" w:type="dxa"/>
            </w:tcMar>
            <w:vAlign w:val="center"/>
          </w:tcPr>
          <w:p w14:paraId="6ADD65F5">
            <w:pPr>
              <w:pStyle w:val="165"/>
            </w:pPr>
            <w:r>
              <w:t>同数据条件下存在可解释的泛化或效率增益</w:t>
            </w:r>
          </w:p>
        </w:tc>
      </w:tr>
      <w:tr w14:paraId="3EB70789">
        <w:tblPrEx>
          <w:tblBorders>
            <w:top w:val="single" w:color="D4DAE0" w:sz="4" w:space="0"/>
            <w:left w:val="single" w:color="D4DAE0" w:sz="4" w:space="0"/>
            <w:bottom w:val="single" w:color="D4DAE0" w:sz="4" w:space="0"/>
            <w:right w:val="single" w:color="D4DAE0" w:sz="4" w:space="0"/>
            <w:insideH w:val="single" w:color="D4DAE0" w:sz="4" w:space="0"/>
            <w:insideV w:val="single" w:color="D4DAE0"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1E10A476">
            <w:pPr>
              <w:pStyle w:val="165"/>
            </w:pPr>
            <w:r>
              <w:t>真实性验证</w:t>
            </w:r>
          </w:p>
        </w:tc>
        <w:tc>
          <w:tcPr>
            <w:tcW w:w="3500" w:type="dxa"/>
            <w:tcMar>
              <w:top w:w="80" w:type="dxa"/>
              <w:left w:w="120" w:type="dxa"/>
              <w:bottom w:w="80" w:type="dxa"/>
              <w:right w:w="120" w:type="dxa"/>
            </w:tcMar>
            <w:vAlign w:val="center"/>
          </w:tcPr>
          <w:p w14:paraId="40D331BB">
            <w:pPr>
              <w:pStyle w:val="165"/>
            </w:pPr>
            <w:r>
              <w:t>更真实感知模型或带真值的实测对照</w:t>
            </w:r>
          </w:p>
        </w:tc>
        <w:tc>
          <w:tcPr>
            <w:tcW w:w="4260" w:type="dxa"/>
            <w:tcMar>
              <w:top w:w="80" w:type="dxa"/>
              <w:left w:w="120" w:type="dxa"/>
              <w:bottom w:w="80" w:type="dxa"/>
              <w:right w:w="120" w:type="dxa"/>
            </w:tcMar>
            <w:vAlign w:val="center"/>
          </w:tcPr>
          <w:p w14:paraId="501B1626">
            <w:pPr>
              <w:pStyle w:val="165"/>
            </w:pPr>
            <w:r>
              <w:t>关键结论对观测误差和交通变化仍成立</w:t>
            </w:r>
          </w:p>
        </w:tc>
      </w:tr>
    </w:tbl>
    <w:p w14:paraId="0A98CA4D">
      <w:pPr>
        <w:pStyle w:val="169"/>
      </w:pPr>
    </w:p>
    <w:p w14:paraId="18403F86">
      <w:pPr>
        <w:pStyle w:val="4"/>
      </w:pPr>
      <w:r>
        <w:t>拟检验的研究假设</w:t>
      </w:r>
    </w:p>
    <w:p w14:paraId="3B89D417">
      <w:r>
        <w:t>假设一：显式建模缺失结构、观测时间和状态不确定性，比仅使用累计访问次数或数据量，更能解释观测对排队估计的贡献。</w:t>
      </w:r>
    </w:p>
    <w:p w14:paraId="516B5BD7">
      <w:r>
        <w:t>假设二：联合考虑预计观测收益与返回成本的主动策略，在一定预算和交通条件内，可以优于固定巡回或最快返回；需同时寻找其无收益或失效的边界。</w:t>
      </w:r>
    </w:p>
    <w:p w14:paraId="34803F9F">
      <w:r>
        <w:t>假设三：利用多场景历史和车道结构的序列策略，可能在未见需求组合上优于简单记忆网络；新道路结构的能力必须单独测试，不能由模型名称推断。</w:t>
      </w:r>
    </w:p>
    <w:p w14:paraId="2A42542C">
      <w:pPr>
        <w:pStyle w:val="4"/>
      </w:pPr>
      <w:r>
        <w:t>下一步需要具体化的参数</w:t>
      </w:r>
    </w:p>
    <w:p w14:paraId="049189BE">
      <w:r>
        <w:t>优先确定目标进口长度、车道数量及排队真值规则；选择一张支持合法返回且存在决策分支的小区域地图；明确传感器范围、遮挡近似及可获取的信号信息；最后结合返回耗时设置作业预算与评价精度。</w:t>
      </w:r>
    </w:p>
    <w:p w14:paraId="6F8B922E">
      <w:pPr>
        <w:pStyle w:val="168"/>
      </w:pPr>
      <w:r>
        <w:t>当前最先开展的工作：在同一个动态交叉口中，用固定可行路线采集数据，比较仅先验、局部观测估计和全观测参考，绘制“预算—估计误差—最差方向误差”曲线。先验证单车能够获得多大程度的改善，再决定强化学习与 Transformer 的投入规模。</w:t>
      </w:r>
    </w:p>
    <w:p w14:paraId="0CCB5529">
      <w:pPr>
        <w:pStyle w:val="3"/>
        <w:pageBreakBefore/>
      </w:pPr>
      <w:r>
        <w:t>依据与方法参考</w:t>
      </w:r>
    </w:p>
    <w:p w14:paraId="795D0F00">
      <w:r>
        <w:t>附件用于确定研究场景及原有研究结构。以下文献支持相关方法的存在与设计依据，不构成本项目已经实现性能提升或具有独创性的证据。提出的三项研究假设仍需进一步系统查新与实验检验。</w:t>
      </w:r>
    </w:p>
    <w:p w14:paraId="2EE84F1B">
      <w:pPr>
        <w:pStyle w:val="166"/>
      </w:pPr>
      <w:r>
        <w:t>[1] 用户提供：-2026 -0318.pdf。重点参考第8—19页：轨迹信息价值、感知效能、单车与多车决策、仿真与场景泛化。</w:t>
      </w:r>
    </w:p>
    <w:p w14:paraId="62FD2A55">
      <w:pPr>
        <w:pStyle w:val="166"/>
      </w:pPr>
      <w:r>
        <w:t xml:space="preserve">[2] Chen, J. et al. Decentralized Data Fusion and Active Sensing with Mobile Sensors for Modeling and Predicting Spatiotemporal Traffic Phenomena. 2012. 移动交通感知与信息采样基础。 </w:t>
      </w:r>
      <w:r>
        <w:fldChar w:fldCharType="begin"/>
      </w:r>
      <w:r>
        <w:instrText xml:space="preserve"> HYPERLINK "https://arxiv.org/abs/1206.6230" \h </w:instrText>
      </w:r>
      <w:r>
        <w:fldChar w:fldCharType="separate"/>
      </w:r>
      <w:r>
        <w:rPr>
          <w:color w:val="2E74B5"/>
        </w:rPr>
        <w:t>查看原始来源</w:t>
      </w:r>
      <w:r>
        <w:rPr>
          <w:color w:val="2E74B5"/>
        </w:rPr>
        <w:fldChar w:fldCharType="end"/>
      </w:r>
    </w:p>
    <w:p w14:paraId="03A56E73">
      <w:pPr>
        <w:pStyle w:val="166"/>
      </w:pPr>
      <w:r>
        <w:t xml:space="preserve">[3] Choudhury, S. et al. Adaptive Informative Path Planning with Multimodal Sensing. 2020. 部分可观测条件下兼顾移动与感知资源的路径规划。 </w:t>
      </w:r>
      <w:r>
        <w:fldChar w:fldCharType="begin"/>
      </w:r>
      <w:r>
        <w:instrText xml:space="preserve"> HYPERLINK "https://arxiv.org/abs/2003.09746" \h </w:instrText>
      </w:r>
      <w:r>
        <w:fldChar w:fldCharType="separate"/>
      </w:r>
      <w:r>
        <w:rPr>
          <w:color w:val="2E74B5"/>
        </w:rPr>
        <w:t>查看原始来源</w:t>
      </w:r>
      <w:r>
        <w:rPr>
          <w:color w:val="2E74B5"/>
        </w:rPr>
        <w:fldChar w:fldCharType="end"/>
      </w:r>
    </w:p>
    <w:p w14:paraId="2278DCB3">
      <w:pPr>
        <w:pStyle w:val="166"/>
      </w:pPr>
      <w:r>
        <w:t xml:space="preserve">[4] Sutton, R. S., Precup, D., Singh, S. Between MDPs and Semi-MDPs: A Framework for Temporal Abstraction in Reinforcement Learning. 1999. 具有不等持续时间动作的建模依据。 </w:t>
      </w:r>
      <w:r>
        <w:fldChar w:fldCharType="begin"/>
      </w:r>
      <w:r>
        <w:instrText xml:space="preserve"> HYPERLINK "https://www-anw.cs.umass.edu/~barto/courses/cs687/Sutton-Precup-Singh-AIJ99.pdf" \h </w:instrText>
      </w:r>
      <w:r>
        <w:fldChar w:fldCharType="separate"/>
      </w:r>
      <w:r>
        <w:rPr>
          <w:color w:val="2E74B5"/>
        </w:rPr>
        <w:t>查看原始来源</w:t>
      </w:r>
      <w:r>
        <w:rPr>
          <w:color w:val="2E74B5"/>
        </w:rPr>
        <w:fldChar w:fldCharType="end"/>
      </w:r>
    </w:p>
    <w:p w14:paraId="5C2C46EB">
      <w:pPr>
        <w:pStyle w:val="166"/>
      </w:pPr>
      <w:r>
        <w:t xml:space="preserve">[5] Schulman, J. et al. Proximal Policy Optimization Algorithms. 2017. 本版在线策略学习的基线来源。 </w:t>
      </w:r>
      <w:r>
        <w:fldChar w:fldCharType="begin"/>
      </w:r>
      <w:r>
        <w:instrText xml:space="preserve"> HYPERLINK "https://arxiv.org/abs/1707.06347" \h </w:instrText>
      </w:r>
      <w:r>
        <w:fldChar w:fldCharType="separate"/>
      </w:r>
      <w:r>
        <w:rPr>
          <w:color w:val="2E74B5"/>
        </w:rPr>
        <w:t>查看原始来源</w:t>
      </w:r>
      <w:r>
        <w:rPr>
          <w:color w:val="2E74B5"/>
        </w:rPr>
        <w:fldChar w:fldCharType="end"/>
      </w:r>
    </w:p>
    <w:p w14:paraId="02BFE789">
      <w:pPr>
        <w:pStyle w:val="166"/>
      </w:pPr>
      <w:r>
        <w:t xml:space="preserve">[6] Chen, L. et al. Decision Transformer: Reinforcement Learning via Sequence Modeling. 2021. 回报条件序列策略的原始定义。 </w:t>
      </w:r>
      <w:r>
        <w:fldChar w:fldCharType="begin"/>
      </w:r>
      <w:r>
        <w:instrText xml:space="preserve"> HYPERLINK "https://arxiv.org/abs/2106.01345" \h </w:instrText>
      </w:r>
      <w:r>
        <w:fldChar w:fldCharType="separate"/>
      </w:r>
      <w:r>
        <w:rPr>
          <w:color w:val="2E74B5"/>
        </w:rPr>
        <w:t>查看原始来源</w:t>
      </w:r>
      <w:r>
        <w:rPr>
          <w:color w:val="2E74B5"/>
        </w:rPr>
        <w:fldChar w:fldCharType="end"/>
      </w:r>
    </w:p>
    <w:p w14:paraId="6CE9AC29">
      <w:pPr>
        <w:pStyle w:val="166"/>
      </w:pPr>
      <w:r>
        <w:t xml:space="preserve">[7] Paster, K., McIlraith, S., Ba, J. You Can't Count on Luck: Why Decision Transformers and RvS Fail in Stochastic Environments. 2022. 随机性与高回报示范筛选的局限。 </w:t>
      </w:r>
      <w:r>
        <w:fldChar w:fldCharType="begin"/>
      </w:r>
      <w:r>
        <w:instrText xml:space="preserve"> HYPERLINK "https://arxiv.org/abs/2205.15967" \h </w:instrText>
      </w:r>
      <w:r>
        <w:fldChar w:fldCharType="separate"/>
      </w:r>
      <w:r>
        <w:rPr>
          <w:color w:val="2E74B5"/>
        </w:rPr>
        <w:t>查看原始来源</w:t>
      </w:r>
      <w:r>
        <w:rPr>
          <w:color w:val="2E74B5"/>
        </w:rPr>
        <w:fldChar w:fldCharType="end"/>
      </w:r>
    </w:p>
    <w:p w14:paraId="4EA675E3">
      <w:pPr>
        <w:pStyle w:val="166"/>
      </w:pPr>
      <w:r>
        <w:t xml:space="preserve">[8] Eclipse SUMO Documentation: Randomness / TraCI. 仿真随机性、重复运行和交互接口。访问日期：2026年9月8日。 </w:t>
      </w:r>
      <w:r>
        <w:fldChar w:fldCharType="begin"/>
      </w:r>
      <w:r>
        <w:instrText xml:space="preserve"> HYPERLINK "https://sumo.dlr.de/docs/Simulation/Randomness.html" \h </w:instrText>
      </w:r>
      <w:r>
        <w:fldChar w:fldCharType="separate"/>
      </w:r>
      <w:r>
        <w:rPr>
          <w:color w:val="2E74B5"/>
        </w:rPr>
        <w:t>查看原始来源</w:t>
      </w:r>
      <w:r>
        <w:rPr>
          <w:color w:val="2E74B5"/>
        </w:rPr>
        <w:fldChar w:fldCharType="end"/>
      </w:r>
    </w:p>
    <w:p w14:paraId="1A06A00F">
      <w:pPr>
        <w:pStyle w:val="4"/>
      </w:pPr>
      <w:r>
        <w:t>方案版本说明</w:t>
      </w:r>
    </w:p>
    <w:p w14:paraId="7680A205">
      <w:pPr>
        <w:pStyle w:val="166"/>
      </w:pPr>
      <w:r>
        <w:t>V0.1 将外围返回纳入单次任务的合法路径与时间预算，采用单车研究边界，并提出以车道级排队估计为起点的三项研究内容。本文中的算法、参数和目标权重是当前建议；仅“场景与主体、外围返回的总体处理”已在对话中基本澄清。</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Noto Serif HK">
    <w:panose1 w:val="02020200000000000000"/>
    <w:charset w:val="88"/>
    <w:family w:val="auto"/>
    <w:pitch w:val="default"/>
    <w:sig w:usb0="20000083" w:usb1="2ADF3C10" w:usb2="00000016" w:usb3="00000000" w:csb0="60120107" w:csb1="00000000"/>
  </w:font>
  <w:font w:name="ＭＳ 明朝">
    <w:altName w:val="SimSun"/>
    <w:panose1 w:val="00000000000000000000"/>
    <w:charset w:val="86"/>
    <w:family w:val="auto"/>
    <w:pitch w:val="default"/>
    <w:sig w:usb0="00000000" w:usb1="00000000" w:usb2="00000000" w:usb3="00000000" w:csb0="00000000" w:csb1="00000000"/>
  </w:font>
  <w:font w:name="Noto Sans CJK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DBEA2">
    <w:pPr>
      <w:pStyle w:val="24"/>
    </w:pPr>
    <w:r>
      <w:t xml:space="preserve">第 </w:t>
    </w:r>
    <w:r>
      <w:fldChar w:fldCharType="begin"/>
    </w:r>
    <w:r>
      <w:instrText xml:space="preserve">PAGE</w:instrText>
    </w:r>
    <w:r>
      <w:fldChar w:fldCharType="separate"/>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478F">
    <w:pPr>
      <w:pStyle w:val="25"/>
    </w:pPr>
    <w:r>
      <w:t>单车主动感知研究方案  |  工作稿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tabs>
          <w:tab w:val="left" w:pos="540"/>
        </w:tabs>
        <w:spacing w:before="0" w:after="80" w:line="290" w:lineRule="auto"/>
        <w:ind w:left="540" w:hanging="28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540"/>
        </w:tabs>
        <w:spacing w:before="0" w:after="80" w:line="290" w:lineRule="auto"/>
        <w:ind w:left="540" w:hanging="28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747F1D"/>
    <w:rsid w:val="5C7F50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napToGrid w:val="0"/>
      <w:spacing w:before="0" w:after="160" w:line="320" w:lineRule="auto"/>
      <w:jc w:val="both"/>
    </w:pPr>
    <w:rPr>
      <w:rFonts w:ascii="Calibri" w:hAnsi="Calibri" w:eastAsia="Noto Sans CJK SC" w:cstheme="minorBidi"/>
      <w:color w:val="20252B"/>
      <w:sz w:val="22"/>
      <w:szCs w:val="22"/>
      <w:lang w:val="en-US" w:eastAsia="en-US" w:bidi="ar-SA"/>
    </w:rPr>
  </w:style>
  <w:style w:type="paragraph" w:styleId="3">
    <w:name w:val="heading 1"/>
    <w:basedOn w:val="1"/>
    <w:next w:val="1"/>
    <w:link w:val="138"/>
    <w:qFormat/>
    <w:uiPriority w:val="9"/>
    <w:pPr>
      <w:keepNext/>
      <w:keepLines/>
      <w:widowControl/>
      <w:snapToGrid w:val="0"/>
      <w:spacing w:before="360" w:after="200" w:line="300" w:lineRule="auto"/>
      <w:jc w:val="left"/>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widowControl/>
      <w:snapToGrid w:val="0"/>
      <w:spacing w:before="240" w:after="120" w:line="300" w:lineRule="auto"/>
      <w:jc w:val="left"/>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widowControl/>
      <w:snapToGrid w:val="0"/>
      <w:spacing w:before="160" w:after="80" w:line="300" w:lineRule="auto"/>
      <w:jc w:val="left"/>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widowControl/>
      <w:tabs>
        <w:tab w:val="center" w:pos="4680"/>
        <w:tab w:val="right" w:pos="9360"/>
      </w:tabs>
      <w:snapToGrid w:val="0"/>
      <w:spacing w:before="0" w:after="0" w:line="240" w:lineRule="auto"/>
      <w:jc w:val="right"/>
    </w:pPr>
    <w:rPr>
      <w:rFonts w:ascii="Calibri" w:hAnsi="Calibri" w:eastAsia="Noto Sans CJK SC"/>
      <w:color w:val="65717D"/>
      <w:sz w:val="16"/>
    </w:rPr>
  </w:style>
  <w:style w:type="paragraph" w:styleId="25">
    <w:name w:val="header"/>
    <w:basedOn w:val="1"/>
    <w:link w:val="135"/>
    <w:unhideWhenUsed/>
    <w:uiPriority w:val="99"/>
    <w:pPr>
      <w:widowControl/>
      <w:tabs>
        <w:tab w:val="center" w:pos="4680"/>
        <w:tab w:val="right" w:pos="9360"/>
      </w:tabs>
      <w:snapToGrid w:val="0"/>
      <w:spacing w:before="0" w:after="0" w:line="240" w:lineRule="auto"/>
      <w:jc w:val="left"/>
    </w:pPr>
    <w:rPr>
      <w:rFonts w:ascii="Calibri" w:hAnsi="Calibri" w:eastAsia="Noto Sans CJK SC"/>
      <w:color w:val="65717D"/>
      <w:sz w:val="16"/>
    </w:rPr>
  </w:style>
  <w:style w:type="paragraph" w:styleId="26">
    <w:name w:val="Subtitle"/>
    <w:basedOn w:val="1"/>
    <w:next w:val="1"/>
    <w:link w:val="142"/>
    <w:qFormat/>
    <w:uiPriority w:val="11"/>
    <w:pPr>
      <w:widowControl/>
      <w:snapToGrid w:val="0"/>
      <w:spacing w:before="0" w:after="200" w:line="300" w:lineRule="auto"/>
      <w:jc w:val="left"/>
    </w:pPr>
    <w:rPr>
      <w:rFonts w:asciiTheme="majorHAnsi" w:hAnsiTheme="majorHAnsi" w:eastAsiaTheme="majorEastAsia" w:cstheme="majorBidi"/>
      <w:iCs/>
      <w:color w:val="555555"/>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widowControl/>
      <w:snapToGrid w:val="0"/>
      <w:spacing w:before="0" w:after="160" w:line="300" w:lineRule="auto"/>
      <w:contextualSpacing/>
      <w:jc w:val="left"/>
    </w:pPr>
    <w:rPr>
      <w:rFonts w:asciiTheme="majorHAnsi" w:hAnsiTheme="majorHAnsi" w:eastAsiaTheme="majorEastAsia" w:cstheme="majorBidi"/>
      <w:b/>
      <w:color w:val="0B2545"/>
      <w:spacing w:val="5"/>
      <w:kern w:val="28"/>
      <w:sz w:val="4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etadata"/>
    <w:qFormat/>
    <w:uiPriority w:val="0"/>
    <w:pPr>
      <w:widowControl/>
      <w:snapToGrid w:val="0"/>
      <w:spacing w:before="0" w:after="60" w:line="270" w:lineRule="auto"/>
      <w:jc w:val="left"/>
    </w:pPr>
    <w:rPr>
      <w:rFonts w:ascii="Calibri" w:hAnsi="Calibri" w:eastAsia="Noto Sans CJK SC" w:cstheme="minorBidi"/>
      <w:color w:val="65717D"/>
      <w:sz w:val="19"/>
      <w:szCs w:val="22"/>
      <w:lang w:val="en-US" w:eastAsia="en-US" w:bidi="ar-SA"/>
    </w:rPr>
  </w:style>
  <w:style w:type="paragraph" w:customStyle="1" w:styleId="165">
    <w:name w:val="TableBody"/>
    <w:qFormat/>
    <w:uiPriority w:val="0"/>
    <w:pPr>
      <w:widowControl/>
      <w:snapToGrid w:val="0"/>
      <w:spacing w:before="0" w:after="60" w:line="280" w:lineRule="auto"/>
      <w:jc w:val="left"/>
    </w:pPr>
    <w:rPr>
      <w:rFonts w:ascii="Calibri" w:hAnsi="Calibri" w:eastAsia="Noto Sans CJK SC" w:cstheme="minorBidi"/>
      <w:color w:val="20252B"/>
      <w:sz w:val="19"/>
      <w:szCs w:val="22"/>
      <w:lang w:val="en-US" w:eastAsia="en-US" w:bidi="ar-SA"/>
    </w:rPr>
  </w:style>
  <w:style w:type="paragraph" w:customStyle="1" w:styleId="166">
    <w:name w:val="Sources"/>
    <w:qFormat/>
    <w:uiPriority w:val="0"/>
    <w:pPr>
      <w:widowControl/>
      <w:snapToGrid w:val="0"/>
      <w:spacing w:before="0" w:after="100" w:line="270" w:lineRule="auto"/>
      <w:jc w:val="left"/>
    </w:pPr>
    <w:rPr>
      <w:rFonts w:ascii="Calibri" w:hAnsi="Calibri" w:eastAsia="Noto Sans CJK SC" w:cstheme="minorBidi"/>
      <w:color w:val="45515D"/>
      <w:sz w:val="18"/>
      <w:szCs w:val="22"/>
      <w:lang w:val="en-US" w:eastAsia="en-US" w:bidi="ar-SA"/>
    </w:rPr>
  </w:style>
  <w:style w:type="paragraph" w:customStyle="1" w:styleId="167">
    <w:name w:val="Equation"/>
    <w:qFormat/>
    <w:uiPriority w:val="0"/>
    <w:pPr>
      <w:widowControl/>
      <w:snapToGrid w:val="0"/>
      <w:spacing w:before="60" w:after="140" w:line="290" w:lineRule="auto"/>
      <w:jc w:val="center"/>
    </w:pPr>
    <w:rPr>
      <w:rFonts w:ascii="Calibri" w:hAnsi="Calibri" w:eastAsia="Noto Sans CJK SC" w:cstheme="minorBidi"/>
      <w:color w:val="20252B"/>
      <w:sz w:val="22"/>
      <w:szCs w:val="22"/>
      <w:lang w:val="en-US" w:eastAsia="en-US" w:bidi="ar-SA"/>
    </w:rPr>
  </w:style>
  <w:style w:type="paragraph" w:customStyle="1" w:styleId="168">
    <w:name w:val="Lead"/>
    <w:qFormat/>
    <w:uiPriority w:val="0"/>
    <w:pPr>
      <w:widowControl/>
      <w:snapToGrid w:val="0"/>
      <w:spacing w:before="60" w:after="180" w:line="310" w:lineRule="auto"/>
      <w:jc w:val="left"/>
    </w:pPr>
    <w:rPr>
      <w:rFonts w:ascii="Calibri" w:hAnsi="Calibri" w:eastAsia="Noto Sans CJK SC" w:cstheme="minorBidi"/>
      <w:b/>
      <w:color w:val="1F3A5F"/>
      <w:sz w:val="22"/>
      <w:szCs w:val="22"/>
      <w:lang w:val="en-US" w:eastAsia="en-US" w:bidi="ar-SA"/>
    </w:rPr>
  </w:style>
  <w:style w:type="paragraph" w:customStyle="1" w:styleId="169">
    <w:name w:val="TableCitation"/>
    <w:qFormat/>
    <w:uiPriority w:val="0"/>
    <w:pPr>
      <w:widowControl/>
      <w:snapToGrid w:val="0"/>
      <w:spacing w:before="80" w:after="80" w:line="270" w:lineRule="auto"/>
      <w:jc w:val="left"/>
    </w:pPr>
    <w:rPr>
      <w:rFonts w:ascii="Calibri" w:hAnsi="Calibri" w:eastAsia="Noto Sans CJK SC" w:cstheme="minorBidi"/>
      <w:color w:val="65717D"/>
      <w:sz w:val="18"/>
      <w:szCs w:val="22"/>
      <w:lang w:val="en-US" w:eastAsia="en-US" w:bidi="ar-SA"/>
    </w:rPr>
  </w:style>
  <w:style w:type="paragraph" w:customStyle="1" w:styleId="170">
    <w:name w:val="ResearchBullet"/>
    <w:qFormat/>
    <w:uiPriority w:val="0"/>
    <w:pPr>
      <w:widowControl/>
      <w:snapToGrid w:val="0"/>
      <w:spacing w:before="0" w:after="80" w:line="290" w:lineRule="auto"/>
      <w:ind w:left="540" w:hanging="280"/>
      <w:jc w:val="left"/>
    </w:pPr>
    <w:rPr>
      <w:rFonts w:ascii="Calibri" w:hAnsi="Calibri" w:eastAsia="Noto Sans CJK SC" w:cstheme="minorBidi"/>
      <w:color w:val="20252B"/>
      <w:sz w:val="22"/>
      <w:szCs w:val="22"/>
      <w:lang w:val="en-US" w:eastAsia="en-US" w:bidi="ar-SA"/>
    </w:rPr>
  </w:style>
  <w:style w:type="paragraph" w:customStyle="1" w:styleId="171">
    <w:name w:val="ResearchNumber"/>
    <w:qFormat/>
    <w:uiPriority w:val="0"/>
    <w:pPr>
      <w:widowControl/>
      <w:snapToGrid w:val="0"/>
      <w:spacing w:before="0" w:after="80" w:line="290" w:lineRule="auto"/>
      <w:ind w:left="540" w:hanging="280"/>
      <w:jc w:val="left"/>
    </w:pPr>
    <w:rPr>
      <w:rFonts w:ascii="Calibri" w:hAnsi="Calibri" w:eastAsia="Noto Sans CJK SC" w:cstheme="minorBidi"/>
      <w:color w:val="20252B"/>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1144</Words>
  <Characters>1156</Characters>
  <Lines>0</Lines>
  <Paragraphs>0</Paragraphs>
  <TotalTime>222</TotalTime>
  <ScaleCrop>false</ScaleCrop>
  <LinksUpToDate>false</LinksUpToDate>
  <CharactersWithSpaces>1160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Luka</dc:creator>
  <dc:description>generated by python-docx</dc:description>
  <cp:keywords>主动感知;交通状态估计;强化学习;Transformer;单探测车</cp:keywords>
  <cp:lastModifiedBy>Luka</cp:lastModifiedBy>
  <dcterms:modified xsi:type="dcterms:W3CDTF">2026-09-10T06:54:51Z</dcterms:modified>
  <dc:subject>研究内容、数学目标、训练设计与验证计划 V0.1</dc:subject>
  <dc:title>面向数据稀缺交叉口的交通状态估计与单车主动感知决策研究方案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eyJoZGlkIjoiMjk2ZjZlMGIwODk0YWI2YzEzYjViYWVhMThmMjIzNTEiLCJ1c2VySWQiOiI4NjU3Mjc3NTMifQ==</vt:lpwstr>
  </property>
  <property fmtid="{D5CDD505-2E9C-101B-9397-08002B2CF9AE}" pid="3" name="KSOProductBuildVer">
    <vt:lpwstr>2052-12.1.0.28043</vt:lpwstr>
  </property>
  <property fmtid="{D5CDD505-2E9C-101B-9397-08002B2CF9AE}" pid="4" name="ICV">
    <vt:lpwstr>7CF2B29883B54624AFDC4B04B327A704_13</vt:lpwstr>
  </property>
</Properties>
</file>