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37CB84">
      <w:pPr>
        <w:pStyle w:val="31"/>
      </w:pPr>
      <w:bookmarkStart w:id="0" w:name="_GoBack"/>
      <w:bookmarkEnd w:id="0"/>
      <w:r>
        <w:t>单探测车主动感知的强化学习框架设计</w:t>
      </w:r>
    </w:p>
    <w:p w14:paraId="7C24068A">
      <w:pPr>
        <w:pStyle w:val="3"/>
      </w:pPr>
      <w:r>
        <w:t>1 研究问题与决策过程</w:t>
      </w:r>
    </w:p>
    <w:p w14:paraId="2F8F74F0">
      <w:pPr>
        <w:ind w:firstLine="720" w:firstLineChars="0"/>
      </w:pPr>
      <w:r>
        <w:t>本研究面向固定感知信息不足的单个四进口交叉口，利用一辆主动探测车沿合法道路采集局部交通信息，并据此估计各目标进口车道的排队状态。研究问题是在有限探测时间内，如何根据已获得的信息与剩余预算，选择后续车道和转向，使整个目标路口的交通状态估计更加准确。</w:t>
      </w:r>
    </w:p>
    <w:p w14:paraId="4C60937E">
      <w:pPr>
        <w:ind w:firstLine="720" w:firstLineChars="0"/>
      </w:pPr>
      <w:r>
        <w:t>道路表示为车道级有向图 G=(V,E)。节点表示车道或必要的转向连接，边表示合法顺行、换道与转向关系，不再将道路等长划分为固定小格。自车位置由车道身份和沿车道的连续位置表示。目标估计区域与外围通行区域分开定义，驶出后绕行返回仍属于同一探测任务。</w:t>
      </w:r>
    </w:p>
    <w:p w14:paraId="725937B8">
      <w:pPr>
        <w:pStyle w:val="4"/>
      </w:pPr>
      <w:r>
        <w:t>1.1 建模为部分可观测马尔可夫决策过程</w:t>
      </w:r>
    </w:p>
    <w:p w14:paraId="7EE93995">
      <w:pPr>
        <w:pStyle w:val="166"/>
      </w:pPr>
      <m:oMath>
        <m:r>
          <m:rPr>
            <m:scr m:val="script"/>
          </m:rPr>
          <w:rPr>
            <w:rFonts w:ascii="Cambria Math" w:hAnsi="Cambria Math" w:eastAsia="Noto Sans CJK SC"/>
          </w:rPr>
          <m:t>P</m:t>
        </m:r>
        <m:r>
          <m:rPr/>
          <w:rPr>
            <w:rFonts w:ascii="Cambria Math" w:hAnsi="Cambria Math" w:eastAsia="Noto Sans CJK SC"/>
          </w:rPr>
          <m:t xml:space="preserve"> = (</m:t>
        </m:r>
        <m:r>
          <m:rPr>
            <m:scr m:val="script"/>
          </m:rPr>
          <w:rPr>
            <w:rFonts w:ascii="Cambria Math" w:hAnsi="Cambria Math" w:eastAsia="Noto Sans CJK SC"/>
          </w:rPr>
          <m:t>S</m:t>
        </m:r>
        <m:r>
          <m:rPr/>
          <w:rPr>
            <w:rFonts w:ascii="Cambria Math" w:hAnsi="Cambria Math" w:eastAsia="Noto Sans CJK SC"/>
          </w:rPr>
          <m:t xml:space="preserve">, </m:t>
        </m:r>
        <m:r>
          <m:rPr>
            <m:scr m:val="script"/>
          </m:rPr>
          <w:rPr>
            <w:rFonts w:ascii="Cambria Math" w:hAnsi="Cambria Math" w:eastAsia="Noto Sans CJK SC"/>
          </w:rPr>
          <m:t>A</m:t>
        </m:r>
        <m:r>
          <m:rPr/>
          <w:rPr>
            <w:rFonts w:ascii="Cambria Math" w:hAnsi="Cambria Math" w:eastAsia="Noto Sans CJK SC"/>
          </w:rPr>
          <m:t>, T, Ω, O, R, γ; B)</m:t>
        </m:r>
      </m:oMath>
      <w:r>
        <w:t xml:space="preserve">   (1)</w:t>
      </w:r>
    </w:p>
    <w:p w14:paraId="5CBAA7A9">
      <w:pPr>
        <w:ind w:firstLine="720" w:firstLineChars="0"/>
      </w:pPr>
      <w:r>
        <w:t>其中，</w:t>
      </w:r>
      <w:r>
        <w:rPr>
          <w:rFonts w:hint="default"/>
          <w:lang w:val="en-US"/>
        </w:rPr>
        <w:t>S</w:t>
      </w:r>
      <w:r>
        <w:t>为完整状态空间，</w:t>
      </w:r>
      <w:r>
        <w:rPr>
          <w:rFonts w:hint="default"/>
          <w:lang w:val="en-US"/>
        </w:rPr>
        <w:t>A</w:t>
      </w:r>
      <w:r>
        <w:t>为动作空间，T为状态转移规律，Ω为观测空间，O为观测生成规律，R为奖励规则，γ为折扣因子，B为任务时间预算。车辆只能获得局部观测与状态估计，无法直接知道全路口真值，因此采用 POMDP 表述。</w:t>
      </w:r>
    </w:p>
    <w:p w14:paraId="12427344">
      <w:pPr>
        <w:pStyle w:val="166"/>
      </w:pPr>
      <m:oMath>
        <m:sSub>
          <m:sSubPr/>
          <m:e>
            <m:r>
              <m:rPr/>
              <w:rPr>
                <w:rFonts w:ascii="Cambria Math" w:hAnsi="Cambria Math" w:eastAsia="Noto Sans CJK SC"/>
              </w:rPr>
              <m:t>S</m:t>
            </m:r>
          </m:e>
          <m:sub>
            <m:r>
              <m:rPr/>
              <w:rPr>
                <w:rFonts w:ascii="Cambria Math" w:hAnsi="Cambria Math" w:eastAsia="Noto Sans CJK SC"/>
              </w:rPr>
              <m:t>k</m:t>
            </m:r>
          </m:sub>
        </m:sSub>
        <m:r>
          <m:rPr/>
          <w:rPr>
            <w:rFonts w:ascii="Cambria Math" w:hAnsi="Cambria Math" w:eastAsia="Noto Sans CJK SC"/>
          </w:rPr>
          <m:t xml:space="preserve"> = (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X</m:t>
            </m:r>
          </m:e>
          <m:sub>
            <m:r>
              <m:rPr/>
              <w:rPr>
                <w:rFonts w:ascii="Cambria Math" w:hAnsi="Cambria Math" w:eastAsia="Noto Sans CJK SC"/>
              </w:rPr>
              <m:t>k</m:t>
            </m:r>
          </m:sub>
        </m:sSub>
        <m:r>
          <m:rPr/>
          <w:rPr>
            <w:rFonts w:ascii="Cambria Math" w:hAnsi="Cambria Math" w:eastAsia="Noto Sans CJK SC"/>
          </w:rPr>
          <m:t xml:space="preserve">, 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ξ</m:t>
            </m:r>
          </m:e>
          <m:sub>
            <m:r>
              <m:rPr/>
              <w:rPr>
                <w:rFonts w:ascii="Cambria Math" w:hAnsi="Cambria Math" w:eastAsia="Noto Sans CJK SC"/>
              </w:rPr>
              <m:t>k</m:t>
            </m:r>
          </m:sub>
        </m:sSub>
        <m:r>
          <m:rPr/>
          <w:rPr>
            <w:rFonts w:ascii="Cambria Math" w:hAnsi="Cambria Math" w:eastAsia="Noto Sans CJK SC"/>
          </w:rPr>
          <m:t xml:space="preserve">, 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c</m:t>
            </m:r>
          </m:e>
          <m:sub>
            <m:r>
              <m:rPr/>
              <w:rPr>
                <w:rFonts w:ascii="Cambria Math" w:hAnsi="Cambria Math" w:eastAsia="Noto Sans CJK SC"/>
              </w:rPr>
              <m:t>k</m:t>
            </m:r>
          </m:sub>
        </m:sSub>
        <m:r>
          <m:rPr/>
          <w:rPr>
            <w:rFonts w:ascii="Cambria Math" w:hAnsi="Cambria Math" w:eastAsia="Noto Sans CJK SC"/>
          </w:rPr>
          <m:t>, B−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t</m:t>
            </m:r>
          </m:e>
          <m:sub>
            <m:r>
              <m:rPr/>
              <w:rPr>
                <w:rFonts w:ascii="Cambria Math" w:hAnsi="Cambria Math" w:eastAsia="Noto Sans CJK SC"/>
              </w:rPr>
              <m:t>k</m:t>
            </m:r>
          </m:sub>
        </m:sSub>
        <m:r>
          <m:rPr/>
          <w:rPr>
            <w:rFonts w:ascii="Cambria Math" w:hAnsi="Cambria Math" w:eastAsia="Noto Sans CJK SC"/>
          </w:rPr>
          <m:t>)</m:t>
        </m:r>
      </m:oMath>
      <w:r>
        <w:t xml:space="preserve">   (2)</w:t>
      </w:r>
    </w:p>
    <w:p w14:paraId="27F85DE6">
      <w:pPr>
        <w:ind w:firstLine="720" w:firstLineChars="0"/>
      </w:pPr>
      <w:r>
        <w:t>X 包含车辆、信号及必要的交通需求隐变量；ξ 包含观测记忆和估计器内部状态；c 包含驾驶任务及必要的执行内部状态。补足影响下一时刻演化的变量后，作马尔可夫建模假设：下一状态的条件分布由当前完整状态与动作确定，而不是要求车道编号本身满足马尔可夫性。</w:t>
      </w:r>
    </w:p>
    <w:p w14:paraId="26B5835D">
      <w:pPr>
        <w:pStyle w:val="4"/>
      </w:pPr>
      <w:r>
        <w:t>1.2 可见信息与完整状态的边界</w:t>
      </w:r>
    </w:p>
    <w:p w14:paraId="70CA9D7F">
      <w:pPr>
        <w:ind w:firstLine="720" w:firstLineChars="0"/>
      </w:pPr>
      <w:r>
        <w:t>策略仅使用当前观测 o 及可用历史 H，不能读取隐藏的真实排队长度。首版用显式估计器压缩观测历史，并以当前结构化输入近似决策信息；该有限摘要不被声称为严格充分统计量。必要时再加入策略记忆。[1] 本研究输出是可重复使用的探测策略，单次路线随观测和交通变化而调整。</w:t>
      </w:r>
    </w:p>
    <w:p w14:paraId="2EFB3D17">
      <w:pPr>
        <w:pStyle w:val="3"/>
        <w:pageBreakBefore/>
      </w:pPr>
      <w:r>
        <w:t>2 状态观测设计：自车、预算与执行任务</w:t>
      </w:r>
    </w:p>
    <w:p w14:paraId="41D9A744">
      <w:pPr>
        <w:ind w:firstLine="720" w:firstLineChars="0"/>
      </w:pPr>
      <w:r>
        <w:t>本文将“环境完整状态”记为 S，将“策略实际输入”记为 o。下文的状态设计主要指后者。给定当前已知道路图 G，推荐输入由自车信息、车道信息、预算、执行任务和动作掩码构成。</w:t>
      </w:r>
    </w:p>
    <w:p w14:paraId="1B3587AD">
      <w:pPr>
        <w:pStyle w:val="166"/>
      </w:pPr>
      <m:oMath>
        <m:sSub>
          <m:sSubPr/>
          <m:e>
            <m:r>
              <m:rPr/>
              <w:rPr>
                <w:rFonts w:ascii="Cambria Math" w:hAnsi="Cambria Math" w:eastAsia="Noto Sans CJK SC"/>
              </w:rPr>
              <m:t>o</m:t>
            </m:r>
          </m:e>
          <m:sub>
            <m:r>
              <m:rPr/>
              <w:rPr>
                <w:rFonts w:ascii="Cambria Math" w:hAnsi="Cambria Math" w:eastAsia="Noto Sans CJK SC"/>
              </w:rPr>
              <m:t>k</m:t>
            </m:r>
          </m:sub>
        </m:sSub>
        <m:r>
          <m:rPr/>
          <w:rPr>
            <w:rFonts w:ascii="Cambria Math" w:hAnsi="Cambria Math" w:eastAsia="Noto Sans CJK SC"/>
          </w:rPr>
          <m:t xml:space="preserve"> = (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e</m:t>
            </m:r>
          </m:e>
          <m:sub>
            <m:r>
              <m:rPr/>
              <w:rPr>
                <w:rFonts w:ascii="Cambria Math" w:hAnsi="Cambria Math" w:eastAsia="Noto Sans CJK SC"/>
              </w:rPr>
              <m:t>k</m:t>
            </m:r>
          </m:sub>
        </m:sSub>
        <m:r>
          <m:rPr/>
          <w:rPr>
            <w:rFonts w:ascii="Cambria Math" w:hAnsi="Cambria Math" w:eastAsia="Noto Sans CJK SC"/>
          </w:rPr>
          <m:t xml:space="preserve">, 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Q</m:t>
            </m:r>
          </m:e>
          <m:sub>
            <m:r>
              <m:rPr/>
              <w:rPr>
                <w:rFonts w:ascii="Cambria Math" w:hAnsi="Cambria Math" w:eastAsia="Noto Sans CJK SC"/>
              </w:rPr>
              <m:t>k</m:t>
            </m:r>
          </m:sub>
        </m:sSub>
        <m:r>
          <m:rPr/>
          <w:rPr>
            <w:rFonts w:ascii="Cambria Math" w:hAnsi="Cambria Math" w:eastAsia="Noto Sans CJK SC"/>
          </w:rPr>
          <m:t xml:space="preserve">, 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d</m:t>
            </m:r>
          </m:e>
          <m:sub>
            <m:r>
              <m:rPr/>
              <w:rPr>
                <w:rFonts w:ascii="Cambria Math" w:hAnsi="Cambria Math" w:eastAsia="Noto Sans CJK SC"/>
              </w:rPr>
              <m:t>k</m:t>
            </m:r>
          </m:sub>
        </m:sSub>
        <m:r>
          <m:rPr/>
          <w:rPr>
            <w:rFonts w:ascii="Cambria Math" w:hAnsi="Cambria Math" w:eastAsia="Noto Sans CJK SC"/>
          </w:rPr>
          <m:t xml:space="preserve">, </m:t>
        </m:r>
        <m:sSubSup>
          <m:sSubSupPr/>
          <m:e>
            <m:r>
              <m:rPr/>
              <w:rPr>
                <w:rFonts w:ascii="Cambria Math" w:hAnsi="Cambria Math" w:eastAsia="Noto Sans CJK SC"/>
              </w:rPr>
              <m:t>c</m:t>
            </m:r>
          </m:e>
          <m:sub>
            <m:r>
              <m:rPr/>
              <w:rPr>
                <w:rFonts w:ascii="Cambria Math" w:hAnsi="Cambria Math" w:eastAsia="Noto Sans CJK SC"/>
              </w:rPr>
              <m:t>k</m:t>
            </m:r>
          </m:sub>
          <m:sup>
            <m:r>
              <m:rPr/>
              <w:rPr>
                <w:rFonts w:ascii="Cambria Math" w:hAnsi="Cambria Math" w:eastAsia="Noto Sans CJK SC"/>
              </w:rPr>
              <m:t>obs</m:t>
            </m:r>
          </m:sup>
        </m:sSubSup>
        <m:r>
          <m:rPr/>
          <w:rPr>
            <w:rFonts w:ascii="Cambria Math" w:hAnsi="Cambria Math" w:eastAsia="Noto Sans CJK SC"/>
          </w:rPr>
          <m:t xml:space="preserve">, 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m</m:t>
            </m:r>
          </m:e>
          <m:sub>
            <m:r>
              <m:rPr/>
              <w:rPr>
                <w:rFonts w:ascii="Cambria Math" w:hAnsi="Cambria Math" w:eastAsia="Noto Sans CJK SC"/>
              </w:rPr>
              <m:t>k</m:t>
            </m:r>
          </m:sub>
        </m:sSub>
        <m:r>
          <m:rPr/>
          <w:rPr>
            <w:rFonts w:ascii="Cambria Math" w:hAnsi="Cambria Math" w:eastAsia="Noto Sans CJK SC"/>
          </w:rPr>
          <m:t>)</m:t>
        </m:r>
      </m:oMath>
      <w:r>
        <w:t xml:space="preserve">   (3)</w:t>
      </w:r>
    </w:p>
    <w:p w14:paraId="5405ABFB">
      <w:pPr>
        <w:ind w:firstLine="720" w:firstLineChars="0"/>
      </w:pPr>
      <w:r>
        <w:t>式中，执行任务只提供可获得的外部读数 c⁽obs⁾，不等于式（2）中的全部内部状态。Q 为下一页定义的目标车道信息矩阵。首版采用固定路网，G 作为已知条件；无需每一步重新输入同一张完整邻接矩阵。</w:t>
      </w:r>
    </w:p>
    <w:p w14:paraId="01FE0065">
      <w:pPr>
        <w:pStyle w:val="15"/>
        <w:jc w:val="center"/>
        <w:rPr>
          <w:rFonts w:hint="eastAsia" w:ascii="SimHei" w:hAnsi="SimHei" w:eastAsia="SimHei" w:cs="SimHei"/>
          <w:b w:val="0"/>
          <w:bCs/>
          <w:color w:val="auto"/>
        </w:rPr>
      </w:pPr>
      <w:r>
        <w:rPr>
          <w:rFonts w:hint="eastAsia" w:ascii="SimHei" w:hAnsi="SimHei" w:eastAsia="SimHei" w:cs="SimHei"/>
          <w:b w:val="0"/>
          <w:bCs/>
          <w:color w:val="auto"/>
        </w:rPr>
        <w:t>表 1  策略输入字段及含义</w:t>
      </w:r>
    </w:p>
    <w:tbl>
      <w:tblPr>
        <w:tblStyle w:val="32"/>
        <w:tblW w:w="9360" w:type="dxa"/>
        <w:tblInd w:w="120" w:type="dxa"/>
        <w:tblBorders>
          <w:top w:val="single" w:color="CFD8E2" w:sz="4" w:space="0"/>
          <w:left w:val="single" w:color="CFD8E2" w:sz="4" w:space="0"/>
          <w:bottom w:val="single" w:color="CFD8E2" w:sz="4" w:space="0"/>
          <w:right w:val="single" w:color="CFD8E2" w:sz="4" w:space="0"/>
          <w:insideH w:val="single" w:color="CFD8E2" w:sz="4" w:space="0"/>
          <w:insideV w:val="single" w:color="CFD8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0"/>
        <w:gridCol w:w="3980"/>
        <w:gridCol w:w="3680"/>
      </w:tblGrid>
      <w:tr w14:paraId="7E9ED2F9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70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  <w:tl2br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D8417">
            <w:pPr>
              <w:pStyle w:val="165"/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  <w:t>信息组</w:t>
            </w:r>
          </w:p>
        </w:tc>
        <w:tc>
          <w:tcPr>
            <w:tcW w:w="398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B866DC">
            <w:pPr>
              <w:pStyle w:val="165"/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  <w:t>首版具体字段</w:t>
            </w:r>
          </w:p>
        </w:tc>
        <w:tc>
          <w:tcPr>
            <w:tcW w:w="3680" w:type="dxa"/>
            <w:tcBorders>
              <w:top w:val="single" w:color="000000" w:sz="12" w:space="0"/>
              <w:left w:val="nil"/>
              <w:bottom w:val="single" w:color="000000" w:sz="4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357A5">
            <w:pPr>
              <w:pStyle w:val="165"/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  <w:t>用途与类型</w:t>
            </w:r>
          </w:p>
        </w:tc>
      </w:tr>
      <w:tr w14:paraId="4084AC69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86D1B">
            <w:pPr>
              <w:pStyle w:val="165"/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  <w:t>自车 e</w:t>
            </w:r>
          </w:p>
        </w:tc>
        <w:tc>
          <w:tcPr>
            <w:tcW w:w="39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7CAEE">
            <w:pPr>
              <w:pStyle w:val="165"/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  <w:t>车道或连接编号；沿车道位置 s；速度 v；加速度 a；航向 sinθ、cosθ</w:t>
            </w:r>
          </w:p>
        </w:tc>
        <w:tc>
          <w:tcPr>
            <w:tcW w:w="3680" w:type="dxa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91C81B">
            <w:pPr>
              <w:pStyle w:val="165"/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  <w:t>编号为类别；其余为连续数值。区分相同车道内的位置和运动差异。</w:t>
            </w:r>
          </w:p>
        </w:tc>
      </w:tr>
      <w:tr w14:paraId="791C154A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F24EB">
            <w:pPr>
              <w:pStyle w:val="165"/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  <w:t>车道信息 Q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ABBB">
            <w:pPr>
              <w:pStyle w:val="165"/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  <w:t>各目标车道的排队估计、区间、有效性、最近观测覆盖与年龄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A165">
            <w:pPr>
              <w:pStyle w:val="165"/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  <w:t>按固定车道顺序排列；每条车道 7 项，详见表 2。</w:t>
            </w:r>
          </w:p>
        </w:tc>
      </w:tr>
      <w:tr w14:paraId="4E22C71B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DEBFC">
            <w:pPr>
              <w:pStyle w:val="165"/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  <w:t>预算 d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1101D">
            <w:pPr>
              <w:pStyle w:val="165"/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  <w:t>剩余时间 B−t；总预算 B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83E47">
            <w:pPr>
              <w:pStyle w:val="165"/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  <w:t>连续数值，单位秒；区分可用探测时长。</w:t>
            </w:r>
          </w:p>
        </w:tc>
      </w:tr>
      <w:tr w14:paraId="2607009F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251D">
            <w:pPr>
              <w:pStyle w:val="165"/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  <w:t>执行任务 c⁽obs⁾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20C78">
            <w:pPr>
              <w:pStyle w:val="165"/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  <w:t>当前模式；承诺目标车道与转向连接；目标片段剩余距离；已执行时间；可重规划标记</w:t>
            </w:r>
          </w:p>
        </w:tc>
        <w:tc>
          <w:tcPr>
            <w:tcW w:w="36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B47F">
            <w:pPr>
              <w:pStyle w:val="165"/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  <w:t>模式和目标为类别，距离与时间为数值，标记为布尔量。</w:t>
            </w:r>
          </w:p>
        </w:tc>
      </w:tr>
      <w:tr w14:paraId="290A71C0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70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C961F">
            <w:pPr>
              <w:pStyle w:val="165"/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  <w:t>动作掩码 m</w:t>
            </w:r>
          </w:p>
        </w:tc>
        <w:tc>
          <w:tcPr>
            <w:tcW w:w="39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10F6">
            <w:pPr>
              <w:pStyle w:val="165"/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  <w:t>六个动作当前是否允许提交</w:t>
            </w:r>
          </w:p>
        </w:tc>
        <w:tc>
          <w:tcPr>
            <w:tcW w:w="3680" w:type="dxa"/>
            <w:tcBorders>
              <w:top w:val="nil"/>
              <w:left w:val="nil"/>
              <w:bottom w:val="single" w:color="000000" w:sz="12" w:space="0"/>
              <w:right w:val="nil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3241B">
            <w:pPr>
              <w:pStyle w:val="165"/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</w:pPr>
            <w:r>
              <w:rPr>
                <w:rFonts w:hint="default" w:ascii="Times New Roman" w:hAnsi="Times New Roman" w:eastAsia="Microsoft YaHei" w:cs="Times New Roman"/>
                <w:b w:val="0"/>
                <w:color w:val="000000"/>
              </w:rPr>
              <w:t>6 维布尔向量；约束请求选择，不保证未来必然执行成功。</w:t>
            </w:r>
          </w:p>
        </w:tc>
      </w:tr>
    </w:tbl>
    <w:p w14:paraId="02694291">
      <w:pPr>
        <w:pStyle w:val="4"/>
      </w:pPr>
      <w:r>
        <w:t>2.1 为什么车道不变时仍然有新状态</w:t>
      </w:r>
    </w:p>
    <w:p w14:paraId="365ED949">
      <w:pPr>
        <w:ind w:firstLine="720" w:firstLineChars="0"/>
      </w:pPr>
      <w:r>
        <w:t>例如连续两秒均位于车道 A，但沿车道位置从 80 米变为 86 米，剩余预算减少，传感器产生新观测，Q 随之更新。因此策略输入已经变化。红灯等待时即使位置不变，交通估计、信息年龄、任务进度和预算也可能变化；状态更新不以跨越车道边界为条件。</w:t>
      </w:r>
    </w:p>
    <w:p w14:paraId="380ACBEF">
      <w:pPr>
        <w:pStyle w:val="4"/>
      </w:pPr>
      <w:r>
        <w:t>2.2 输入来源与数值处理</w:t>
      </w:r>
    </w:p>
    <w:p w14:paraId="05FDB32E">
      <w:pPr>
        <w:ind w:firstLine="720" w:firstLineChars="0"/>
      </w:pPr>
      <w:r>
        <w:t>位置与运动量来自自车测量，执行进度来自驾驶执行器，预算来自任务管理，Q 来自允许的局部观测及估计结果。类别采用类别编码，长度、速度和时间按固定物理尺度归一化。首版不默认提供全域信号相位或外围拥堵；增加这些字段时必须声明其在线信息来源。</w:t>
      </w:r>
    </w:p>
    <w:p w14:paraId="40625983">
      <w:pPr>
        <w:pStyle w:val="3"/>
        <w:pageBreakBefore/>
      </w:pPr>
      <w:r>
        <w:t>3 状态观测设计：无网格的车道信息表示</w:t>
      </w:r>
    </w:p>
    <w:p w14:paraId="1024C5C9">
      <w:pPr>
        <w:ind w:firstLine="720" w:firstLineChars="0"/>
      </w:pPr>
      <w:r>
        <w:t>设共有 M 条目标进口车道。每条车道输出一行信息，以区分“估计是什么”和“观测依据是否充分”。车道内部的原始车辆位置、可见范围与采集时间仍保留给估计器，不需要先映射到固定小格。</w:t>
      </w:r>
    </w:p>
    <w:p w14:paraId="0BAAC42F">
      <w:pPr>
        <w:pStyle w:val="166"/>
      </w:pPr>
      <m:oMath>
        <m:sSub>
          <m:sSubPr/>
          <m:e>
            <m:r>
              <m:rPr/>
              <w:rPr>
                <w:rFonts w:ascii="Cambria Math" w:hAnsi="Cambria Math" w:eastAsia="Noto Sans CJK SC"/>
              </w:rPr>
              <m:t>q</m:t>
            </m:r>
          </m:e>
          <m:sub>
            <m:r>
              <m:rPr/>
              <w:rPr>
                <w:rFonts w:ascii="Cambria Math" w:hAnsi="Cambria Math" w:eastAsia="Noto Sans CJK SC"/>
              </w:rPr>
              <m:t>ℓ,k</m:t>
            </m:r>
          </m:sub>
        </m:sSub>
        <m:r>
          <m:rPr/>
          <w:rPr>
            <w:rFonts w:ascii="Cambria Math" w:hAnsi="Cambria Math" w:eastAsia="Noto Sans CJK SC"/>
          </w:rPr>
          <m:t xml:space="preserve"> = (</m:t>
        </m:r>
        <m:acc>
          <m:accPr/>
          <m:e>
            <m:sSub>
              <m:sSubPr/>
              <m:e>
                <m:r>
                  <m:rPr/>
                  <w:rPr>
                    <w:rFonts w:ascii="Cambria Math" w:hAnsi="Cambria Math" w:eastAsia="Noto Sans CJK SC"/>
                  </w:rPr>
                  <m:t>L</m:t>
                </m:r>
              </m:e>
              <m:sub>
                <m:r>
                  <m:rPr/>
                  <w:rPr>
                    <w:rFonts w:ascii="Cambria Math" w:hAnsi="Cambria Math" w:eastAsia="Noto Sans CJK SC"/>
                  </w:rPr>
                  <m:t>ℓ,k</m:t>
                </m:r>
              </m:sub>
            </m:sSub>
          </m:e>
        </m:acc>
        <m:r>
          <m:rPr/>
          <w:rPr>
            <w:rFonts w:ascii="Cambria Math" w:hAnsi="Cambria Math" w:eastAsia="Noto Sans CJK SC"/>
          </w:rPr>
          <m:t xml:space="preserve">, 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l</m:t>
            </m:r>
          </m:e>
          <m:sub>
            <m:r>
              <m:rPr/>
              <w:rPr>
                <w:rFonts w:ascii="Cambria Math" w:hAnsi="Cambria Math" w:eastAsia="Noto Sans CJK SC"/>
              </w:rPr>
              <m:t>ℓ,k</m:t>
            </m:r>
          </m:sub>
        </m:sSub>
        <m:r>
          <m:rPr/>
          <w:rPr>
            <w:rFonts w:ascii="Cambria Math" w:hAnsi="Cambria Math" w:eastAsia="Noto Sans CJK SC"/>
          </w:rPr>
          <m:t xml:space="preserve">, 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u</m:t>
            </m:r>
          </m:e>
          <m:sub>
            <m:r>
              <m:rPr/>
              <w:rPr>
                <w:rFonts w:ascii="Cambria Math" w:hAnsi="Cambria Math" w:eastAsia="Noto Sans CJK SC"/>
              </w:rPr>
              <m:t>ℓ,k</m:t>
            </m:r>
          </m:sub>
        </m:sSub>
        <m:r>
          <m:rPr/>
          <w:rPr>
            <w:rFonts w:ascii="Cambria Math" w:hAnsi="Cambria Math" w:eastAsia="Noto Sans CJK SC"/>
          </w:rPr>
          <m:t xml:space="preserve">, 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v</m:t>
            </m:r>
          </m:e>
          <m:sub>
            <m:r>
              <m:rPr/>
              <w:rPr>
                <w:rFonts w:ascii="Cambria Math" w:hAnsi="Cambria Math" w:eastAsia="Noto Sans CJK SC"/>
              </w:rPr>
              <m:t>ℓ,k</m:t>
            </m:r>
          </m:sub>
        </m:sSub>
        <m:r>
          <m:rPr/>
          <w:rPr>
            <w:rFonts w:ascii="Cambria Math" w:hAnsi="Cambria Math" w:eastAsia="Noto Sans CJK SC"/>
          </w:rPr>
          <m:t xml:space="preserve">, 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ρ</m:t>
            </m:r>
          </m:e>
          <m:sub>
            <m:r>
              <m:rPr/>
              <w:rPr>
                <w:rFonts w:ascii="Cambria Math" w:hAnsi="Cambria Math" w:eastAsia="Noto Sans CJK SC"/>
              </w:rPr>
              <m:t>ℓ,k</m:t>
            </m:r>
          </m:sub>
        </m:sSub>
        <m:r>
          <m:rPr/>
          <w:rPr>
            <w:rFonts w:ascii="Cambria Math" w:hAnsi="Cambria Math" w:eastAsia="Noto Sans CJK SC"/>
          </w:rPr>
          <m:t xml:space="preserve">, 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τ</m:t>
            </m:r>
          </m:e>
          <m:sub>
            <m:r>
              <m:rPr/>
              <w:rPr>
                <w:rFonts w:ascii="Cambria Math" w:hAnsi="Cambria Math" w:eastAsia="Noto Sans CJK SC"/>
              </w:rPr>
              <m:t>ℓ,k</m:t>
            </m:r>
          </m:sub>
        </m:sSub>
        <m:r>
          <m:rPr/>
          <w:rPr>
            <w:rFonts w:ascii="Cambria Math" w:hAnsi="Cambria Math" w:eastAsia="Noto Sans CJK SC"/>
          </w:rPr>
          <m:t xml:space="preserve">, 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h</m:t>
            </m:r>
          </m:e>
          <m:sub>
            <m:r>
              <m:rPr/>
              <w:rPr>
                <w:rFonts w:ascii="Cambria Math" w:hAnsi="Cambria Math" w:eastAsia="Noto Sans CJK SC"/>
              </w:rPr>
              <m:t>ℓ,k</m:t>
            </m:r>
          </m:sub>
        </m:sSub>
        <m:r>
          <m:rPr/>
          <w:rPr>
            <w:rFonts w:ascii="Cambria Math" w:hAnsi="Cambria Math" w:eastAsia="Noto Sans CJK SC"/>
          </w:rPr>
          <m:t>)</m:t>
        </m:r>
      </m:oMath>
      <w:r>
        <w:t xml:space="preserve">   (4)</w:t>
      </w:r>
    </w:p>
    <w:p w14:paraId="697FD08A">
      <w:pPr>
        <w:pStyle w:val="166"/>
      </w:pPr>
      <m:oMath>
        <m:sSub>
          <m:sSubPr/>
          <m:e>
            <m:r>
              <m:rPr/>
              <w:rPr>
                <w:rFonts w:ascii="Cambria Math" w:hAnsi="Cambria Math" w:eastAsia="Noto Sans CJK SC"/>
              </w:rPr>
              <m:t>Q</m:t>
            </m:r>
          </m:e>
          <m:sub>
            <m:r>
              <m:rPr/>
              <w:rPr>
                <w:rFonts w:ascii="Cambria Math" w:hAnsi="Cambria Math" w:eastAsia="Noto Sans CJK SC"/>
              </w:rPr>
              <m:t>k</m:t>
            </m:r>
          </m:sub>
        </m:sSub>
        <m:r>
          <m:rPr/>
          <w:rPr>
            <w:rFonts w:ascii="Cambria Math" w:hAnsi="Cambria Math" w:eastAsia="Noto Sans CJK SC"/>
          </w:rPr>
          <m:t xml:space="preserve"> = [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q</m:t>
            </m:r>
          </m:e>
          <m:sub>
            <m:r>
              <m:rPr/>
              <w:rPr>
                <w:rFonts w:ascii="Cambria Math" w:hAnsi="Cambria Math" w:eastAsia="Noto Sans CJK SC"/>
              </w:rPr>
              <m:t>1,k</m:t>
            </m:r>
          </m:sub>
        </m:sSub>
        <m:r>
          <m:rPr/>
          <w:rPr>
            <w:rFonts w:ascii="Cambria Math" w:hAnsi="Cambria Math" w:eastAsia="Noto Sans CJK SC"/>
          </w:rPr>
          <m:t xml:space="preserve">; … ; 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q</m:t>
            </m:r>
          </m:e>
          <m:sub>
            <m:r>
              <m:rPr/>
              <w:rPr>
                <w:rFonts w:ascii="Cambria Math" w:hAnsi="Cambria Math" w:eastAsia="Noto Sans CJK SC"/>
              </w:rPr>
              <m:t>M,k</m:t>
            </m:r>
          </m:sub>
        </m:sSub>
        <m:r>
          <m:rPr/>
          <w:rPr>
            <w:rFonts w:ascii="Cambria Math" w:hAnsi="Cambria Math" w:eastAsia="Noto Sans CJK SC"/>
          </w:rPr>
          <m:t xml:space="preserve">] ∈ </m:t>
        </m:r>
        <m:sSup>
          <m:sSupPr/>
          <m:e>
            <m:r>
              <m:rPr/>
              <w:rPr>
                <w:rFonts w:ascii="Cambria Math" w:hAnsi="Cambria Math" w:eastAsia="Noto Sans CJK SC"/>
              </w:rPr>
              <m:t>ℝ</m:t>
            </m:r>
          </m:e>
          <m:sup>
            <m:r>
              <m:rPr/>
              <w:rPr>
                <w:rFonts w:ascii="Cambria Math" w:hAnsi="Cambria Math" w:eastAsia="Noto Sans CJK SC"/>
              </w:rPr>
              <m:t>M×7</m:t>
            </m:r>
          </m:sup>
        </m:sSup>
      </m:oMath>
      <w:r>
        <w:t xml:space="preserve">   (5)</w:t>
      </w:r>
    </w:p>
    <w:p w14:paraId="64100E7E">
      <w:pPr>
        <w:pStyle w:val="15"/>
      </w:pPr>
      <w:r>
        <w:t>表 2  每条目标车道的 7 个字段</w:t>
      </w:r>
    </w:p>
    <w:tbl>
      <w:tblPr>
        <w:tblStyle w:val="32"/>
        <w:tblW w:w="9360" w:type="dxa"/>
        <w:tblInd w:w="120" w:type="dxa"/>
        <w:tblBorders>
          <w:top w:val="single" w:color="CFD8E2" w:sz="4" w:space="0"/>
          <w:left w:val="single" w:color="CFD8E2" w:sz="4" w:space="0"/>
          <w:bottom w:val="single" w:color="CFD8E2" w:sz="4" w:space="0"/>
          <w:right w:val="single" w:color="CFD8E2" w:sz="4" w:space="0"/>
          <w:insideH w:val="single" w:color="CFD8E2" w:sz="4" w:space="0"/>
          <w:insideV w:val="single" w:color="CFD8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0"/>
        <w:gridCol w:w="3920"/>
        <w:gridCol w:w="3800"/>
      </w:tblGrid>
      <w:tr w14:paraId="0965787D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164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1A910">
            <w:pPr>
              <w:pStyle w:val="165"/>
            </w:pPr>
            <w:r>
              <w:rPr>
                <w:b/>
              </w:rPr>
              <w:t>字段</w:t>
            </w:r>
          </w:p>
        </w:tc>
        <w:tc>
          <w:tcPr>
            <w:tcW w:w="392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FD646">
            <w:pPr>
              <w:pStyle w:val="165"/>
            </w:pPr>
            <w:r>
              <w:rPr>
                <w:b/>
              </w:rPr>
              <w:t>具体定义</w:t>
            </w:r>
          </w:p>
        </w:tc>
        <w:tc>
          <w:tcPr>
            <w:tcW w:w="38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F822">
            <w:pPr>
              <w:pStyle w:val="165"/>
            </w:pPr>
            <w:r>
              <w:rPr>
                <w:b/>
              </w:rPr>
              <w:t>解释边界</w:t>
            </w:r>
          </w:p>
        </w:tc>
      </w:tr>
      <w:tr w14:paraId="41794F97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B9032">
            <w:pPr>
              <w:pStyle w:val="165"/>
            </w:pPr>
            <w:r>
              <w:t>排队估计 L̂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2AD4A">
            <w:pPr>
              <w:pStyle w:val="165"/>
            </w:pPr>
            <w:r>
              <w:t>当前目标时刻的排队长度预测，单位米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DFD40">
            <w:pPr>
              <w:pStyle w:val="165"/>
            </w:pPr>
            <w:r>
              <w:t>由局部信息推断，不是真实队列输入。</w:t>
            </w:r>
          </w:p>
        </w:tc>
      </w:tr>
      <w:tr w14:paraId="2EC04584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EC1C8">
            <w:pPr>
              <w:pStyle w:val="165"/>
            </w:pPr>
            <w:r>
              <w:t>区间下界 l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80CBC">
            <w:pPr>
              <w:pStyle w:val="165"/>
            </w:pPr>
            <w:r>
              <w:t>当前队列预测区间的下界，单位米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0DDE">
            <w:pPr>
              <w:pStyle w:val="165"/>
            </w:pPr>
            <w:r>
              <w:t>建议采用 5% 分位数。</w:t>
            </w:r>
          </w:p>
        </w:tc>
      </w:tr>
      <w:tr w14:paraId="152F1537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3459D">
            <w:pPr>
              <w:pStyle w:val="165"/>
            </w:pPr>
            <w:r>
              <w:t>区间上界 u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D0C8F">
            <w:pPr>
              <w:pStyle w:val="165"/>
            </w:pPr>
            <w:r>
              <w:t>当前队列预测区间的上界，单位米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5429">
            <w:pPr>
              <w:pStyle w:val="165"/>
            </w:pPr>
            <w:r>
              <w:t>建议采用 95% 分位数；名义 90% 区间需校准。</w:t>
            </w:r>
          </w:p>
        </w:tc>
      </w:tr>
      <w:tr w14:paraId="229FD3D7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C3F2">
            <w:pPr>
              <w:pStyle w:val="165"/>
            </w:pPr>
            <w:r>
              <w:t>估计有效 v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E2696">
            <w:pPr>
              <w:pStyle w:val="165"/>
            </w:pPr>
            <w:r>
              <w:t>估计器是否正常产生可用输出，0/1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BDF2A">
            <w:pPr>
              <w:pStyle w:val="165"/>
            </w:pPr>
            <w:r>
              <w:t>有效不代表预测正确。</w:t>
            </w:r>
          </w:p>
        </w:tc>
      </w:tr>
      <w:tr w14:paraId="16044373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0C935">
            <w:pPr>
              <w:pStyle w:val="165"/>
            </w:pPr>
            <w:r>
              <w:t>最近覆盖 ρ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7B014">
            <w:pPr>
              <w:pStyle w:val="165"/>
            </w:pPr>
            <w:r>
              <w:t>最近一次有效直接观测的可见车道纵向长度／监测长度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5297F">
            <w:pPr>
              <w:pStyle w:val="165"/>
            </w:pPr>
            <w:r>
              <w:t>取值 0—1；是该次观测覆盖，不是累计恢复率。</w:t>
            </w:r>
          </w:p>
        </w:tc>
      </w:tr>
      <w:tr w14:paraId="6CDCEA34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4B529">
            <w:pPr>
              <w:pStyle w:val="165"/>
            </w:pPr>
            <w:r>
              <w:t>信息年龄 τ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D814">
            <w:pPr>
              <w:pStyle w:val="165"/>
            </w:pPr>
            <w:r>
              <w:t>当前时刻减去上述直接观测的采集时刻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FBF1B">
            <w:pPr>
              <w:pStyle w:val="165"/>
            </w:pPr>
            <w:r>
              <w:t>单位秒；估计器仅作预测时不得重置为零。</w:t>
            </w:r>
          </w:p>
        </w:tc>
      </w:tr>
      <w:tr w14:paraId="2F55A982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164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14C80">
            <w:pPr>
              <w:pStyle w:val="165"/>
            </w:pPr>
            <w:r>
              <w:t>观测记录 h</w:t>
            </w:r>
          </w:p>
        </w:tc>
        <w:tc>
          <w:tcPr>
            <w:tcW w:w="392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99B28">
            <w:pPr>
              <w:pStyle w:val="165"/>
            </w:pPr>
            <w:r>
              <w:t>是否曾有该车道的有效直接观测，0/1</w:t>
            </w:r>
          </w:p>
        </w:tc>
        <w:tc>
          <w:tcPr>
            <w:tcW w:w="38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0691">
            <w:pPr>
              <w:pStyle w:val="165"/>
            </w:pPr>
            <w:r>
              <w:t>无记录时 ρ、τ 用约定占位值，结合 h 解释。</w:t>
            </w:r>
          </w:p>
        </w:tc>
      </w:tr>
    </w:tbl>
    <w:p w14:paraId="02CB570A">
      <w:pPr>
        <w:pStyle w:val="4"/>
      </w:pPr>
      <w:r>
        <w:t>3.1 一个明确的输入实例</w:t>
      </w:r>
    </w:p>
    <w:p w14:paraId="22FC6DD8">
      <w:pPr>
        <w:ind w:firstLine="720" w:firstLineChars="0"/>
      </w:pPr>
      <w:r>
        <w:t>q=(65,40,95,1,0.35,12,1) 表示：当前队列估计为 65 米，预测区间为 40—95 米，输出有效；最近一次直接观察发生在 12 秒前，覆盖了监测车道的 35%。它不表示当前真实队列一定落在区间内，也不表示整条车道已经被观测。8 条目标车道对应 8×7 矩阵，与道路长短无须建立网格数量关系。</w:t>
      </w:r>
    </w:p>
    <w:p w14:paraId="05161ED7">
      <w:pPr>
        <w:pStyle w:val="4"/>
      </w:pPr>
      <w:r>
        <w:t>3.2 表示能力与待定接口</w:t>
      </w:r>
    </w:p>
    <w:p w14:paraId="1FF2B582">
      <w:pPr>
        <w:ind w:firstLine="720" w:firstLineChars="0"/>
      </w:pPr>
      <w:r>
        <w:t>本方案用车道级摘要换取简洁性，可能丢失同一车道内部不同观测位置的差异；不预设该摘要足以支撑所有精细选位。若差异影响决策，可加入带位置的观测片段，不必恢复固定网格。区间生成与校准方法尚待确定，冻结估计器后再评价策略；不以当前真实误差反算“预测区间”。</w:t>
      </w:r>
    </w:p>
    <w:p w14:paraId="69A37737">
      <w:pPr>
        <w:pStyle w:val="3"/>
        <w:pageBreakBefore/>
      </w:pPr>
      <w:r>
        <w:t>4 动作设计：离散请求与持续执行</w:t>
      </w:r>
    </w:p>
    <w:p w14:paraId="74235212">
      <w:pPr>
        <w:ind w:firstLine="720" w:firstLineChars="0"/>
      </w:pPr>
      <w:r>
        <w:t xml:space="preserve">首版动作是有限类别的驾驶请求，定义 </w:t>
      </w:r>
      <w:r>
        <w:rPr>
          <w:rFonts w:hint="default"/>
          <w:lang w:val="en-US"/>
        </w:rPr>
        <w:t>A</w:t>
      </w:r>
      <w:r>
        <w:t>={0,1,2,3,4,5}。策略负责选择后续车道或路口分支，底层驾驶负责跟车、制动、红灯等待和运动执行。首版固定正常纵向驾驶规则，不将油门、转角或连续速度目标作为学习动作。</w:t>
      </w:r>
    </w:p>
    <w:p w14:paraId="24D3126B">
      <w:pPr>
        <w:pStyle w:val="15"/>
      </w:pPr>
      <w:r>
        <w:t>表 3  六动作字典</w:t>
      </w:r>
    </w:p>
    <w:tbl>
      <w:tblPr>
        <w:tblStyle w:val="32"/>
        <w:tblW w:w="9360" w:type="dxa"/>
        <w:tblInd w:w="120" w:type="dxa"/>
        <w:tblBorders>
          <w:top w:val="single" w:color="CFD8E2" w:sz="4" w:space="0"/>
          <w:left w:val="single" w:color="CFD8E2" w:sz="4" w:space="0"/>
          <w:bottom w:val="single" w:color="CFD8E2" w:sz="4" w:space="0"/>
          <w:right w:val="single" w:color="CFD8E2" w:sz="4" w:space="0"/>
          <w:insideH w:val="single" w:color="CFD8E2" w:sz="4" w:space="0"/>
          <w:insideV w:val="single" w:color="CFD8E2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0"/>
        <w:gridCol w:w="3460"/>
        <w:gridCol w:w="5250"/>
      </w:tblGrid>
      <w:tr w14:paraId="27D26D61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</w:trPr>
        <w:tc>
          <w:tcPr>
            <w:tcW w:w="6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02BA">
            <w:pPr>
              <w:pStyle w:val="165"/>
            </w:pPr>
            <w:r>
              <w:rPr>
                <w:b/>
              </w:rPr>
              <w:t>编号</w:t>
            </w:r>
          </w:p>
        </w:tc>
        <w:tc>
          <w:tcPr>
            <w:tcW w:w="34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4C013">
            <w:pPr>
              <w:pStyle w:val="165"/>
            </w:pPr>
            <w:r>
              <w:rPr>
                <w:b/>
              </w:rPr>
              <w:t>动作含义</w:t>
            </w:r>
          </w:p>
        </w:tc>
        <w:tc>
          <w:tcPr>
            <w:tcW w:w="52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F6471">
            <w:pPr>
              <w:pStyle w:val="165"/>
            </w:pPr>
            <w:r>
              <w:rPr>
                <w:b/>
              </w:rPr>
              <w:t>允许条件</w:t>
            </w:r>
          </w:p>
        </w:tc>
      </w:tr>
      <w:tr w14:paraId="20F4E024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DC94">
            <w:pPr>
              <w:pStyle w:val="165"/>
            </w:pPr>
            <w:r>
              <w:t>0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42C6">
            <w:pPr>
              <w:pStyle w:val="165"/>
            </w:pPr>
            <w:r>
              <w:t>继续当前合法任务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7965C">
            <w:pPr>
              <w:pStyle w:val="165"/>
            </w:pPr>
            <w:r>
              <w:t>始终保留后备语义；没有任务时执行预设合法路线。</w:t>
            </w:r>
          </w:p>
        </w:tc>
      </w:tr>
      <w:tr w14:paraId="058C6707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46779">
            <w:pPr>
              <w:pStyle w:val="165"/>
            </w:pPr>
            <w:r>
              <w:t>1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0F9CA">
            <w:pPr>
              <w:pStyle w:val="165"/>
            </w:pPr>
            <w:r>
              <w:t>请求当前左邻合法车道片段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8719F">
            <w:pPr>
              <w:pStyle w:val="165"/>
            </w:pPr>
            <w:r>
              <w:t>存在合法左邻车道，且与已承诺分支及执行阶段兼容。</w:t>
            </w:r>
          </w:p>
        </w:tc>
      </w:tr>
      <w:tr w14:paraId="3FAD4BE5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04112">
            <w:pPr>
              <w:pStyle w:val="165"/>
            </w:pPr>
            <w:r>
              <w:t>2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1068C">
            <w:pPr>
              <w:pStyle w:val="165"/>
            </w:pPr>
            <w:r>
              <w:t>请求当前右邻合法车道片段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41021">
            <w:pPr>
              <w:pStyle w:val="165"/>
            </w:pPr>
            <w:r>
              <w:t>存在合法右邻车道，且与已承诺分支及执行阶段兼容。</w:t>
            </w:r>
          </w:p>
        </w:tc>
      </w:tr>
      <w:tr w14:paraId="37087518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6FFF6">
            <w:pPr>
              <w:pStyle w:val="165"/>
            </w:pPr>
            <w:r>
              <w:t>3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5DE93">
            <w:pPr>
              <w:pStyle w:val="165"/>
            </w:pPr>
            <w:r>
              <w:t>选择下一决策路口的左转连接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87911">
            <w:pPr>
              <w:pStyle w:val="165"/>
            </w:pPr>
            <w:r>
              <w:t>处于提前规划区域，存在允许且可执行的左转连接。</w:t>
            </w:r>
          </w:p>
        </w:tc>
      </w:tr>
      <w:tr w14:paraId="6CC099CF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68859">
            <w:pPr>
              <w:pStyle w:val="165"/>
            </w:pPr>
            <w:r>
              <w:t>4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EADBD1">
            <w:pPr>
              <w:pStyle w:val="165"/>
            </w:pPr>
            <w:r>
              <w:t>选择下一决策路口的直行连接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DC689">
            <w:pPr>
              <w:pStyle w:val="165"/>
            </w:pPr>
            <w:r>
              <w:t>处于提前规划区域，存在允许且可执行的直行连接。</w:t>
            </w:r>
          </w:p>
        </w:tc>
      </w:tr>
      <w:tr w14:paraId="755F7FD9">
        <w:tblPrEx>
          <w:tblBorders>
            <w:top w:val="single" w:color="CFD8E2" w:sz="4" w:space="0"/>
            <w:left w:val="single" w:color="CFD8E2" w:sz="4" w:space="0"/>
            <w:bottom w:val="single" w:color="CFD8E2" w:sz="4" w:space="0"/>
            <w:right w:val="single" w:color="CFD8E2" w:sz="4" w:space="0"/>
            <w:insideH w:val="single" w:color="CFD8E2" w:sz="4" w:space="0"/>
            <w:insideV w:val="single" w:color="CFD8E2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6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69CCF">
            <w:pPr>
              <w:pStyle w:val="165"/>
            </w:pPr>
            <w:r>
              <w:t>5</w:t>
            </w:r>
          </w:p>
        </w:tc>
        <w:tc>
          <w:tcPr>
            <w:tcW w:w="34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6C5C2">
            <w:pPr>
              <w:pStyle w:val="165"/>
            </w:pPr>
            <w:r>
              <w:t>选择下一决策路口的右转连接</w:t>
            </w:r>
          </w:p>
        </w:tc>
        <w:tc>
          <w:tcPr>
            <w:tcW w:w="525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DD4A9">
            <w:pPr>
              <w:pStyle w:val="165"/>
            </w:pPr>
            <w:r>
              <w:t>处于提前规划区域，存在允许且可执行的右转连接。</w:t>
            </w:r>
          </w:p>
        </w:tc>
      </w:tr>
    </w:tbl>
    <w:p w14:paraId="5506C28A">
      <w:pPr>
        <w:pStyle w:val="4"/>
      </w:pPr>
      <w:r>
        <w:t>4.1 合法性与任务承诺</w:t>
      </w:r>
    </w:p>
    <w:p w14:paraId="19766847">
      <w:pPr>
        <w:ind w:firstLine="720" w:firstLineChars="0"/>
      </w:pPr>
      <w:r>
        <w:t>策略只能在 m(a)=1 的动作中选择，并对允许动作重新归一化概率。[2] 掩码依据已知地图、自车、任务阶段及可获得的局部信息构造。请求发出时锁定目标车道与连接；同方向多连接采用预先声明的确定规则。转向可以包含必要的提前选道，单独换道必须服从已承诺分支。</w:t>
      </w:r>
    </w:p>
    <w:p w14:paraId="3142F2DC">
      <w:pPr>
        <w:pStyle w:val="4"/>
      </w:pPr>
      <w:r>
        <w:t>4.2 同一任务跨越多个决策步</w:t>
      </w:r>
    </w:p>
    <w:p w14:paraId="399B3B14">
      <w:pPr>
        <w:ind w:firstLine="720" w:firstLineChars="0"/>
      </w:pPr>
      <w:r>
        <w:t>设决策间隔暂取 1 秒，某次右转实际需要 5 秒。第 0 秒提交“选择右转”；随后在不可改向阶段提交“继续当前任务”，执行器持续完成该右转。每秒重新获取观测和奖励，任务完成后开放新的选择。1 秒是调试起点，5 秒仅是解释例子，不是规定的右转时长。</w:t>
      </w:r>
    </w:p>
    <w:p w14:paraId="7C59F8DE">
      <w:r>
        <w:t>这一区分可写为：a 是本步请求，c 是当前执行任务。任务持续不变时，自车连续位置、Q 和预算仍然更新。只有“继续”可选的时段没有直接动作选择余地，但其奖励仍进入此前选择的长期回报。车辆运动连续，并不使六类请求变为连续动作空间。</w:t>
      </w:r>
    </w:p>
    <w:p w14:paraId="40E5438A">
      <w:pPr>
        <w:pStyle w:val="4"/>
      </w:pPr>
      <w:r>
        <w:t>4.3 外围返回与安全边界</w:t>
      </w:r>
    </w:p>
    <w:p w14:paraId="55592A5A">
      <w:pPr>
        <w:ind w:firstLine="720" w:firstLineChars="0"/>
      </w:pPr>
      <w:r>
        <w:t>驶出目标区后，在外围合法分支继续使用同一动作字典，逐次形成返回路线；绕行耗时和目标交通演化正常累计。执行器可等待、完成或安全中止请求，训练归因保留原请求身份。交通规则与安全依靠可行行为和驾驶约束落实，不能只靠奖励惩罚保证。</w:t>
      </w:r>
    </w:p>
    <w:p w14:paraId="6F241878">
      <w:pPr>
        <w:pStyle w:val="3"/>
        <w:pageBreakBefore/>
      </w:pPr>
      <w:r>
        <w:t>5 奖励设计：面向全路口的估计质量</w:t>
      </w:r>
    </w:p>
    <w:p w14:paraId="62534103">
      <w:pPr>
        <w:pStyle w:val="4"/>
      </w:pPr>
      <w:r>
        <w:t>5.1 目标变量与误差</w:t>
      </w:r>
    </w:p>
    <w:p w14:paraId="73753F6F">
      <w:pPr>
        <w:ind w:firstLine="720" w:firstLineChars="0"/>
      </w:pPr>
      <w:r>
        <w:t>首版估计 M 条目标进口车道的米制排队长度。建议将目标限定为各车道监测长度 Dℓ 内的队列长度，并单独标记超出范围的情形。排队拟按停止线附近相连低速车列定义；低速阈值、相邻车辆间隔及起始连接条件须统一确定，不能混用停车车辆数与队尾距离。</w:t>
      </w:r>
    </w:p>
    <w:p w14:paraId="5255E75A">
      <w:pPr>
        <w:pStyle w:val="166"/>
      </w:pPr>
      <m:oMath>
        <m:r>
          <m:rPr/>
          <w:rPr>
            <w:rFonts w:ascii="Cambria Math" w:hAnsi="Cambria Math" w:eastAsia="Noto Sans CJK SC"/>
          </w:rPr>
          <m:t xml:space="preserve">E(t) = </m:t>
        </m:r>
        <m:f>
          <m:fPr/>
          <m:num>
            <m:r>
              <m:rPr/>
              <w:rPr>
                <w:rFonts w:ascii="Cambria Math" w:hAnsi="Cambria Math" w:eastAsia="Noto Sans CJK SC"/>
              </w:rPr>
              <m:t>1</m:t>
            </m:r>
          </m:num>
          <m:den>
            <m:r>
              <m:rPr/>
              <w:rPr>
                <w:rFonts w:ascii="Cambria Math" w:hAnsi="Cambria Math" w:eastAsia="Noto Sans CJK SC"/>
              </w:rPr>
              <m:t>M</m:t>
            </m:r>
          </m:den>
        </m:f>
        <m:nary>
          <m:naryPr>
            <m:chr m:val="∑"/>
            <m:limLoc m:val="undOvr"/>
          </m:naryPr>
          <m:sub>
            <m:r>
              <m:rPr/>
              <w:rPr>
                <w:rFonts w:ascii="Cambria Math" w:hAnsi="Cambria Math" w:eastAsia="Noto Sans CJK SC"/>
              </w:rPr>
              <m:t>ℓ=1</m:t>
            </m:r>
          </m:sub>
          <m:sup>
            <m:r>
              <m:rPr/>
              <w:rPr>
                <w:rFonts w:ascii="Cambria Math" w:hAnsi="Cambria Math" w:eastAsia="Noto Sans CJK SC"/>
              </w:rPr>
              <m:t>M</m:t>
            </m:r>
          </m:sup>
          <m:e>
            <m:r>
              <m:rPr/>
              <w:rPr>
                <w:rFonts w:ascii="Cambria Math" w:hAnsi="Cambria Math" w:eastAsia="Noto Sans CJK SC"/>
              </w:rPr>
              <m:t>|</m:t>
            </m:r>
            <m:acc>
              <m:accPr/>
              <m:e>
                <m:sSub>
                  <m:sSubPr/>
                  <m:e>
                    <m:r>
                      <m:rPr/>
                      <w:rPr>
                        <w:rFonts w:ascii="Cambria Math" w:hAnsi="Cambria Math" w:eastAsia="Noto Sans CJK SC"/>
                      </w:rPr>
                      <m:t>L</m:t>
                    </m:r>
                  </m:e>
                  <m:sub>
                    <m:r>
                      <m:rPr/>
                      <w:rPr>
                        <w:rFonts w:ascii="Cambria Math" w:hAnsi="Cambria Math" w:eastAsia="Noto Sans CJK SC"/>
                      </w:rPr>
                      <m:t>ℓ</m:t>
                    </m:r>
                  </m:sub>
                </m:sSub>
              </m:e>
            </m:acc>
            <m:r>
              <m:rPr/>
              <w:rPr>
                <w:rFonts w:ascii="Cambria Math" w:hAnsi="Cambria Math" w:eastAsia="Noto Sans CJK SC"/>
              </w:rPr>
              <m:t>(t)−</m:t>
            </m:r>
            <m:sSub>
              <m:sSubPr/>
              <m:e>
                <m:r>
                  <m:rPr/>
                  <w:rPr>
                    <w:rFonts w:ascii="Cambria Math" w:hAnsi="Cambria Math" w:eastAsia="Noto Sans CJK SC"/>
                  </w:rPr>
                  <m:t>L</m:t>
                </m:r>
              </m:e>
              <m:sub>
                <m:r>
                  <m:rPr/>
                  <w:rPr>
                    <w:rFonts w:ascii="Cambria Math" w:hAnsi="Cambria Math" w:eastAsia="Noto Sans CJK SC"/>
                  </w:rPr>
                  <m:t>ℓ</m:t>
                </m:r>
              </m:sub>
            </m:sSub>
            <m:r>
              <m:rPr/>
              <w:rPr>
                <w:rFonts w:ascii="Cambria Math" w:hAnsi="Cambria Math" w:eastAsia="Noto Sans CJK SC"/>
              </w:rPr>
              <m:t>(t)|</m:t>
            </m:r>
          </m:e>
        </m:nary>
        <m:r>
          <m:rPr/>
          <w:rPr>
            <w:rFonts w:ascii="Cambria Math" w:hAnsi="Cambria Math" w:eastAsia="Noto Sans CJK SC"/>
          </w:rPr>
          <m:t xml:space="preserve">,    e(t) = </m:t>
        </m:r>
        <m:f>
          <m:fPr/>
          <m:num>
            <m:r>
              <m:rPr/>
              <w:rPr>
                <w:rFonts w:ascii="Cambria Math" w:hAnsi="Cambria Math" w:eastAsia="Noto Sans CJK SC"/>
              </w:rPr>
              <m:t>E(t)</m:t>
            </m:r>
          </m:num>
          <m:den>
            <m:sSub>
              <m:sSubPr/>
              <m:e>
                <m:r>
                  <m:rPr/>
                  <w:rPr>
                    <w:rFonts w:ascii="Cambria Math" w:hAnsi="Cambria Math" w:eastAsia="Noto Sans CJK SC"/>
                  </w:rPr>
                  <m:t>L</m:t>
                </m:r>
              </m:e>
              <m:sub>
                <m:r>
                  <m:rPr/>
                  <w:rPr>
                    <w:rFonts w:ascii="Cambria Math" w:hAnsi="Cambria Math" w:eastAsia="Noto Sans CJK SC"/>
                  </w:rPr>
                  <m:t>ref</m:t>
                </m:r>
              </m:sub>
            </m:sSub>
          </m:den>
        </m:f>
      </m:oMath>
      <w:r>
        <w:t xml:space="preserve">   (6)</w:t>
      </w:r>
    </w:p>
    <w:p w14:paraId="1AFD98F9">
      <w:pPr>
        <w:ind w:firstLine="720" w:firstLineChars="0"/>
      </w:pPr>
      <w:r>
        <w:t>L̂ 是估计值，L 是同一时刻的评价真值；E 的单位为米，e 是按固定参考长度归一化后的误差。评价范围始终包含所有目标车道，不能因未观测或预测失效而删除难估计车道。无效输出按预定最差误差计分。</w:t>
      </w:r>
    </w:p>
    <w:p w14:paraId="52E58FFC">
      <w:pPr>
        <w:pStyle w:val="4"/>
      </w:pPr>
      <w:r>
        <w:t>5.2 建议主线：过程跟踪与终点质量</w:t>
      </w:r>
    </w:p>
    <w:p w14:paraId="32DEF237">
      <w:pPr>
        <w:pStyle w:val="166"/>
      </w:pPr>
      <m:oMath>
        <m:r>
          <m:rPr/>
          <w:rPr>
            <w:rFonts w:ascii="Cambria Math" w:hAnsi="Cambria Math" w:eastAsia="Noto Sans CJK SC"/>
          </w:rPr>
          <m:t xml:space="preserve">J(π) = </m:t>
        </m:r>
        <m:sSub>
          <m:sSubPr/>
          <m:e>
            <m:r>
              <m:rPr>
                <m:scr m:val="double-struck"/>
              </m:rPr>
              <w:rPr>
                <w:rFonts w:ascii="Cambria Math" w:hAnsi="Cambria Math" w:eastAsia="Noto Sans CJK SC"/>
              </w:rPr>
              <m:t>E</m:t>
            </m:r>
          </m:e>
          <m:sub>
            <m:r>
              <m:rPr/>
              <w:rPr>
                <w:rFonts w:ascii="Cambria Math" w:hAnsi="Cambria Math" w:eastAsia="Noto Sans CJK SC"/>
              </w:rPr>
              <m:t>π</m:t>
            </m:r>
          </m:sub>
        </m:sSub>
        <m:r>
          <m:rPr/>
          <w:rPr>
            <w:rFonts w:ascii="Cambria Math" w:hAnsi="Cambria Math" w:eastAsia="Noto Sans CJK SC"/>
          </w:rPr>
          <m:t>[</m:t>
        </m:r>
        <m:f>
          <m:fPr/>
          <m:num>
            <m:r>
              <m:rPr/>
              <w:rPr>
                <w:rFonts w:ascii="Cambria Math" w:hAnsi="Cambria Math" w:eastAsia="Noto Sans CJK SC"/>
              </w:rPr>
              <m:t>α</m:t>
            </m:r>
          </m:num>
          <m:den>
            <m:r>
              <m:rPr/>
              <w:rPr>
                <w:rFonts w:ascii="Cambria Math" w:hAnsi="Cambria Math" w:eastAsia="Noto Sans CJK SC"/>
              </w:rPr>
              <m:t>B</m:t>
            </m:r>
          </m:den>
        </m:f>
        <m:nary>
          <m:naryPr>
            <m:limLoc m:val="undOvr"/>
          </m:naryPr>
          <m:sub>
            <m:r>
              <m:rPr/>
              <w:rPr>
                <w:rFonts w:ascii="Cambria Math" w:hAnsi="Cambria Math" w:eastAsia="Noto Sans CJK SC"/>
              </w:rPr>
              <m:t>0</m:t>
            </m:r>
          </m:sub>
          <m:sup>
            <m:r>
              <m:rPr/>
              <w:rPr>
                <w:rFonts w:ascii="Cambria Math" w:hAnsi="Cambria Math" w:eastAsia="Noto Sans CJK SC"/>
              </w:rPr>
              <m:t>B</m:t>
            </m:r>
          </m:sup>
          <m:e>
            <m:r>
              <m:rPr/>
              <w:rPr>
                <w:rFonts w:ascii="Cambria Math" w:hAnsi="Cambria Math" w:eastAsia="Noto Sans CJK SC"/>
              </w:rPr>
              <m:t>e(t)dt</m:t>
            </m:r>
          </m:e>
        </m:nary>
        <m:r>
          <m:rPr/>
          <w:rPr>
            <w:rFonts w:ascii="Cambria Math" w:hAnsi="Cambria Math" w:eastAsia="Noto Sans CJK SC"/>
          </w:rPr>
          <m:t xml:space="preserve"> + βe(B)]</m:t>
        </m:r>
      </m:oMath>
      <w:r>
        <w:t xml:space="preserve">   (7)</w:t>
      </w:r>
    </w:p>
    <w:p w14:paraId="2C11F763">
      <w:pPr>
        <w:ind w:firstLine="720" w:firstLineChars="0"/>
      </w:pPr>
      <w:r>
        <w:t>建议基线令 α=1，β=1 作为可讨论的起点，表示同时关注预算内平均误差和结束时误差；权重尚未验证。若应用只要求结束时的状态，则改为 α=0、β=1。两种设置是不同研究目标，不将额外过程奖励解释为不改变目标的纯训练技巧。</w:t>
      </w:r>
    </w:p>
    <w:p w14:paraId="612C7142">
      <w:pPr>
        <w:pStyle w:val="166"/>
      </w:pPr>
      <m:oMath>
        <m:sSub>
          <m:sSubPr/>
          <m:e>
            <m:r>
              <m:rPr/>
              <w:rPr>
                <w:rFonts w:ascii="Cambria Math" w:hAnsi="Cambria Math" w:eastAsia="Noto Sans CJK SC"/>
              </w:rPr>
              <m:t>r</m:t>
            </m:r>
          </m:e>
          <m:sub>
            <m:r>
              <m:rPr/>
              <w:rPr>
                <w:rFonts w:ascii="Cambria Math" w:hAnsi="Cambria Math" w:eastAsia="Noto Sans CJK SC"/>
              </w:rPr>
              <m:t>k</m:t>
            </m:r>
          </m:sub>
        </m:sSub>
        <m:r>
          <m:rPr/>
          <w:rPr>
            <w:rFonts w:ascii="Cambria Math" w:hAnsi="Cambria Math" w:eastAsia="Noto Sans CJK SC"/>
          </w:rPr>
          <m:t xml:space="preserve"> = −</m:t>
        </m:r>
        <m:f>
          <m:fPr/>
          <m:num>
            <m:r>
              <m:rPr/>
              <w:rPr>
                <w:rFonts w:ascii="Cambria Math" w:hAnsi="Cambria Math" w:eastAsia="Noto Sans CJK SC"/>
              </w:rPr>
              <m:t>αΔ</m:t>
            </m:r>
            <m:sSub>
              <m:sSubPr/>
              <m:e>
                <m:r>
                  <m:rPr/>
                  <w:rPr>
                    <w:rFonts w:ascii="Cambria Math" w:hAnsi="Cambria Math" w:eastAsia="Noto Sans CJK SC"/>
                  </w:rPr>
                  <m:t>T</m:t>
                </m:r>
              </m:e>
              <m:sub>
                <m:r>
                  <m:rPr/>
                  <w:rPr>
                    <w:rFonts w:ascii="Cambria Math" w:hAnsi="Cambria Math" w:eastAsia="Noto Sans CJK SC"/>
                  </w:rPr>
                  <m:t>k</m:t>
                </m:r>
              </m:sub>
            </m:sSub>
          </m:num>
          <m:den>
            <m:r>
              <m:rPr/>
              <w:rPr>
                <w:rFonts w:ascii="Cambria Math" w:hAnsi="Cambria Math" w:eastAsia="Noto Sans CJK SC"/>
              </w:rPr>
              <m:t>B</m:t>
            </m:r>
          </m:den>
        </m:f>
        <m:sSub>
          <m:sSubPr/>
          <m:e>
            <m:r>
              <m:rPr/>
              <w:rPr>
                <w:rFonts w:ascii="Cambria Math" w:hAnsi="Cambria Math" w:eastAsia="Noto Sans CJK SC"/>
              </w:rPr>
              <m:t>ē</m:t>
            </m:r>
          </m:e>
          <m:sub>
            <m:r>
              <m:rPr/>
              <w:rPr>
                <w:rFonts w:ascii="Cambria Math" w:hAnsi="Cambria Math" w:eastAsia="Noto Sans CJK SC"/>
              </w:rPr>
              <m:t>k</m:t>
            </m:r>
          </m:sub>
        </m:sSub>
        <m:r>
          <m:rPr/>
          <w:rPr>
            <w:rFonts w:ascii="Cambria Math" w:hAnsi="Cambria Math" w:eastAsia="Noto Sans CJK SC"/>
          </w:rPr>
          <m:t xml:space="preserve"> − </m:t>
        </m:r>
        <m:sSub>
          <m:sSubPr/>
          <m:e>
            <m:r>
              <m:rPr>
                <m:scr m:val="double-struck"/>
              </m:rPr>
              <w:rPr>
                <w:rFonts w:ascii="Cambria Math" w:hAnsi="Cambria Math" w:eastAsia="Noto Sans CJK SC"/>
              </w:rPr>
              <m:t>1</m:t>
            </m:r>
          </m:e>
          <m:sub>
            <m:r>
              <m:rPr/>
              <w:rPr>
                <w:rFonts w:ascii="Cambria Math" w:hAnsi="Cambria Math" w:eastAsia="Noto Sans CJK SC"/>
              </w:rPr>
              <m:t>k=K−1</m:t>
            </m:r>
          </m:sub>
        </m:sSub>
        <m:r>
          <m:rPr/>
          <w:rPr>
            <w:rFonts w:ascii="Cambria Math" w:hAnsi="Cambria Math" w:eastAsia="Noto Sans CJK SC"/>
          </w:rPr>
          <m:t>βe(B)</m:t>
        </m:r>
      </m:oMath>
      <w:r>
        <w:t xml:space="preserve">   (8)</w:t>
      </w:r>
    </w:p>
    <w:p w14:paraId="4702CC6F">
      <w:pPr>
        <w:ind w:firstLine="720" w:firstLineChars="0"/>
      </w:pPr>
      <w:r>
        <w:t>ΔT 是本步实际持续时间，ē 是该时段平均归一化误差，K 为正常完成回合的步数；最后一步仅追加一次终点项。取 γ=1 时，完整回合累计奖励的期望等于 −J；实际离散评价对应其时间积分近似。最终不足一整步时按实际时长结算。</w:t>
      </w:r>
    </w:p>
    <w:p w14:paraId="34EA7AE2">
      <w:pPr>
        <w:pStyle w:val="4"/>
      </w:pPr>
      <w:r>
        <w:t>5.3 奖励的解释与扩展</w:t>
      </w:r>
    </w:p>
    <w:p w14:paraId="29627746">
      <w:pPr>
        <w:ind w:firstLine="720" w:firstLineChars="0"/>
      </w:pPr>
      <w:r>
        <w:t>例如 B=300 秒、ΔT=1 秒、Lref=100 米、该秒平均误差为 20 米，非末步奖励为 −0.000667；误差降为 10 米时为 −0.000333，奖励更高。负奖励可以表达误差最小化，不要求进入新车道或获得正奖励。上述数值只用于说明计算。</w:t>
      </w:r>
    </w:p>
    <w:p w14:paraId="10A5BE00">
      <w:pPr>
        <w:ind w:firstLine="720" w:firstLineChars="0"/>
      </w:pPr>
      <w:r>
        <w:t>首版令行驶成本和扰动奖励权重为零，并固定正常驾驶约束。需要权衡成本时，可加入 −λCΔC；例如 ΔC=本步里程／固定参考里程。交通扰动项须先明确指标再引入。重复观测可能有价值，不使用固定的“新格奖励”或单调递减的重访奖励代替估计目标。</w:t>
      </w:r>
    </w:p>
    <w:p w14:paraId="63251565">
      <w:pPr>
        <w:pStyle w:val="3"/>
        <w:pageBreakBefore/>
      </w:pPr>
      <w:r>
        <w:t>6 决策闭环、终止条件与待确认事项</w:t>
      </w:r>
    </w:p>
    <w:p w14:paraId="18758DCD">
      <w:pPr>
        <w:pStyle w:val="4"/>
      </w:pPr>
      <w:r>
        <w:t>6.1 策略优化的完整表述</w:t>
      </w:r>
    </w:p>
    <w:p w14:paraId="5D295881">
      <w:pPr>
        <w:pStyle w:val="166"/>
      </w:pPr>
      <m:oMath>
        <m:sSub>
          <m:sSubPr/>
          <m:e>
            <m:r>
              <m:rPr/>
              <w:rPr>
                <w:rFonts w:ascii="Cambria Math" w:hAnsi="Cambria Math" w:eastAsia="Noto Sans CJK SC"/>
              </w:rPr>
              <m:t>H</m:t>
            </m:r>
          </m:e>
          <m:sub>
            <m:r>
              <m:rPr/>
              <w:rPr>
                <w:rFonts w:ascii="Cambria Math" w:hAnsi="Cambria Math" w:eastAsia="Noto Sans CJK SC"/>
              </w:rPr>
              <m:t>k</m:t>
            </m:r>
          </m:sub>
        </m:sSub>
        <m:r>
          <m:rPr/>
          <w:rPr>
            <w:rFonts w:ascii="Cambria Math" w:hAnsi="Cambria Math" w:eastAsia="Noto Sans CJK SC"/>
          </w:rPr>
          <m:t xml:space="preserve"> = (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o</m:t>
            </m:r>
          </m:e>
          <m:sub>
            <m:r>
              <m:rPr/>
              <w:rPr>
                <w:rFonts w:ascii="Cambria Math" w:hAnsi="Cambria Math" w:eastAsia="Noto Sans CJK SC"/>
              </w:rPr>
              <m:t>0</m:t>
            </m:r>
          </m:sub>
        </m:sSub>
        <m:r>
          <m:rPr/>
          <w:rPr>
            <w:rFonts w:ascii="Cambria Math" w:hAnsi="Cambria Math" w:eastAsia="Noto Sans CJK SC"/>
          </w:rPr>
          <m:t xml:space="preserve">, 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a</m:t>
            </m:r>
          </m:e>
          <m:sub>
            <m:r>
              <m:rPr/>
              <w:rPr>
                <w:rFonts w:ascii="Cambria Math" w:hAnsi="Cambria Math" w:eastAsia="Noto Sans CJK SC"/>
              </w:rPr>
              <m:t>0</m:t>
            </m:r>
          </m:sub>
        </m:sSub>
        <m:r>
          <m:rPr/>
          <w:rPr>
            <w:rFonts w:ascii="Cambria Math" w:hAnsi="Cambria Math" w:eastAsia="Noto Sans CJK SC"/>
          </w:rPr>
          <m:t xml:space="preserve">, …, 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o</m:t>
            </m:r>
          </m:e>
          <m:sub>
            <m:r>
              <m:rPr/>
              <w:rPr>
                <w:rFonts w:ascii="Cambria Math" w:hAnsi="Cambria Math" w:eastAsia="Noto Sans CJK SC"/>
              </w:rPr>
              <m:t>k</m:t>
            </m:r>
          </m:sub>
        </m:sSub>
        <m:r>
          <m:rPr/>
          <w:rPr>
            <w:rFonts w:ascii="Cambria Math" w:hAnsi="Cambria Math" w:eastAsia="Noto Sans CJK SC"/>
          </w:rPr>
          <m:t xml:space="preserve">),    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a</m:t>
            </m:r>
          </m:e>
          <m:sub>
            <m:r>
              <m:rPr/>
              <w:rPr>
                <w:rFonts w:ascii="Cambria Math" w:hAnsi="Cambria Math" w:eastAsia="Noto Sans CJK SC"/>
              </w:rPr>
              <m:t>k</m:t>
            </m:r>
          </m:sub>
        </m:sSub>
        <m:r>
          <m:rPr/>
          <w:rPr>
            <w:rFonts w:ascii="Cambria Math" w:hAnsi="Cambria Math" w:eastAsia="Noto Sans CJK SC"/>
          </w:rPr>
          <m:t xml:space="preserve"> ∼ π(· | 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H</m:t>
            </m:r>
          </m:e>
          <m:sub>
            <m:r>
              <m:rPr/>
              <w:rPr>
                <w:rFonts w:ascii="Cambria Math" w:hAnsi="Cambria Math" w:eastAsia="Noto Sans CJK SC"/>
              </w:rPr>
              <m:t>k</m:t>
            </m:r>
          </m:sub>
        </m:sSub>
        <m:r>
          <m:rPr/>
          <w:rPr>
            <w:rFonts w:ascii="Cambria Math" w:hAnsi="Cambria Math" w:eastAsia="Noto Sans CJK SC"/>
          </w:rPr>
          <m:t>, G)</m:t>
        </m:r>
      </m:oMath>
      <w:r>
        <w:t xml:space="preserve">   (9)</w:t>
      </w:r>
    </w:p>
    <w:p w14:paraId="12F3B1B5">
      <w:pPr>
        <w:pStyle w:val="166"/>
      </w:pPr>
      <m:oMath>
        <m:sSup>
          <m:sSupPr/>
          <m:e>
            <m:r>
              <m:rPr/>
              <w:rPr>
                <w:rFonts w:ascii="Cambria Math" w:hAnsi="Cambria Math" w:eastAsia="Noto Sans CJK SC"/>
              </w:rPr>
              <m:t>π</m:t>
            </m:r>
          </m:e>
          <m:sup>
            <m:r>
              <m:rPr/>
              <w:rPr>
                <w:rFonts w:ascii="Cambria Math" w:hAnsi="Cambria Math" w:eastAsia="Noto Sans CJK SC"/>
              </w:rPr>
              <m:t>∗</m:t>
            </m:r>
          </m:sup>
        </m:sSup>
        <m:r>
          <m:rPr/>
          <w:rPr>
            <w:rFonts w:ascii="Cambria Math" w:hAnsi="Cambria Math" w:eastAsia="Noto Sans CJK SC"/>
          </w:rPr>
          <m:t xml:space="preserve"> ∈ arg </m:t>
        </m:r>
        <m:sSub>
          <m:sSubPr/>
          <m:e>
            <m:r>
              <m:rPr/>
              <w:rPr>
                <w:rFonts w:ascii="Cambria Math" w:hAnsi="Cambria Math" w:eastAsia="Noto Sans CJK SC"/>
              </w:rPr>
              <m:t>max</m:t>
            </m:r>
          </m:e>
          <m:sub>
            <m:r>
              <m:rPr/>
              <w:rPr>
                <w:rFonts w:ascii="Cambria Math" w:hAnsi="Cambria Math" w:eastAsia="Noto Sans CJK SC"/>
              </w:rPr>
              <m:t>π</m:t>
            </m:r>
          </m:sub>
        </m:sSub>
        <m:sSub>
          <m:sSubPr/>
          <m:e>
            <m:r>
              <m:rPr>
                <m:scr m:val="double-struck"/>
              </m:rPr>
              <w:rPr>
                <w:rFonts w:ascii="Cambria Math" w:hAnsi="Cambria Math" w:eastAsia="Noto Sans CJK SC"/>
              </w:rPr>
              <m:t>E</m:t>
            </m:r>
          </m:e>
          <m:sub>
            <m:r>
              <m:rPr/>
              <w:rPr>
                <w:rFonts w:ascii="Cambria Math" w:hAnsi="Cambria Math" w:eastAsia="Noto Sans CJK SC"/>
              </w:rPr>
              <m:t>π</m:t>
            </m:r>
          </m:sub>
        </m:sSub>
        <m:r>
          <m:rPr/>
          <w:rPr>
            <w:rFonts w:ascii="Cambria Math" w:hAnsi="Cambria Math" w:eastAsia="Noto Sans CJK SC"/>
          </w:rPr>
          <m:t>[</m:t>
        </m:r>
        <m:nary>
          <m:naryPr>
            <m:chr m:val="∑"/>
            <m:limLoc m:val="undOvr"/>
          </m:naryPr>
          <m:sub>
            <m:r>
              <m:rPr/>
              <w:rPr>
                <w:rFonts w:ascii="Cambria Math" w:hAnsi="Cambria Math" w:eastAsia="Noto Sans CJK SC"/>
              </w:rPr>
              <m:t>k=0</m:t>
            </m:r>
          </m:sub>
          <m:sup>
            <m:r>
              <m:rPr/>
              <w:rPr>
                <w:rFonts w:ascii="Cambria Math" w:hAnsi="Cambria Math" w:eastAsia="Noto Sans CJK SC"/>
              </w:rPr>
              <m:t>K−1</m:t>
            </m:r>
          </m:sup>
          <m:e>
            <m:sSub>
              <m:sSubPr/>
              <m:e>
                <m:r>
                  <m:rPr/>
                  <w:rPr>
                    <w:rFonts w:ascii="Cambria Math" w:hAnsi="Cambria Math" w:eastAsia="Noto Sans CJK SC"/>
                  </w:rPr>
                  <m:t>r</m:t>
                </m:r>
              </m:e>
              <m:sub>
                <m:r>
                  <m:rPr/>
                  <w:rPr>
                    <w:rFonts w:ascii="Cambria Math" w:hAnsi="Cambria Math" w:eastAsia="Noto Sans CJK SC"/>
                  </w:rPr>
                  <m:t>k</m:t>
                </m:r>
              </m:sub>
            </m:sSub>
          </m:e>
        </m:nary>
        <m:r>
          <m:rPr/>
          <w:rPr>
            <w:rFonts w:ascii="Cambria Math" w:hAnsi="Cambria Math" w:eastAsia="Noto Sans CJK SC"/>
          </w:rPr>
          <m:t>]</m:t>
        </m:r>
      </m:oMath>
      <w:r>
        <w:t xml:space="preserve">   (10)</w:t>
      </w:r>
    </w:p>
    <w:p w14:paraId="151611D7">
      <w:pPr>
        <w:ind w:firstLine="720" w:firstLineChars="0"/>
      </w:pPr>
      <w:r>
        <w:t>每个决策时刻，局部观测先更新交通估计和观测摘要，再构成 o；策略选择允许请求，驾驶执行推动车辆运动，新的观测更新下一时刻估计，评价器据同期误差返回奖励。首版以 o 近似 H 的信息摘要，采用带动作掩码的 PPO 作为求解基线。[2,3] 更复杂记忆结构不作为本版必要前提。</w:t>
      </w:r>
    </w:p>
    <w:p w14:paraId="243F4D83">
      <w:pPr>
        <w:pStyle w:val="4"/>
      </w:pPr>
      <w:r>
        <w:t>6.2 回合结束与训练信息边界</w:t>
      </w:r>
    </w:p>
    <w:p w14:paraId="4F6D0013">
      <w:pPr>
        <w:ind w:firstLine="720" w:firstLineChars="0"/>
      </w:pPr>
      <w:r>
        <w:t>一次回合对应单车在给定初始条件和预算下完成探测任务，允许多次离开与返回；预算耗尽正常结束。真实任务失败可以提前终止，但不能把未发生的后续负奖励直接当零。对于有界队列与有界预测，可用 emax=(ΣDℓ)/(M Lref) 补齐剩余时段误差，并计入最差终点项及规定的失败代价。该规则用于避免提前失败因少计误差获利。</w:t>
      </w:r>
    </w:p>
    <w:p w14:paraId="7DEFBD73">
      <w:pPr>
        <w:ind w:firstLine="720" w:firstLineChars="0"/>
      </w:pPr>
      <w:r>
        <w:t>全局真值只用于训练奖励和独立评价，不进入策略观测、历史奖励输入或在线停止判断。质量阈值停止暂不纳入主线；后续若采用，须依靠经过校准的可计算风险或区间，并设置最大预算。区间窄不自动意味着已达到真实精度要求。</w:t>
      </w:r>
    </w:p>
    <w:p w14:paraId="030B68AF">
      <w:pPr>
        <w:pStyle w:val="4"/>
      </w:pPr>
      <w:r>
        <w:t>6.3 当前可以确认与尚待决定的内容</w:t>
      </w:r>
    </w:p>
    <w:p w14:paraId="2BBE8ABB">
      <w:pPr>
        <w:ind w:firstLine="720" w:firstLineChars="0"/>
      </w:pPr>
      <w:r>
        <w:t>本版确认采用：单个目标路口、单辆探测车、车道级有向图、连续车道位置、六类离散请求、跨步执行任务，以及与跨格无关的估计误差奖励。固定小格已从首版设计中移除。</w:t>
      </w:r>
    </w:p>
    <w:p w14:paraId="7E6DB75F">
      <w:pPr>
        <w:ind w:firstLine="720" w:firstLineChars="0"/>
      </w:pPr>
      <w:r>
        <w:t>仍需重点确认四项：实际任务关注过程还是仅终点；目标车道、监测长度与队列操作定义；局部传感条件及估计区间生成方法；合法返回路线、预算和决策间隔。上述选择决定可观测性与收益空间。本方案给出可检验的建模主线，不预先承诺恢复精度或最优路线。</w:t>
      </w:r>
    </w:p>
    <w:p w14:paraId="111D8DB1">
      <w:pPr>
        <w:pStyle w:val="4"/>
      </w:pPr>
      <w:r>
        <w:t>参考依据</w:t>
      </w:r>
    </w:p>
    <w:p w14:paraId="5B50AACD">
      <w:pPr>
        <w:pStyle w:val="167"/>
      </w:pPr>
      <w:r>
        <w:t xml:space="preserve">[1] Hausknecht M, Stone P. Deep Recurrent Q-Learning for Partially Observable MDPs, 2015. 用于部分观测与历史记忆背景。 </w:t>
      </w:r>
      <w:r>
        <w:fldChar w:fldCharType="begin"/>
      </w:r>
      <w:r>
        <w:instrText xml:space="preserve"> HYPERLINK "https://arxiv.org/abs/1507.06527" \h </w:instrText>
      </w:r>
      <w:r>
        <w:fldChar w:fldCharType="separate"/>
      </w:r>
      <w:r>
        <w:rPr>
          <w:color w:val="2E74B5"/>
        </w:rPr>
        <w:t>原文</w:t>
      </w:r>
      <w:r>
        <w:rPr>
          <w:color w:val="2E74B5"/>
        </w:rPr>
        <w:fldChar w:fldCharType="end"/>
      </w:r>
    </w:p>
    <w:p w14:paraId="559D313D">
      <w:pPr>
        <w:pStyle w:val="167"/>
      </w:pPr>
      <w:r>
        <w:t xml:space="preserve">[2] Huang S, Ontañón S. A Closer Look at Invalid Action Masking in Policy Gradient Algorithms, 2020. 用于合法动作概率约束。 </w:t>
      </w:r>
      <w:r>
        <w:fldChar w:fldCharType="begin"/>
      </w:r>
      <w:r>
        <w:instrText xml:space="preserve"> HYPERLINK "https://arxiv.org/abs/2006.14171" \h </w:instrText>
      </w:r>
      <w:r>
        <w:fldChar w:fldCharType="separate"/>
      </w:r>
      <w:r>
        <w:rPr>
          <w:color w:val="2E74B5"/>
        </w:rPr>
        <w:t>原文</w:t>
      </w:r>
      <w:r>
        <w:rPr>
          <w:color w:val="2E74B5"/>
        </w:rPr>
        <w:fldChar w:fldCharType="end"/>
      </w:r>
    </w:p>
    <w:p w14:paraId="16665C22">
      <w:pPr>
        <w:pStyle w:val="167"/>
      </w:pPr>
      <w:r>
        <w:t xml:space="preserve">[3] Schulman J, et al. Proximal Policy Optimization Algorithms, 2017. 用于策略优化基线。 </w:t>
      </w:r>
      <w:r>
        <w:fldChar w:fldCharType="begin"/>
      </w:r>
      <w:r>
        <w:instrText xml:space="preserve"> HYPERLINK "https://arxiv.org/abs/1707.06347" \h </w:instrText>
      </w:r>
      <w:r>
        <w:fldChar w:fldCharType="separate"/>
      </w:r>
      <w:r>
        <w:rPr>
          <w:color w:val="2E74B5"/>
        </w:rPr>
        <w:t>原文</w:t>
      </w:r>
      <w:r>
        <w:rPr>
          <w:color w:val="2E74B5"/>
        </w:rPr>
        <w:fldChar w:fldCharType="end"/>
      </w:r>
    </w:p>
    <w:p w14:paraId="55B6473C">
      <w:pPr>
        <w:pStyle w:val="167"/>
      </w:pPr>
      <w:r>
        <w:t>设计依据：本轮研究讨论及已提供场景背景；文献支持一般方法，本方案中的字段与奖励组合为针对本项目的设计建议。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Noto Serif HK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Noto Serif HK">
    <w:panose1 w:val="02020200000000000000"/>
    <w:charset w:val="88"/>
    <w:family w:val="auto"/>
    <w:pitch w:val="default"/>
    <w:sig w:usb0="20000083" w:usb1="2ADF3C10" w:usb2="00000016" w:usb3="00000000" w:csb0="60120107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046F502">
    <w:pPr>
      <w:pStyle w:val="24"/>
    </w:pPr>
    <w:r>
      <w:t xml:space="preserve">无固定网格版  · 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/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4741A6">
    <w:pPr>
      <w:pStyle w:val="25"/>
    </w:pPr>
    <w:r>
      <w:t>单探测车主动感知  |  强化学习核心研究方案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FE7278"/>
    <w:rsid w:val="33F73E96"/>
    <w:rsid w:val="43473388"/>
    <w:rsid w:val="4B647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napToGrid w:val="0"/>
      <w:spacing w:before="0" w:after="120" w:line="330" w:lineRule="exact"/>
      <w:jc w:val="both"/>
    </w:pPr>
    <w:rPr>
      <w:rFonts w:ascii="Calibri" w:hAnsi="Calibri" w:eastAsia="Noto Sans CJK SC" w:cstheme="minorBidi"/>
      <w:color w:val="202B36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widowControl/>
      <w:snapToGrid w:val="0"/>
      <w:spacing w:before="360" w:after="200" w:line="320" w:lineRule="auto"/>
      <w:jc w:val="left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widowControl/>
      <w:snapToGrid w:val="0"/>
      <w:spacing w:before="240" w:after="120" w:line="320" w:lineRule="auto"/>
      <w:jc w:val="left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widowControl/>
      <w:snapToGrid w:val="0"/>
      <w:spacing w:before="160" w:after="80" w:line="320" w:lineRule="auto"/>
      <w:jc w:val="left"/>
      <w:outlineLvl w:val="2"/>
    </w:pPr>
    <w:rPr>
      <w:rFonts w:asciiTheme="majorHAnsi" w:hAnsiTheme="majorHAnsi" w:eastAsiaTheme="majorEastAsia" w:cstheme="majorBidi"/>
      <w:b/>
      <w:bCs/>
      <w:color w:val="1F4D78"/>
      <w:sz w:val="24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widowControl/>
      <w:snapToGrid w:val="0"/>
      <w:spacing w:before="80" w:after="80" w:line="260" w:lineRule="auto"/>
      <w:jc w:val="left"/>
    </w:pPr>
    <w:rPr>
      <w:rFonts w:ascii="Calibri" w:hAnsi="Calibri" w:eastAsia="Noto Sans CJK SC"/>
      <w:bCs/>
      <w:color w:val="65717D"/>
      <w:sz w:val="18"/>
      <w:szCs w:val="18"/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widowControl/>
      <w:tabs>
        <w:tab w:val="center" w:pos="4680"/>
        <w:tab w:val="right" w:pos="9360"/>
      </w:tabs>
      <w:snapToGrid w:val="0"/>
      <w:spacing w:before="0" w:after="0" w:line="240" w:lineRule="auto"/>
      <w:jc w:val="right"/>
    </w:pPr>
    <w:rPr>
      <w:rFonts w:ascii="Calibri" w:hAnsi="Calibri" w:eastAsia="Noto Sans CJK SC"/>
      <w:color w:val="65717D"/>
      <w:sz w:val="17"/>
    </w:rPr>
  </w:style>
  <w:style w:type="paragraph" w:styleId="25">
    <w:name w:val="header"/>
    <w:basedOn w:val="1"/>
    <w:link w:val="135"/>
    <w:unhideWhenUsed/>
    <w:qFormat/>
    <w:uiPriority w:val="99"/>
    <w:pPr>
      <w:widowControl/>
      <w:tabs>
        <w:tab w:val="center" w:pos="4680"/>
        <w:tab w:val="right" w:pos="9360"/>
      </w:tabs>
      <w:snapToGrid w:val="0"/>
      <w:spacing w:before="0" w:after="0" w:line="240" w:lineRule="auto"/>
      <w:jc w:val="left"/>
    </w:pPr>
    <w:rPr>
      <w:rFonts w:ascii="Calibri" w:hAnsi="Calibri" w:eastAsia="Noto Sans CJK SC"/>
      <w:color w:val="65717D"/>
      <w:sz w:val="17"/>
    </w:rPr>
  </w:style>
  <w:style w:type="paragraph" w:styleId="26">
    <w:name w:val="Subtitle"/>
    <w:basedOn w:val="1"/>
    <w:next w:val="1"/>
    <w:link w:val="142"/>
    <w:qFormat/>
    <w:uiPriority w:val="11"/>
    <w:pPr>
      <w:widowControl/>
      <w:snapToGrid w:val="0"/>
      <w:spacing w:before="0" w:after="160" w:line="320" w:lineRule="auto"/>
      <w:jc w:val="left"/>
    </w:pPr>
    <w:rPr>
      <w:rFonts w:asciiTheme="majorHAnsi" w:hAnsiTheme="majorHAnsi" w:eastAsiaTheme="majorEastAsia" w:cstheme="majorBidi"/>
      <w:i/>
      <w:iCs/>
      <w:color w:val="65717D"/>
      <w:spacing w:val="15"/>
      <w:sz w:val="22"/>
      <w:szCs w:val="24"/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widowControl/>
      <w:snapToGrid w:val="0"/>
      <w:spacing w:before="0" w:after="120" w:line="320" w:lineRule="auto"/>
      <w:contextualSpacing/>
      <w:jc w:val="left"/>
    </w:pPr>
    <w:rPr>
      <w:rFonts w:asciiTheme="majorHAnsi" w:hAnsiTheme="majorHAnsi" w:eastAsiaTheme="majorEastAsia" w:cstheme="majorBidi"/>
      <w:b/>
      <w:color w:val="17364D"/>
      <w:spacing w:val="5"/>
      <w:kern w:val="28"/>
      <w:sz w:val="40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Meta"/>
    <w:qFormat/>
    <w:uiPriority w:val="0"/>
    <w:pPr>
      <w:widowControl/>
      <w:snapToGrid w:val="0"/>
      <w:spacing w:before="0" w:after="120" w:line="260" w:lineRule="auto"/>
      <w:jc w:val="left"/>
    </w:pPr>
    <w:rPr>
      <w:rFonts w:ascii="Calibri" w:hAnsi="Calibri" w:eastAsia="Noto Sans CJK SC" w:cstheme="minorBidi"/>
      <w:color w:val="65717D"/>
      <w:sz w:val="18"/>
      <w:szCs w:val="22"/>
      <w:lang w:val="en-US" w:eastAsia="en-US" w:bidi="ar-SA"/>
    </w:rPr>
  </w:style>
  <w:style w:type="paragraph" w:customStyle="1" w:styleId="165">
    <w:name w:val="TableText"/>
    <w:qFormat/>
    <w:uiPriority w:val="0"/>
    <w:pPr>
      <w:widowControl/>
      <w:snapToGrid w:val="0"/>
      <w:spacing w:before="0" w:after="60" w:line="290" w:lineRule="exact"/>
      <w:jc w:val="left"/>
    </w:pPr>
    <w:rPr>
      <w:rFonts w:ascii="Calibri" w:hAnsi="Calibri" w:eastAsia="Noto Sans CJK SC" w:cstheme="minorBidi"/>
      <w:color w:val="202B36"/>
      <w:sz w:val="19"/>
      <w:szCs w:val="22"/>
      <w:lang w:val="en-US" w:eastAsia="en-US" w:bidi="ar-SA"/>
    </w:rPr>
  </w:style>
  <w:style w:type="paragraph" w:customStyle="1" w:styleId="166">
    <w:name w:val="Equation"/>
    <w:qFormat/>
    <w:uiPriority w:val="0"/>
    <w:pPr>
      <w:widowControl/>
      <w:snapToGrid w:val="0"/>
      <w:spacing w:before="80" w:after="120" w:line="280" w:lineRule="auto"/>
      <w:jc w:val="center"/>
    </w:pPr>
    <w:rPr>
      <w:rFonts w:ascii="Calibri" w:hAnsi="Calibri" w:eastAsia="Noto Sans CJK SC" w:cstheme="minorBidi"/>
      <w:color w:val="202B36"/>
      <w:sz w:val="22"/>
      <w:szCs w:val="22"/>
      <w:lang w:val="en-US" w:eastAsia="en-US" w:bidi="ar-SA"/>
    </w:rPr>
  </w:style>
  <w:style w:type="paragraph" w:customStyle="1" w:styleId="167">
    <w:name w:val="Source"/>
    <w:qFormat/>
    <w:uiPriority w:val="0"/>
    <w:pPr>
      <w:widowControl/>
      <w:snapToGrid w:val="0"/>
      <w:spacing w:before="0" w:after="80" w:line="260" w:lineRule="auto"/>
      <w:jc w:val="left"/>
    </w:pPr>
    <w:rPr>
      <w:rFonts w:ascii="Calibri" w:hAnsi="Calibri" w:eastAsia="Noto Sans CJK SC" w:cstheme="minorBidi"/>
      <w:color w:val="52616D"/>
      <w:sz w:val="17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3216</Words>
  <Characters>3364</Characters>
  <Lines>0</Lines>
  <Paragraphs>0</Paragraphs>
  <TotalTime>319</TotalTime>
  <ScaleCrop>false</ScaleCrop>
  <LinksUpToDate>false</LinksUpToDate>
  <CharactersWithSpaces>3543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Luka</dc:creator>
  <dc:description>generated by python-docx</dc:description>
  <cp:lastModifiedBy>Luka</cp:lastModifiedBy>
  <dcterms:modified xsi:type="dcterms:W3CDTF">2026-09-10T06:55:05Z</dcterms:modified>
  <dc:subject>POMDP、状态观测、离散动作与估计误差奖励</dc:subject>
  <dc:title>单探测车主动感知的强化学习框架设计：无固定网格版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eyJoZGlkIjoiMjk2ZjZlMGIwODk0YWI2YzEzYjViYWVhMThmMjIzNTEiLCJ1c2VySWQiOiI4NjU3Mjc3NTMifQ==</vt:lpwstr>
  </property>
  <property fmtid="{D5CDD505-2E9C-101B-9397-08002B2CF9AE}" pid="3" name="KSOProductBuildVer">
    <vt:lpwstr>2052-12.1.0.28043</vt:lpwstr>
  </property>
  <property fmtid="{D5CDD505-2E9C-101B-9397-08002B2CF9AE}" pid="4" name="ICV">
    <vt:lpwstr>F86E967030D94629A0D8DD1D7F003A6E_13</vt:lpwstr>
  </property>
</Properties>
</file>