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54BC3">
      <w:pPr>
        <w:pStyle w:val="168"/>
        <w:spacing w:before="1500" w:after="480"/>
        <w:jc w:val="center"/>
      </w:pPr>
      <w:bookmarkStart w:id="52" w:name="_GoBack"/>
      <w:bookmarkEnd w:id="52"/>
      <w:r>
        <w:t>研究设计 · 技术说明 · 实施参考</w:t>
      </w:r>
    </w:p>
    <w:p w14:paraId="07F533B1">
      <w:pPr>
        <w:pStyle w:val="31"/>
      </w:pPr>
      <w:r>
        <w:t>单探测车主动感知</w:t>
      </w:r>
    </w:p>
    <w:p w14:paraId="67EA25CF">
      <w:pPr>
        <w:pStyle w:val="31"/>
      </w:pPr>
      <w:r>
        <w:t>强化学习框架完整技术说明</w:t>
      </w:r>
    </w:p>
    <w:p w14:paraId="4942C99F">
      <w:pPr>
        <w:pStyle w:val="26"/>
      </w:pPr>
      <w:r>
        <w:t>从车道单元与一步交互，到仿真训练、泛化与验证</w:t>
      </w:r>
    </w:p>
    <w:p w14:paraId="7463A7EE">
      <w:pPr>
        <w:pStyle w:val="168"/>
        <w:spacing w:before="400"/>
        <w:jc w:val="center"/>
      </w:pPr>
      <w:r>
        <w:t>V1.0 讨论稿  |  2026年9月8日</w:t>
      </w:r>
    </w:p>
    <w:p w14:paraId="1FE4B037">
      <w:pPr>
        <w:pStyle w:val="168"/>
        <w:jc w:val="center"/>
      </w:pPr>
      <w:r>
        <w:t>供项目理解、方案讨论与导师汇报使用</w:t>
      </w:r>
    </w:p>
    <w:p w14:paraId="7E113A46">
      <w:pPr>
        <w:pStyle w:val="169"/>
        <w:spacing w:before="700"/>
        <w:jc w:val="center"/>
      </w:pPr>
      <w:r>
        <w:t>23章正文 · 5个附录 · 22项待讨论事项</w:t>
      </w:r>
    </w:p>
    <w:p w14:paraId="4EB4DDDE">
      <w:pPr>
        <w:pStyle w:val="168"/>
        <w:jc w:val="center"/>
      </w:pPr>
      <w:r>
        <w:t>本文区分用户意图、建议基线、示例设置与待验证假设。</w:t>
      </w:r>
      <w:r>
        <w:br w:type="textWrapping"/>
      </w:r>
      <w:r>
        <w:t>不包含已完成的训练结果或性能承诺。</w:t>
      </w:r>
    </w:p>
    <w:p w14:paraId="410195A6">
      <w:pPr>
        <w:pStyle w:val="168"/>
        <w:spacing w:before="400"/>
        <w:jc w:val="center"/>
      </w:pPr>
      <w:r>
        <w:t>依据：用户上传的“-2026 -0318.pdf”与连续讨论；</w:t>
      </w:r>
      <w:r>
        <w:br w:type="textWrapping"/>
      </w:r>
      <w:r>
        <w:t>相关理论和软件事实附原始论文、官方文档链接。</w:t>
      </w:r>
    </w:p>
    <w:p w14:paraId="20080CEC">
      <w:pPr>
        <w:pStyle w:val="3"/>
        <w:pageBreakBefore/>
      </w:pPr>
      <w:bookmarkStart w:id="0" w:name="reading_guide"/>
      <w:r>
        <w:t>阅读导航与文档约定</w:t>
      </w:r>
      <w:bookmarkEnd w:id="0"/>
    </w:p>
    <w:p w14:paraId="6E5F277C">
      <w:pPr>
        <w:pStyle w:val="173"/>
      </w:pPr>
      <w:r>
        <w:t>这份文档先从底层解释强化学习交互，再提供实现、评审和实验比较所需的规范。可按当前疑问选择阅读路径，之后再通读完整技术链。</w:t>
      </w:r>
    </w:p>
    <w:p w14:paraId="30DC735D">
      <w:pPr>
        <w:pStyle w:val="15"/>
        <w:keepNext/>
      </w:pPr>
      <w:r>
        <w:t>表 1  阅读目标 / 建议顺序</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3000"/>
        <w:gridCol w:w="6360"/>
      </w:tblGrid>
      <w:tr w14:paraId="6EB5074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3000" w:type="dxa"/>
            <w:shd w:val="clear" w:color="auto" w:fill="E8EEF5"/>
            <w:tcMar>
              <w:top w:w="80" w:type="dxa"/>
              <w:left w:w="120" w:type="dxa"/>
              <w:bottom w:w="80" w:type="dxa"/>
              <w:right w:w="120" w:type="dxa"/>
            </w:tcMar>
            <w:vAlign w:val="center"/>
          </w:tcPr>
          <w:p w14:paraId="2B351CE3">
            <w:pPr>
              <w:pStyle w:val="164"/>
              <w:keepNext/>
            </w:pPr>
            <w:r>
              <w:rPr>
                <w:b/>
              </w:rPr>
              <w:t>阅读目标</w:t>
            </w:r>
          </w:p>
        </w:tc>
        <w:tc>
          <w:tcPr>
            <w:tcW w:w="6360" w:type="dxa"/>
            <w:shd w:val="clear" w:color="auto" w:fill="E8EEF5"/>
            <w:tcMar>
              <w:top w:w="80" w:type="dxa"/>
              <w:left w:w="120" w:type="dxa"/>
              <w:bottom w:w="80" w:type="dxa"/>
              <w:right w:w="120" w:type="dxa"/>
            </w:tcMar>
            <w:vAlign w:val="center"/>
          </w:tcPr>
          <w:p w14:paraId="36F7CB92">
            <w:pPr>
              <w:pStyle w:val="164"/>
              <w:keepNext/>
            </w:pPr>
            <w:r>
              <w:rPr>
                <w:b/>
              </w:rPr>
              <w:t>建议顺序</w:t>
            </w:r>
          </w:p>
        </w:tc>
      </w:tr>
      <w:tr w14:paraId="48FD772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35347E35">
            <w:pPr>
              <w:pStyle w:val="164"/>
            </w:pPr>
            <w:r>
              <w:t>准备向导师汇报</w:t>
            </w:r>
          </w:p>
        </w:tc>
        <w:tc>
          <w:tcPr>
            <w:tcW w:w="6360" w:type="dxa"/>
            <w:tcMar>
              <w:top w:w="80" w:type="dxa"/>
              <w:left w:w="120" w:type="dxa"/>
              <w:bottom w:w="80" w:type="dxa"/>
              <w:right w:w="120" w:type="dxa"/>
            </w:tcMar>
            <w:vAlign w:val="center"/>
          </w:tcPr>
          <w:p w14:paraId="66C28FDE">
            <w:pPr>
              <w:pStyle w:val="164"/>
            </w:pPr>
            <w:r>
              <w:t>第1章 → 第21章 → 第23章 → 第22章</w:t>
            </w:r>
          </w:p>
        </w:tc>
      </w:tr>
      <w:tr w14:paraId="65BFA94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66B8F0CC">
            <w:pPr>
              <w:pStyle w:val="164"/>
            </w:pPr>
            <w:r>
              <w:t>理解状态、小格与奖励</w:t>
            </w:r>
          </w:p>
        </w:tc>
        <w:tc>
          <w:tcPr>
            <w:tcW w:w="6360" w:type="dxa"/>
            <w:tcMar>
              <w:top w:w="80" w:type="dxa"/>
              <w:left w:w="120" w:type="dxa"/>
              <w:bottom w:w="80" w:type="dxa"/>
              <w:right w:w="120" w:type="dxa"/>
            </w:tcMar>
            <w:vAlign w:val="center"/>
          </w:tcPr>
          <w:p w14:paraId="3171A0AD">
            <w:pPr>
              <w:pStyle w:val="164"/>
            </w:pPr>
            <w:r>
              <w:t>第2章 → 第4章 → 第7章 → 第10章 → 第11章</w:t>
            </w:r>
          </w:p>
        </w:tc>
      </w:tr>
      <w:tr w14:paraId="46BB978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31650395">
            <w:pPr>
              <w:pStyle w:val="164"/>
            </w:pPr>
            <w:r>
              <w:t>准备搭建仿真和代码</w:t>
            </w:r>
          </w:p>
        </w:tc>
        <w:tc>
          <w:tcPr>
            <w:tcW w:w="6360" w:type="dxa"/>
            <w:tcMar>
              <w:top w:w="80" w:type="dxa"/>
              <w:left w:w="120" w:type="dxa"/>
              <w:bottom w:w="80" w:type="dxa"/>
              <w:right w:w="120" w:type="dxa"/>
            </w:tcMar>
            <w:vAlign w:val="center"/>
          </w:tcPr>
          <w:p w14:paraId="2987566F">
            <w:pPr>
              <w:pStyle w:val="164"/>
            </w:pPr>
            <w:r>
              <w:t>第5–14章 → 第16–17章 → 附录B、C、D</w:t>
            </w:r>
          </w:p>
        </w:tc>
      </w:tr>
      <w:tr w14:paraId="0FC4B96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1947F4BD">
            <w:pPr>
              <w:pStyle w:val="164"/>
            </w:pPr>
            <w:r>
              <w:t>理解PPO为何能学习</w:t>
            </w:r>
          </w:p>
        </w:tc>
        <w:tc>
          <w:tcPr>
            <w:tcW w:w="6360" w:type="dxa"/>
            <w:tcMar>
              <w:top w:w="80" w:type="dxa"/>
              <w:left w:w="120" w:type="dxa"/>
              <w:bottom w:w="80" w:type="dxa"/>
              <w:right w:w="120" w:type="dxa"/>
            </w:tcMar>
            <w:vAlign w:val="center"/>
          </w:tcPr>
          <w:p w14:paraId="3947DBA6">
            <w:pPr>
              <w:pStyle w:val="164"/>
            </w:pPr>
            <w:r>
              <w:t>第3章 → 第11–12章 → 第15–16章</w:t>
            </w:r>
          </w:p>
        </w:tc>
      </w:tr>
      <w:tr w14:paraId="6AA5B23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783101B9">
            <w:pPr>
              <w:pStyle w:val="164"/>
            </w:pPr>
            <w:r>
              <w:t>讨论数据与Transformer</w:t>
            </w:r>
          </w:p>
        </w:tc>
        <w:tc>
          <w:tcPr>
            <w:tcW w:w="6360" w:type="dxa"/>
            <w:tcMar>
              <w:top w:w="80" w:type="dxa"/>
              <w:left w:w="120" w:type="dxa"/>
              <w:bottom w:w="80" w:type="dxa"/>
              <w:right w:w="120" w:type="dxa"/>
            </w:tcMar>
            <w:vAlign w:val="center"/>
          </w:tcPr>
          <w:p w14:paraId="5AF8F757">
            <w:pPr>
              <w:pStyle w:val="164"/>
            </w:pPr>
            <w:r>
              <w:t>第17–19章 → 第22章D17、D18</w:t>
            </w:r>
          </w:p>
        </w:tc>
      </w:tr>
    </w:tbl>
    <w:p w14:paraId="43945BBE">
      <w:pPr>
        <w:pStyle w:val="165"/>
      </w:pPr>
    </w:p>
    <w:p w14:paraId="055072A7">
      <w:pPr>
        <w:pStyle w:val="169"/>
      </w:pPr>
      <w:r>
        <w:t>状态标签约定</w:t>
      </w:r>
    </w:p>
    <w:p w14:paraId="7D7AE2D5">
      <w:pPr>
        <w:pStyle w:val="173"/>
      </w:pPr>
      <w:r>
        <w:t>已明确：用户已经表达的研究意图。建议基线：为形成可实现闭环而提出的默认方案，尚可修改。示例：帮助理解或调试的数值，不是调优结果。待定Dxx：需要选择、测量或验证的事项，统一收录在第22章。</w:t>
      </w:r>
    </w:p>
    <w:p w14:paraId="345FC875">
      <w:pPr>
        <w:pStyle w:val="169"/>
      </w:pPr>
      <w:r>
        <w:t>公式与代码约定</w:t>
      </w:r>
    </w:p>
    <w:p w14:paraId="13A4BC76">
      <w:pPr>
        <w:pStyle w:val="173"/>
      </w:pPr>
      <w:r>
        <w:t>公式使用可编辑的Word数学对象。附录C代码是结构伪代码，接口和异常策略仍需实现。图示均为概念或算例示意。物理单位、时间目标和信息来源以正文定义为准。</w:t>
      </w:r>
    </w:p>
    <w:p w14:paraId="5603DD99">
      <w:pPr>
        <w:pStyle w:val="169"/>
      </w:pPr>
      <w:r>
        <w:t>导航约定</w:t>
      </w:r>
    </w:p>
    <w:p w14:paraId="35C427B8">
      <w:pPr>
        <w:pStyle w:val="173"/>
      </w:pPr>
      <w:r>
        <w:t>下页目录可点击跳转；Word导航窗格可展开二级标题。目录页码与本版排版对应，后续大幅修改时需重新核对。导师汇报草稿在第23章，待讨论事项在第22章。</w:t>
      </w:r>
    </w:p>
    <w:p w14:paraId="000C8EC5">
      <w:pPr>
        <w:pStyle w:val="3"/>
        <w:pageBreakBefore/>
      </w:pPr>
      <w:bookmarkStart w:id="1" w:name="contents"/>
      <w:r>
        <w:t>目录</w:t>
      </w:r>
      <w:bookmarkEnd w:id="1"/>
    </w:p>
    <w:p w14:paraId="1FD8EC06">
      <w:pPr>
        <w:pStyle w:val="168"/>
      </w:pPr>
      <w:r>
        <w:t>点击章节名称可跳转。基础理解、实现规范和研究评测可以分次阅读。</w:t>
      </w:r>
    </w:p>
    <w:p w14:paraId="15075F86">
      <w:pPr>
        <w:pStyle w:val="172"/>
        <w:tabs>
          <w:tab w:val="right" w:leader="dot" w:pos="9245"/>
        </w:tabs>
      </w:pPr>
      <w:r>
        <w:fldChar w:fldCharType="begin"/>
      </w:r>
      <w:r>
        <w:instrText xml:space="preserve"> HYPERLINK \l "chapter_01" \h </w:instrText>
      </w:r>
      <w:r>
        <w:fldChar w:fldCharType="separate"/>
      </w:r>
      <w:r>
        <w:rPr>
          <w:color w:val="2E74B5"/>
        </w:rPr>
        <w:t>1 项目定位、已有想法与本版基线</w:t>
      </w:r>
      <w:r>
        <w:rPr>
          <w:color w:val="2E74B5"/>
        </w:rPr>
        <w:fldChar w:fldCharType="end"/>
      </w:r>
      <w:r>
        <w:tab/>
      </w:r>
      <w:r>
        <w:t>4</w:t>
      </w:r>
    </w:p>
    <w:p w14:paraId="622229AE">
      <w:pPr>
        <w:pStyle w:val="172"/>
        <w:tabs>
          <w:tab w:val="right" w:leader="dot" w:pos="9245"/>
        </w:tabs>
      </w:pPr>
      <w:r>
        <w:fldChar w:fldCharType="begin"/>
      </w:r>
      <w:r>
        <w:instrText xml:space="preserve"> HYPERLINK \l "chapter_02" \h </w:instrText>
      </w:r>
      <w:r>
        <w:fldChar w:fldCharType="separate"/>
      </w:r>
      <w:r>
        <w:rPr>
          <w:color w:val="2E74B5"/>
        </w:rPr>
        <w:t>2 从基础概念理解这套强化学习框架</w:t>
      </w:r>
      <w:r>
        <w:rPr>
          <w:color w:val="2E74B5"/>
        </w:rPr>
        <w:fldChar w:fldCharType="end"/>
      </w:r>
      <w:r>
        <w:tab/>
      </w:r>
      <w:r>
        <w:t>8</w:t>
      </w:r>
    </w:p>
    <w:p w14:paraId="5901374C">
      <w:pPr>
        <w:pStyle w:val="172"/>
        <w:tabs>
          <w:tab w:val="right" w:leader="dot" w:pos="9245"/>
        </w:tabs>
      </w:pPr>
      <w:r>
        <w:fldChar w:fldCharType="begin"/>
      </w:r>
      <w:r>
        <w:instrText xml:space="preserve"> HYPERLINK \l "chapter_03" \h </w:instrText>
      </w:r>
      <w:r>
        <w:fldChar w:fldCharType="separate"/>
      </w:r>
      <w:r>
        <w:rPr>
          <w:color w:val="2E74B5"/>
        </w:rPr>
        <w:t>3 任务边界、目标变量与数学问题</w:t>
      </w:r>
      <w:r>
        <w:rPr>
          <w:color w:val="2E74B5"/>
        </w:rPr>
        <w:fldChar w:fldCharType="end"/>
      </w:r>
      <w:r>
        <w:tab/>
      </w:r>
      <w:r>
        <w:t>11</w:t>
      </w:r>
    </w:p>
    <w:p w14:paraId="5769A3E1">
      <w:pPr>
        <w:pStyle w:val="172"/>
        <w:tabs>
          <w:tab w:val="right" w:leader="dot" w:pos="9245"/>
        </w:tabs>
      </w:pPr>
      <w:r>
        <w:fldChar w:fldCharType="begin"/>
      </w:r>
      <w:r>
        <w:instrText xml:space="preserve"> HYPERLINK \l "chapter_04" \h </w:instrText>
      </w:r>
      <w:r>
        <w:fldChar w:fldCharType="separate"/>
      </w:r>
      <w:r>
        <w:rPr>
          <w:color w:val="2E74B5"/>
        </w:rPr>
        <w:t>4 车道单元有向图的设计与使用</w:t>
      </w:r>
      <w:r>
        <w:rPr>
          <w:color w:val="2E74B5"/>
        </w:rPr>
        <w:fldChar w:fldCharType="end"/>
      </w:r>
      <w:r>
        <w:tab/>
      </w:r>
      <w:r>
        <w:t>14</w:t>
      </w:r>
    </w:p>
    <w:p w14:paraId="6B23D2D3">
      <w:pPr>
        <w:pStyle w:val="172"/>
        <w:tabs>
          <w:tab w:val="right" w:leader="dot" w:pos="9245"/>
        </w:tabs>
      </w:pPr>
      <w:r>
        <w:fldChar w:fldCharType="begin"/>
      </w:r>
      <w:r>
        <w:instrText xml:space="preserve"> HYPERLINK \l "chapter_05" \h </w:instrText>
      </w:r>
      <w:r>
        <w:fldChar w:fldCharType="separate"/>
      </w:r>
      <w:r>
        <w:rPr>
          <w:color w:val="2E74B5"/>
        </w:rPr>
        <w:t>5 传感器观测、信息边界与数据泄漏</w:t>
      </w:r>
      <w:r>
        <w:rPr>
          <w:color w:val="2E74B5"/>
        </w:rPr>
        <w:fldChar w:fldCharType="end"/>
      </w:r>
      <w:r>
        <w:tab/>
      </w:r>
      <w:r>
        <w:t>17</w:t>
      </w:r>
    </w:p>
    <w:p w14:paraId="12952D14">
      <w:pPr>
        <w:pStyle w:val="172"/>
        <w:tabs>
          <w:tab w:val="right" w:leader="dot" w:pos="9245"/>
        </w:tabs>
      </w:pPr>
      <w:r>
        <w:fldChar w:fldCharType="begin"/>
      </w:r>
      <w:r>
        <w:instrText xml:space="preserve"> HYPERLINK \l "chapter_06" \h </w:instrText>
      </w:r>
      <w:r>
        <w:fldChar w:fldCharType="separate"/>
      </w:r>
      <w:r>
        <w:rPr>
          <w:color w:val="2E74B5"/>
        </w:rPr>
        <w:t>6 交通状态估计器与强化学习的接口</w:t>
      </w:r>
      <w:r>
        <w:rPr>
          <w:color w:val="2E74B5"/>
        </w:rPr>
        <w:fldChar w:fldCharType="end"/>
      </w:r>
      <w:r>
        <w:tab/>
      </w:r>
      <w:r>
        <w:t>20</w:t>
      </w:r>
    </w:p>
    <w:p w14:paraId="4AAF3E59">
      <w:pPr>
        <w:pStyle w:val="172"/>
        <w:tabs>
          <w:tab w:val="right" w:leader="dot" w:pos="9245"/>
        </w:tabs>
      </w:pPr>
      <w:r>
        <w:fldChar w:fldCharType="begin"/>
      </w:r>
      <w:r>
        <w:instrText xml:space="preserve"> HYPERLINK \l "chapter_07" \h </w:instrText>
      </w:r>
      <w:r>
        <w:fldChar w:fldCharType="separate"/>
      </w:r>
      <w:r>
        <w:rPr>
          <w:color w:val="2E74B5"/>
        </w:rPr>
        <w:t>7 策略输入的字段、张量与记忆</w:t>
      </w:r>
      <w:r>
        <w:rPr>
          <w:color w:val="2E74B5"/>
        </w:rPr>
        <w:fldChar w:fldCharType="end"/>
      </w:r>
      <w:r>
        <w:tab/>
      </w:r>
      <w:r>
        <w:t>23</w:t>
      </w:r>
    </w:p>
    <w:p w14:paraId="60F26099">
      <w:pPr>
        <w:pStyle w:val="172"/>
        <w:tabs>
          <w:tab w:val="right" w:leader="dot" w:pos="9245"/>
        </w:tabs>
      </w:pPr>
      <w:r>
        <w:fldChar w:fldCharType="begin"/>
      </w:r>
      <w:r>
        <w:instrText xml:space="preserve"> HYPERLINK \l "chapter_08" \h </w:instrText>
      </w:r>
      <w:r>
        <w:fldChar w:fldCharType="separate"/>
      </w:r>
      <w:r>
        <w:rPr>
          <w:color w:val="2E74B5"/>
        </w:rPr>
        <w:t>8 车道级动作、候选路径与驾驶执行</w:t>
      </w:r>
      <w:r>
        <w:rPr>
          <w:color w:val="2E74B5"/>
        </w:rPr>
        <w:fldChar w:fldCharType="end"/>
      </w:r>
      <w:r>
        <w:tab/>
      </w:r>
      <w:r>
        <w:t>26</w:t>
      </w:r>
    </w:p>
    <w:p w14:paraId="4DF8F925">
      <w:pPr>
        <w:pStyle w:val="172"/>
        <w:tabs>
          <w:tab w:val="right" w:leader="dot" w:pos="9245"/>
        </w:tabs>
      </w:pPr>
      <w:r>
        <w:fldChar w:fldCharType="begin"/>
      </w:r>
      <w:r>
        <w:instrText xml:space="preserve"> HYPERLINK \l "chapter_09" \h </w:instrText>
      </w:r>
      <w:r>
        <w:fldChar w:fldCharType="separate"/>
      </w:r>
      <w:r>
        <w:rPr>
          <w:color w:val="2E74B5"/>
        </w:rPr>
        <w:t>9 外围绕行、返回选择与时间抽象</w:t>
      </w:r>
      <w:r>
        <w:rPr>
          <w:color w:val="2E74B5"/>
        </w:rPr>
        <w:fldChar w:fldCharType="end"/>
      </w:r>
      <w:r>
        <w:tab/>
      </w:r>
      <w:r>
        <w:t>29</w:t>
      </w:r>
    </w:p>
    <w:p w14:paraId="1880B7D3">
      <w:pPr>
        <w:pStyle w:val="172"/>
        <w:tabs>
          <w:tab w:val="right" w:leader="dot" w:pos="9245"/>
        </w:tabs>
      </w:pPr>
      <w:r>
        <w:fldChar w:fldCharType="begin"/>
      </w:r>
      <w:r>
        <w:instrText xml:space="preserve"> HYPERLINK \l "chapter_10" \h </w:instrText>
      </w:r>
      <w:r>
        <w:fldChar w:fldCharType="separate"/>
      </w:r>
      <w:r>
        <w:rPr>
          <w:color w:val="2E74B5"/>
        </w:rPr>
        <w:t>10 多时间尺度与一次完整交互算例</w:t>
      </w:r>
      <w:r>
        <w:rPr>
          <w:color w:val="2E74B5"/>
        </w:rPr>
        <w:fldChar w:fldCharType="end"/>
      </w:r>
      <w:r>
        <w:tab/>
      </w:r>
      <w:r>
        <w:t>31</w:t>
      </w:r>
    </w:p>
    <w:p w14:paraId="6ADB09C6">
      <w:pPr>
        <w:pStyle w:val="172"/>
        <w:tabs>
          <w:tab w:val="right" w:leader="dot" w:pos="9245"/>
        </w:tabs>
      </w:pPr>
      <w:r>
        <w:fldChar w:fldCharType="begin"/>
      </w:r>
      <w:r>
        <w:instrText xml:space="preserve"> HYPERLINK \l "chapter_11" \h </w:instrText>
      </w:r>
      <w:r>
        <w:fldChar w:fldCharType="separate"/>
      </w:r>
      <w:r>
        <w:rPr>
          <w:color w:val="2E74B5"/>
        </w:rPr>
        <w:t>11 目标函数、逐步奖励与信息价值</w:t>
      </w:r>
      <w:r>
        <w:rPr>
          <w:color w:val="2E74B5"/>
        </w:rPr>
        <w:fldChar w:fldCharType="end"/>
      </w:r>
      <w:r>
        <w:tab/>
      </w:r>
      <w:r>
        <w:t>34</w:t>
      </w:r>
    </w:p>
    <w:p w14:paraId="3D8B0B1A">
      <w:pPr>
        <w:pStyle w:val="172"/>
        <w:tabs>
          <w:tab w:val="right" w:leader="dot" w:pos="9245"/>
        </w:tabs>
      </w:pPr>
      <w:r>
        <w:fldChar w:fldCharType="begin"/>
      </w:r>
      <w:r>
        <w:instrText xml:space="preserve"> HYPERLINK \l "chapter_12" \h </w:instrText>
      </w:r>
      <w:r>
        <w:fldChar w:fldCharType="separate"/>
      </w:r>
      <w:r>
        <w:rPr>
          <w:color w:val="2E74B5"/>
        </w:rPr>
        <w:t>12 Episode、停止条件与任务失败</w:t>
      </w:r>
      <w:r>
        <w:rPr>
          <w:color w:val="2E74B5"/>
        </w:rPr>
        <w:fldChar w:fldCharType="end"/>
      </w:r>
      <w:r>
        <w:tab/>
      </w:r>
      <w:r>
        <w:t>37</w:t>
      </w:r>
    </w:p>
    <w:p w14:paraId="58DE7837">
      <w:pPr>
        <w:pStyle w:val="172"/>
        <w:tabs>
          <w:tab w:val="right" w:leader="dot" w:pos="9245"/>
        </w:tabs>
      </w:pPr>
      <w:r>
        <w:fldChar w:fldCharType="begin"/>
      </w:r>
      <w:r>
        <w:instrText xml:space="preserve"> HYPERLINK \l "chapter_13" \h </w:instrText>
      </w:r>
      <w:r>
        <w:fldChar w:fldCharType="separate"/>
      </w:r>
      <w:r>
        <w:rPr>
          <w:color w:val="2E74B5"/>
        </w:rPr>
        <w:t>13 SUMO交通仿真环境的建设</w:t>
      </w:r>
      <w:r>
        <w:rPr>
          <w:color w:val="2E74B5"/>
        </w:rPr>
        <w:fldChar w:fldCharType="end"/>
      </w:r>
      <w:r>
        <w:tab/>
      </w:r>
      <w:r>
        <w:t>39</w:t>
      </w:r>
    </w:p>
    <w:p w14:paraId="25E5D908">
      <w:pPr>
        <w:pStyle w:val="172"/>
        <w:tabs>
          <w:tab w:val="right" w:leader="dot" w:pos="9245"/>
        </w:tabs>
      </w:pPr>
      <w:r>
        <w:fldChar w:fldCharType="begin"/>
      </w:r>
      <w:r>
        <w:instrText xml:space="preserve"> HYPERLINK \l "chapter_14" \h </w:instrText>
      </w:r>
      <w:r>
        <w:fldChar w:fldCharType="separate"/>
      </w:r>
      <w:r>
        <w:rPr>
          <w:color w:val="2E74B5"/>
        </w:rPr>
        <w:t>14 Gymnasium封装与环境交互规范</w:t>
      </w:r>
      <w:r>
        <w:rPr>
          <w:color w:val="2E74B5"/>
        </w:rPr>
        <w:fldChar w:fldCharType="end"/>
      </w:r>
      <w:r>
        <w:tab/>
      </w:r>
      <w:r>
        <w:t>42</w:t>
      </w:r>
    </w:p>
    <w:p w14:paraId="35C8DB7A">
      <w:pPr>
        <w:pStyle w:val="172"/>
        <w:tabs>
          <w:tab w:val="right" w:leader="dot" w:pos="9245"/>
        </w:tabs>
      </w:pPr>
      <w:r>
        <w:fldChar w:fldCharType="begin"/>
      </w:r>
      <w:r>
        <w:instrText xml:space="preserve"> HYPERLINK \l "chapter_15" \h </w:instrText>
      </w:r>
      <w:r>
        <w:fldChar w:fldCharType="separate"/>
      </w:r>
      <w:r>
        <w:rPr>
          <w:color w:val="2E74B5"/>
        </w:rPr>
        <w:t>15 Actor–Critic、A2C与PPO的学习原理</w:t>
      </w:r>
      <w:r>
        <w:rPr>
          <w:color w:val="2E74B5"/>
        </w:rPr>
        <w:fldChar w:fldCharType="end"/>
      </w:r>
      <w:r>
        <w:tab/>
      </w:r>
      <w:r>
        <w:t>45</w:t>
      </w:r>
    </w:p>
    <w:p w14:paraId="08AF0A43">
      <w:pPr>
        <w:pStyle w:val="172"/>
        <w:tabs>
          <w:tab w:val="right" w:leader="dot" w:pos="9245"/>
        </w:tabs>
      </w:pPr>
      <w:r>
        <w:fldChar w:fldCharType="begin"/>
      </w:r>
      <w:r>
        <w:instrText xml:space="preserve"> HYPERLINK \l "chapter_16" \h </w:instrText>
      </w:r>
      <w:r>
        <w:fldChar w:fldCharType="separate"/>
      </w:r>
      <w:r>
        <w:rPr>
          <w:color w:val="2E74B5"/>
        </w:rPr>
        <w:t>16 网络实现、循环序列和动作掩码</w:t>
      </w:r>
      <w:r>
        <w:rPr>
          <w:color w:val="2E74B5"/>
        </w:rPr>
        <w:fldChar w:fldCharType="end"/>
      </w:r>
      <w:r>
        <w:tab/>
      </w:r>
      <w:r>
        <w:t>49</w:t>
      </w:r>
    </w:p>
    <w:p w14:paraId="542DACAA">
      <w:pPr>
        <w:pStyle w:val="172"/>
        <w:tabs>
          <w:tab w:val="right" w:leader="dot" w:pos="9245"/>
        </w:tabs>
      </w:pPr>
      <w:r>
        <w:fldChar w:fldCharType="begin"/>
      </w:r>
      <w:r>
        <w:instrText xml:space="preserve"> HYPERLINK \l "chapter_17" \h </w:instrText>
      </w:r>
      <w:r>
        <w:fldChar w:fldCharType="separate"/>
      </w:r>
      <w:r>
        <w:rPr>
          <w:color w:val="2E74B5"/>
        </w:rPr>
        <w:t>17 从准备到正式训练的组织流程</w:t>
      </w:r>
      <w:r>
        <w:rPr>
          <w:color w:val="2E74B5"/>
        </w:rPr>
        <w:fldChar w:fldCharType="end"/>
      </w:r>
      <w:r>
        <w:tab/>
      </w:r>
      <w:r>
        <w:t>52</w:t>
      </w:r>
    </w:p>
    <w:p w14:paraId="728A601F">
      <w:pPr>
        <w:pStyle w:val="172"/>
        <w:tabs>
          <w:tab w:val="right" w:leader="dot" w:pos="9245"/>
        </w:tabs>
      </w:pPr>
      <w:r>
        <w:fldChar w:fldCharType="begin"/>
      </w:r>
      <w:r>
        <w:instrText xml:space="preserve"> HYPERLINK \l "chapter_18" \h </w:instrText>
      </w:r>
      <w:r>
        <w:fldChar w:fldCharType="separate"/>
      </w:r>
      <w:r>
        <w:rPr>
          <w:color w:val="2E74B5"/>
        </w:rPr>
        <w:t>18 轨迹数据、Transformer与泛化分支</w:t>
      </w:r>
      <w:r>
        <w:rPr>
          <w:color w:val="2E74B5"/>
        </w:rPr>
        <w:fldChar w:fldCharType="end"/>
      </w:r>
      <w:r>
        <w:tab/>
      </w:r>
      <w:r>
        <w:t>55</w:t>
      </w:r>
    </w:p>
    <w:p w14:paraId="77235276">
      <w:pPr>
        <w:pStyle w:val="172"/>
        <w:tabs>
          <w:tab w:val="right" w:leader="dot" w:pos="9245"/>
        </w:tabs>
      </w:pPr>
      <w:r>
        <w:fldChar w:fldCharType="begin"/>
      </w:r>
      <w:r>
        <w:instrText xml:space="preserve"> HYPERLINK \l "chapter_19" \h </w:instrText>
      </w:r>
      <w:r>
        <w:fldChar w:fldCharType="separate"/>
      </w:r>
      <w:r>
        <w:rPr>
          <w:color w:val="2E74B5"/>
        </w:rPr>
        <w:t>19 实验设计、评价指标与统计比较</w:t>
      </w:r>
      <w:r>
        <w:rPr>
          <w:color w:val="2E74B5"/>
        </w:rPr>
        <w:fldChar w:fldCharType="end"/>
      </w:r>
      <w:r>
        <w:tab/>
      </w:r>
      <w:r>
        <w:t>58</w:t>
      </w:r>
    </w:p>
    <w:p w14:paraId="253FFAFE">
      <w:pPr>
        <w:pStyle w:val="172"/>
        <w:tabs>
          <w:tab w:val="right" w:leader="dot" w:pos="9245"/>
        </w:tabs>
      </w:pPr>
      <w:r>
        <w:fldChar w:fldCharType="begin"/>
      </w:r>
      <w:r>
        <w:instrText xml:space="preserve"> HYPERLINK \l "chapter_20" \h </w:instrText>
      </w:r>
      <w:r>
        <w:fldChar w:fldCharType="separate"/>
      </w:r>
      <w:r>
        <w:rPr>
          <w:color w:val="2E74B5"/>
        </w:rPr>
        <w:t>20 工程结构、性能与部署路径</w:t>
      </w:r>
      <w:r>
        <w:rPr>
          <w:color w:val="2E74B5"/>
        </w:rPr>
        <w:fldChar w:fldCharType="end"/>
      </w:r>
      <w:r>
        <w:tab/>
      </w:r>
      <w:r>
        <w:t>60</w:t>
      </w:r>
    </w:p>
    <w:p w14:paraId="7FA5C137">
      <w:pPr>
        <w:pStyle w:val="172"/>
        <w:tabs>
          <w:tab w:val="right" w:leader="dot" w:pos="9245"/>
        </w:tabs>
      </w:pPr>
      <w:r>
        <w:fldChar w:fldCharType="begin"/>
      </w:r>
      <w:r>
        <w:instrText xml:space="preserve"> HYPERLINK \l "chapter_21" \h </w:instrText>
      </w:r>
      <w:r>
        <w:fldChar w:fldCharType="separate"/>
      </w:r>
      <w:r>
        <w:rPr>
          <w:color w:val="2E74B5"/>
        </w:rPr>
        <w:t>21 科学问题、研究假设与结论边界</w:t>
      </w:r>
      <w:r>
        <w:rPr>
          <w:color w:val="2E74B5"/>
        </w:rPr>
        <w:fldChar w:fldCharType="end"/>
      </w:r>
      <w:r>
        <w:tab/>
      </w:r>
      <w:r>
        <w:t>62</w:t>
      </w:r>
    </w:p>
    <w:p w14:paraId="122C44F3">
      <w:pPr>
        <w:pStyle w:val="172"/>
        <w:tabs>
          <w:tab w:val="right" w:leader="dot" w:pos="9245"/>
        </w:tabs>
      </w:pPr>
      <w:r>
        <w:fldChar w:fldCharType="begin"/>
      </w:r>
      <w:r>
        <w:instrText xml:space="preserve"> HYPERLINK \l "chapter_22" \h </w:instrText>
      </w:r>
      <w:r>
        <w:fldChar w:fldCharType="separate"/>
      </w:r>
      <w:r>
        <w:rPr>
          <w:color w:val="2E74B5"/>
        </w:rPr>
        <w:t>22 待讨论事项与决策登记</w:t>
      </w:r>
      <w:r>
        <w:rPr>
          <w:color w:val="2E74B5"/>
        </w:rPr>
        <w:fldChar w:fldCharType="end"/>
      </w:r>
      <w:r>
        <w:tab/>
      </w:r>
      <w:r>
        <w:t>64</w:t>
      </w:r>
    </w:p>
    <w:p w14:paraId="05147C8A">
      <w:pPr>
        <w:pStyle w:val="172"/>
        <w:tabs>
          <w:tab w:val="right" w:leader="dot" w:pos="9245"/>
        </w:tabs>
      </w:pPr>
      <w:r>
        <w:fldChar w:fldCharType="begin"/>
      </w:r>
      <w:r>
        <w:instrText xml:space="preserve"> HYPERLINK \l "chapter_23" \h </w:instrText>
      </w:r>
      <w:r>
        <w:fldChar w:fldCharType="separate"/>
      </w:r>
      <w:r>
        <w:rPr>
          <w:color w:val="2E74B5"/>
        </w:rPr>
        <w:t>23 分阶段成果与导师汇报组织</w:t>
      </w:r>
      <w:r>
        <w:rPr>
          <w:color w:val="2E74B5"/>
        </w:rPr>
        <w:fldChar w:fldCharType="end"/>
      </w:r>
      <w:r>
        <w:tab/>
      </w:r>
      <w:r>
        <w:t>69</w:t>
      </w:r>
    </w:p>
    <w:p w14:paraId="65AFDA01">
      <w:pPr>
        <w:pStyle w:val="172"/>
        <w:tabs>
          <w:tab w:val="right" w:leader="dot" w:pos="9245"/>
        </w:tabs>
      </w:pPr>
      <w:r>
        <w:fldChar w:fldCharType="begin"/>
      </w:r>
      <w:r>
        <w:instrText xml:space="preserve"> HYPERLINK \l "chapter_24" \h </w:instrText>
      </w:r>
      <w:r>
        <w:fldChar w:fldCharType="separate"/>
      </w:r>
      <w:r>
        <w:rPr>
          <w:color w:val="2E74B5"/>
        </w:rPr>
        <w:t>附录A 符号、术语与单位</w:t>
      </w:r>
      <w:r>
        <w:rPr>
          <w:color w:val="2E74B5"/>
        </w:rPr>
        <w:fldChar w:fldCharType="end"/>
      </w:r>
      <w:r>
        <w:tab/>
      </w:r>
      <w:r>
        <w:t>72</w:t>
      </w:r>
    </w:p>
    <w:p w14:paraId="4870630B">
      <w:pPr>
        <w:pStyle w:val="172"/>
        <w:tabs>
          <w:tab w:val="right" w:leader="dot" w:pos="9245"/>
        </w:tabs>
      </w:pPr>
      <w:r>
        <w:fldChar w:fldCharType="begin"/>
      </w:r>
      <w:r>
        <w:instrText xml:space="preserve"> HYPERLINK \l "chapter_25" \h </w:instrText>
      </w:r>
      <w:r>
        <w:fldChar w:fldCharType="separate"/>
      </w:r>
      <w:r>
        <w:rPr>
          <w:color w:val="2E74B5"/>
        </w:rPr>
        <w:t>附录B 配置草案与参数依据</w:t>
      </w:r>
      <w:r>
        <w:rPr>
          <w:color w:val="2E74B5"/>
        </w:rPr>
        <w:fldChar w:fldCharType="end"/>
      </w:r>
      <w:r>
        <w:tab/>
      </w:r>
      <w:r>
        <w:t>74</w:t>
      </w:r>
    </w:p>
    <w:p w14:paraId="3FDC1511">
      <w:pPr>
        <w:pStyle w:val="172"/>
        <w:tabs>
          <w:tab w:val="right" w:leader="dot" w:pos="9245"/>
        </w:tabs>
      </w:pPr>
      <w:r>
        <w:fldChar w:fldCharType="begin"/>
      </w:r>
      <w:r>
        <w:instrText xml:space="preserve"> HYPERLINK \l "chapter_26" \h </w:instrText>
      </w:r>
      <w:r>
        <w:fldChar w:fldCharType="separate"/>
      </w:r>
      <w:r>
        <w:rPr>
          <w:color w:val="2E74B5"/>
        </w:rPr>
        <w:t>附录C 核心伪代码与接口契约</w:t>
      </w:r>
      <w:r>
        <w:rPr>
          <w:color w:val="2E74B5"/>
        </w:rPr>
        <w:fldChar w:fldCharType="end"/>
      </w:r>
      <w:r>
        <w:tab/>
      </w:r>
      <w:r>
        <w:t>76</w:t>
      </w:r>
    </w:p>
    <w:p w14:paraId="14BCFF13">
      <w:pPr>
        <w:pStyle w:val="172"/>
        <w:tabs>
          <w:tab w:val="right" w:leader="dot" w:pos="9245"/>
        </w:tabs>
      </w:pPr>
      <w:r>
        <w:fldChar w:fldCharType="begin"/>
      </w:r>
      <w:r>
        <w:instrText xml:space="preserve"> HYPERLINK \l "chapter_27" \h </w:instrText>
      </w:r>
      <w:r>
        <w:fldChar w:fldCharType="separate"/>
      </w:r>
      <w:r>
        <w:rPr>
          <w:color w:val="2E74B5"/>
        </w:rPr>
        <w:t>附录D 实现核对、故障定位与常见误解</w:t>
      </w:r>
      <w:r>
        <w:rPr>
          <w:color w:val="2E74B5"/>
        </w:rPr>
        <w:fldChar w:fldCharType="end"/>
      </w:r>
      <w:r>
        <w:tab/>
      </w:r>
      <w:r>
        <w:t>82</w:t>
      </w:r>
    </w:p>
    <w:p w14:paraId="75F1FAE0">
      <w:pPr>
        <w:pStyle w:val="172"/>
        <w:tabs>
          <w:tab w:val="right" w:leader="dot" w:pos="9245"/>
        </w:tabs>
      </w:pPr>
      <w:r>
        <w:fldChar w:fldCharType="begin"/>
      </w:r>
      <w:r>
        <w:instrText xml:space="preserve"> HYPERLINK \l "chapter_28" \h </w:instrText>
      </w:r>
      <w:r>
        <w:fldChar w:fldCharType="separate"/>
      </w:r>
      <w:r>
        <w:rPr>
          <w:color w:val="2E74B5"/>
        </w:rPr>
        <w:t>附录E 依据、参考文献与来源使用范围</w:t>
      </w:r>
      <w:r>
        <w:rPr>
          <w:color w:val="2E74B5"/>
        </w:rPr>
        <w:fldChar w:fldCharType="end"/>
      </w:r>
      <w:r>
        <w:tab/>
      </w:r>
      <w:r>
        <w:t>85</w:t>
      </w:r>
    </w:p>
    <w:p w14:paraId="5C738D7D">
      <w:pPr>
        <w:pStyle w:val="3"/>
        <w:pageBreakBefore/>
      </w:pPr>
      <w:bookmarkStart w:id="2" w:name="chapter_01"/>
      <w:r>
        <w:t>1 项目定位、已有想法与本版基线</w:t>
      </w:r>
      <w:bookmarkEnd w:id="2"/>
    </w:p>
    <w:p w14:paraId="730EDDC8">
      <w:pPr>
        <w:pStyle w:val="4"/>
      </w:pPr>
      <w:r>
        <w:t>1.1 本文要解决什么问题</w:t>
      </w:r>
    </w:p>
    <w:p w14:paraId="4FF2AA68">
      <w:r>
        <w:t>本项目研究一辆主动探测车：它在数据匮乏的目标交叉口及必要的周边道路上合法行驶，通过有限视野获得局部车辆信息，估计整个目标区域的关键交通状态，并根据已有信息选择后续探测行为。强化学习承担“如何行动以改善信息获取”的任务。它与交通仿真、传感器模型、交通状态估计器、驾驶执行器共同构成闭环。</w:t>
      </w:r>
    </w:p>
    <w:p w14:paraId="531909E0">
      <w:r>
        <w:t>本文是研究设计与实现说明书。它把当前讨论整理成一套可以逐步搭建的方案，同时保留尚未确定的分支。本文不声称已实现环境、不提供已训练模型、不包含实验性能结论。文中的数值、网络宽度和时间设置如未另行说明，均为解释或预实验起点。向导师汇报时，应使用“拟采用、拟验证、预实验设置”等表述。</w:t>
      </w:r>
    </w:p>
    <w:p w14:paraId="2A2BF7BD">
      <w:r>
        <w:t>最核心的因果链是：行动改变探测车的位置和观察条件，观察条件改变可获得的数据，数据改变交通状态估计，估计及其可靠性影响下一次行动。缺少任何一环，都可能使“主动感知”变成与目标无关的路线选择。</w:t>
      </w:r>
    </w:p>
    <w:p w14:paraId="2052ADFD">
      <w:pPr>
        <w:keepNext/>
        <w:jc w:val="center"/>
      </w:pPr>
      <w:r>
        <w:drawing>
          <wp:inline distT="0" distB="0" distL="114300" distR="114300">
            <wp:extent cx="5943600" cy="4114800"/>
            <wp:effectExtent l="0" t="0" r="0" b="0"/>
            <wp:docPr id="1" name="Picture 1" descr="主动探测的闭环与训练评价支路。实线表示在线信息与执行链，灰色虚线标识训练专用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主动探测的闭环与训练评价支路。实线表示在线信息与执行链，灰色虚线标识训练专用关联。"/>
                    <pic:cNvPicPr>
                      <a:picLocks noChangeAspect="1"/>
                    </pic:cNvPicPr>
                  </pic:nvPicPr>
                  <pic:blipFill>
                    <a:blip r:embed="rId8"/>
                    <a:stretch>
                      <a:fillRect/>
                    </a:stretch>
                  </pic:blipFill>
                  <pic:spPr>
                    <a:xfrm>
                      <a:off x="0" y="0"/>
                      <a:ext cx="5943600" cy="4114800"/>
                    </a:xfrm>
                    <a:prstGeom prst="rect">
                      <a:avLst/>
                    </a:prstGeom>
                  </pic:spPr>
                </pic:pic>
              </a:graphicData>
            </a:graphic>
          </wp:inline>
        </w:drawing>
      </w:r>
    </w:p>
    <w:p w14:paraId="41E61149">
      <w:pPr>
        <w:pStyle w:val="15"/>
      </w:pPr>
      <w:r>
        <w:t>图 1  主动探测的闭环与训练评价支路。实线表示在线信息与执行链，灰色虚线标识训练专用关联。</w:t>
      </w:r>
    </w:p>
    <w:p w14:paraId="10BF1CE3">
      <w:pPr>
        <w:pStyle w:val="4"/>
      </w:pPr>
      <w:r>
        <w:t>1.2 用户已表达的意图与尚未形成结论的内容</w:t>
      </w:r>
    </w:p>
    <w:p w14:paraId="352E6DB1">
      <w:pPr>
        <w:pStyle w:val="15"/>
        <w:keepNext/>
      </w:pPr>
      <w:r>
        <w:t>表 2  事项 / 当前记录</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22EF2AE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3BD3CA4F">
            <w:pPr>
              <w:pStyle w:val="164"/>
              <w:keepNext/>
            </w:pPr>
            <w:r>
              <w:rPr>
                <w:b/>
              </w:rPr>
              <w:t>事项</w:t>
            </w:r>
          </w:p>
        </w:tc>
        <w:tc>
          <w:tcPr>
            <w:tcW w:w="3600" w:type="dxa"/>
            <w:shd w:val="clear" w:color="auto" w:fill="E8EEF5"/>
            <w:tcMar>
              <w:top w:w="80" w:type="dxa"/>
              <w:left w:w="120" w:type="dxa"/>
              <w:bottom w:w="80" w:type="dxa"/>
              <w:right w:w="120" w:type="dxa"/>
            </w:tcMar>
            <w:vAlign w:val="center"/>
          </w:tcPr>
          <w:p w14:paraId="39CEF197">
            <w:pPr>
              <w:pStyle w:val="164"/>
              <w:keepNext/>
            </w:pPr>
            <w:r>
              <w:rPr>
                <w:b/>
              </w:rPr>
              <w:t>当前记录</w:t>
            </w:r>
          </w:p>
        </w:tc>
        <w:tc>
          <w:tcPr>
            <w:tcW w:w="3560" w:type="dxa"/>
            <w:shd w:val="clear" w:color="auto" w:fill="E8EEF5"/>
            <w:tcMar>
              <w:top w:w="80" w:type="dxa"/>
              <w:left w:w="120" w:type="dxa"/>
              <w:bottom w:w="80" w:type="dxa"/>
              <w:right w:w="120" w:type="dxa"/>
            </w:tcMar>
            <w:vAlign w:val="center"/>
          </w:tcPr>
          <w:p w14:paraId="6CE2859B">
            <w:pPr>
              <w:pStyle w:val="164"/>
              <w:keepNext/>
            </w:pPr>
            <w:r>
              <w:rPr>
                <w:b/>
              </w:rPr>
              <w:t>文档状态</w:t>
            </w:r>
          </w:p>
        </w:tc>
      </w:tr>
      <w:tr w14:paraId="165556A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42AC285">
            <w:pPr>
              <w:pStyle w:val="164"/>
            </w:pPr>
            <w:r>
              <w:t>研究场景</w:t>
            </w:r>
          </w:p>
        </w:tc>
        <w:tc>
          <w:tcPr>
            <w:tcW w:w="3600" w:type="dxa"/>
            <w:tcMar>
              <w:top w:w="80" w:type="dxa"/>
              <w:left w:w="120" w:type="dxa"/>
              <w:bottom w:w="80" w:type="dxa"/>
              <w:right w:w="120" w:type="dxa"/>
            </w:tcMar>
            <w:vAlign w:val="center"/>
          </w:tcPr>
          <w:p w14:paraId="0076E979">
            <w:pPr>
              <w:pStyle w:val="164"/>
            </w:pPr>
            <w:r>
              <w:t>沿用附件的数据匮乏交叉口背景</w:t>
            </w:r>
          </w:p>
        </w:tc>
        <w:tc>
          <w:tcPr>
            <w:tcW w:w="3560" w:type="dxa"/>
            <w:tcMar>
              <w:top w:w="80" w:type="dxa"/>
              <w:left w:w="120" w:type="dxa"/>
              <w:bottom w:w="80" w:type="dxa"/>
              <w:right w:w="120" w:type="dxa"/>
            </w:tcMar>
            <w:vAlign w:val="center"/>
          </w:tcPr>
          <w:p w14:paraId="1ECF1CE8">
            <w:pPr>
              <w:pStyle w:val="164"/>
            </w:pPr>
            <w:r>
              <w:t>已明确</w:t>
            </w:r>
          </w:p>
        </w:tc>
      </w:tr>
      <w:tr w14:paraId="3F87875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1BCBE8B">
            <w:pPr>
              <w:pStyle w:val="164"/>
            </w:pPr>
            <w:r>
              <w:t>首要研究主体</w:t>
            </w:r>
          </w:p>
        </w:tc>
        <w:tc>
          <w:tcPr>
            <w:tcW w:w="3600" w:type="dxa"/>
            <w:tcMar>
              <w:top w:w="80" w:type="dxa"/>
              <w:left w:w="120" w:type="dxa"/>
              <w:bottom w:w="80" w:type="dxa"/>
              <w:right w:w="120" w:type="dxa"/>
            </w:tcMar>
            <w:vAlign w:val="center"/>
          </w:tcPr>
          <w:p w14:paraId="02711D79">
            <w:pPr>
              <w:pStyle w:val="164"/>
            </w:pPr>
            <w:r>
              <w:t>一辆主动探测车</w:t>
            </w:r>
          </w:p>
        </w:tc>
        <w:tc>
          <w:tcPr>
            <w:tcW w:w="3560" w:type="dxa"/>
            <w:tcMar>
              <w:top w:w="80" w:type="dxa"/>
              <w:left w:w="120" w:type="dxa"/>
              <w:bottom w:w="80" w:type="dxa"/>
              <w:right w:w="120" w:type="dxa"/>
            </w:tcMar>
            <w:vAlign w:val="center"/>
          </w:tcPr>
          <w:p w14:paraId="54F973E8">
            <w:pPr>
              <w:pStyle w:val="164"/>
            </w:pPr>
            <w:r>
              <w:t>已明确</w:t>
            </w:r>
          </w:p>
        </w:tc>
      </w:tr>
      <w:tr w14:paraId="652D7E8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89D0D80">
            <w:pPr>
              <w:pStyle w:val="164"/>
            </w:pPr>
            <w:r>
              <w:t>核心目标</w:t>
            </w:r>
          </w:p>
        </w:tc>
        <w:tc>
          <w:tcPr>
            <w:tcW w:w="3600" w:type="dxa"/>
            <w:tcMar>
              <w:top w:w="80" w:type="dxa"/>
              <w:left w:w="120" w:type="dxa"/>
              <w:bottom w:w="80" w:type="dxa"/>
              <w:right w:w="120" w:type="dxa"/>
            </w:tcMar>
            <w:vAlign w:val="center"/>
          </w:tcPr>
          <w:p w14:paraId="44581C6E">
            <w:pPr>
              <w:pStyle w:val="164"/>
            </w:pPr>
            <w:r>
              <w:t>用片段信息估计目标路口交通状态，并优化探测行为</w:t>
            </w:r>
          </w:p>
        </w:tc>
        <w:tc>
          <w:tcPr>
            <w:tcW w:w="3560" w:type="dxa"/>
            <w:tcMar>
              <w:top w:w="80" w:type="dxa"/>
              <w:left w:w="120" w:type="dxa"/>
              <w:bottom w:w="80" w:type="dxa"/>
              <w:right w:w="120" w:type="dxa"/>
            </w:tcMar>
            <w:vAlign w:val="center"/>
          </w:tcPr>
          <w:p w14:paraId="4DA441D4">
            <w:pPr>
              <w:pStyle w:val="164"/>
            </w:pPr>
            <w:r>
              <w:t>已明确</w:t>
            </w:r>
          </w:p>
        </w:tc>
      </w:tr>
      <w:tr w14:paraId="64D19B0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76EB720">
            <w:pPr>
              <w:pStyle w:val="164"/>
            </w:pPr>
            <w:r>
              <w:t>环境与学习</w:t>
            </w:r>
          </w:p>
        </w:tc>
        <w:tc>
          <w:tcPr>
            <w:tcW w:w="3600" w:type="dxa"/>
            <w:tcMar>
              <w:top w:w="80" w:type="dxa"/>
              <w:left w:w="120" w:type="dxa"/>
              <w:bottom w:w="80" w:type="dxa"/>
              <w:right w:w="120" w:type="dxa"/>
            </w:tcMar>
            <w:vAlign w:val="center"/>
          </w:tcPr>
          <w:p w14:paraId="1D8A93DF">
            <w:pPr>
              <w:pStyle w:val="164"/>
            </w:pPr>
            <w:r>
              <w:t>交通仿真交互、强化学习、多交通条件训练</w:t>
            </w:r>
          </w:p>
        </w:tc>
        <w:tc>
          <w:tcPr>
            <w:tcW w:w="3560" w:type="dxa"/>
            <w:tcMar>
              <w:top w:w="80" w:type="dxa"/>
              <w:left w:w="120" w:type="dxa"/>
              <w:bottom w:w="80" w:type="dxa"/>
              <w:right w:w="120" w:type="dxa"/>
            </w:tcMar>
            <w:vAlign w:val="center"/>
          </w:tcPr>
          <w:p w14:paraId="76659083">
            <w:pPr>
              <w:pStyle w:val="164"/>
            </w:pPr>
            <w:r>
              <w:t>已明确</w:t>
            </w:r>
          </w:p>
        </w:tc>
      </w:tr>
      <w:tr w14:paraId="4C00806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BF62326">
            <w:pPr>
              <w:pStyle w:val="164"/>
            </w:pPr>
            <w:r>
              <w:t>车道级表示</w:t>
            </w:r>
          </w:p>
        </w:tc>
        <w:tc>
          <w:tcPr>
            <w:tcW w:w="3600" w:type="dxa"/>
            <w:tcMar>
              <w:top w:w="80" w:type="dxa"/>
              <w:left w:w="120" w:type="dxa"/>
              <w:bottom w:w="80" w:type="dxa"/>
              <w:right w:w="120" w:type="dxa"/>
            </w:tcMar>
            <w:vAlign w:val="center"/>
          </w:tcPr>
          <w:p w14:paraId="3E54711F">
            <w:pPr>
              <w:pStyle w:val="164"/>
            </w:pPr>
            <w:r>
              <w:t>希望保留单元有向图，理解其与连续驾驶的关系</w:t>
            </w:r>
          </w:p>
        </w:tc>
        <w:tc>
          <w:tcPr>
            <w:tcW w:w="3560" w:type="dxa"/>
            <w:tcMar>
              <w:top w:w="80" w:type="dxa"/>
              <w:left w:w="120" w:type="dxa"/>
              <w:bottom w:w="80" w:type="dxa"/>
              <w:right w:w="120" w:type="dxa"/>
            </w:tcMar>
            <w:vAlign w:val="center"/>
          </w:tcPr>
          <w:p w14:paraId="64070F1F">
            <w:pPr>
              <w:pStyle w:val="164"/>
            </w:pPr>
            <w:r>
              <w:t>已明确的关注点</w:t>
            </w:r>
          </w:p>
        </w:tc>
      </w:tr>
      <w:tr w14:paraId="6504C85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CD60C19">
            <w:pPr>
              <w:pStyle w:val="164"/>
            </w:pPr>
            <w:r>
              <w:t>外围绕行</w:t>
            </w:r>
          </w:p>
        </w:tc>
        <w:tc>
          <w:tcPr>
            <w:tcW w:w="3600" w:type="dxa"/>
            <w:tcMar>
              <w:top w:w="80" w:type="dxa"/>
              <w:left w:w="120" w:type="dxa"/>
              <w:bottom w:w="80" w:type="dxa"/>
              <w:right w:w="120" w:type="dxa"/>
            </w:tcMar>
            <w:vAlign w:val="center"/>
          </w:tcPr>
          <w:p w14:paraId="638B03EF">
            <w:pPr>
              <w:pStyle w:val="164"/>
            </w:pPr>
            <w:r>
              <w:t>合法驶出并重新进入的总体思路已大致解决</w:t>
            </w:r>
          </w:p>
        </w:tc>
        <w:tc>
          <w:tcPr>
            <w:tcW w:w="3560" w:type="dxa"/>
            <w:tcMar>
              <w:top w:w="80" w:type="dxa"/>
              <w:left w:w="120" w:type="dxa"/>
              <w:bottom w:w="80" w:type="dxa"/>
              <w:right w:w="120" w:type="dxa"/>
            </w:tcMar>
            <w:vAlign w:val="center"/>
          </w:tcPr>
          <w:p w14:paraId="7912EB74">
            <w:pPr>
              <w:pStyle w:val="164"/>
            </w:pPr>
            <w:r>
              <w:t>具体路网待落图</w:t>
            </w:r>
          </w:p>
        </w:tc>
      </w:tr>
      <w:tr w14:paraId="2D4CF62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52947CE">
            <w:pPr>
              <w:pStyle w:val="164"/>
            </w:pPr>
            <w:r>
              <w:t>终止方式</w:t>
            </w:r>
          </w:p>
        </w:tc>
        <w:tc>
          <w:tcPr>
            <w:tcW w:w="3600" w:type="dxa"/>
            <w:tcMar>
              <w:top w:w="80" w:type="dxa"/>
              <w:left w:w="120" w:type="dxa"/>
              <w:bottom w:w="80" w:type="dxa"/>
              <w:right w:w="120" w:type="dxa"/>
            </w:tcMar>
            <w:vAlign w:val="center"/>
          </w:tcPr>
          <w:p w14:paraId="62B507BC">
            <w:pPr>
              <w:pStyle w:val="164"/>
            </w:pPr>
            <w:r>
              <w:t>固定预算与质量阈值均曾提出</w:t>
            </w:r>
          </w:p>
        </w:tc>
        <w:tc>
          <w:tcPr>
            <w:tcW w:w="3560" w:type="dxa"/>
            <w:tcMar>
              <w:top w:w="80" w:type="dxa"/>
              <w:left w:w="120" w:type="dxa"/>
              <w:bottom w:w="80" w:type="dxa"/>
              <w:right w:w="120" w:type="dxa"/>
            </w:tcMar>
            <w:vAlign w:val="center"/>
          </w:tcPr>
          <w:p w14:paraId="230A510D">
            <w:pPr>
              <w:pStyle w:val="164"/>
            </w:pPr>
            <w:r>
              <w:t>待定 D01、D12</w:t>
            </w:r>
          </w:p>
        </w:tc>
      </w:tr>
      <w:tr w14:paraId="71B74FD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01649F3">
            <w:pPr>
              <w:pStyle w:val="164"/>
            </w:pPr>
            <w:r>
              <w:t>Transformer</w:t>
            </w:r>
          </w:p>
        </w:tc>
        <w:tc>
          <w:tcPr>
            <w:tcW w:w="3600" w:type="dxa"/>
            <w:tcMar>
              <w:top w:w="80" w:type="dxa"/>
              <w:left w:w="120" w:type="dxa"/>
              <w:bottom w:w="80" w:type="dxa"/>
              <w:right w:w="120" w:type="dxa"/>
            </w:tcMar>
            <w:vAlign w:val="center"/>
          </w:tcPr>
          <w:p w14:paraId="34507203">
            <w:pPr>
              <w:pStyle w:val="164"/>
            </w:pPr>
            <w:r>
              <w:t>希望研究序列学习和泛化</w:t>
            </w:r>
          </w:p>
        </w:tc>
        <w:tc>
          <w:tcPr>
            <w:tcW w:w="3560" w:type="dxa"/>
            <w:tcMar>
              <w:top w:w="80" w:type="dxa"/>
              <w:left w:w="120" w:type="dxa"/>
              <w:bottom w:w="80" w:type="dxa"/>
              <w:right w:w="120" w:type="dxa"/>
            </w:tcMar>
            <w:vAlign w:val="center"/>
          </w:tcPr>
          <w:p w14:paraId="412E22B0">
            <w:pPr>
              <w:pStyle w:val="164"/>
            </w:pPr>
            <w:r>
              <w:t>候选扩展 D17</w:t>
            </w:r>
          </w:p>
        </w:tc>
      </w:tr>
      <w:tr w14:paraId="2DA8998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E8F4AEA">
            <w:pPr>
              <w:pStyle w:val="164"/>
            </w:pPr>
            <w:r>
              <w:t>硬件布局优化</w:t>
            </w:r>
          </w:p>
        </w:tc>
        <w:tc>
          <w:tcPr>
            <w:tcW w:w="3600" w:type="dxa"/>
            <w:tcMar>
              <w:top w:w="80" w:type="dxa"/>
              <w:left w:w="120" w:type="dxa"/>
              <w:bottom w:w="80" w:type="dxa"/>
              <w:right w:w="120" w:type="dxa"/>
            </w:tcMar>
            <w:vAlign w:val="center"/>
          </w:tcPr>
          <w:p w14:paraId="2C4A787C">
            <w:pPr>
              <w:pStyle w:val="164"/>
            </w:pPr>
            <w:r>
              <w:t>可不作为本项目研究内容</w:t>
            </w:r>
          </w:p>
        </w:tc>
        <w:tc>
          <w:tcPr>
            <w:tcW w:w="3560" w:type="dxa"/>
            <w:tcMar>
              <w:top w:w="80" w:type="dxa"/>
              <w:left w:w="120" w:type="dxa"/>
              <w:bottom w:w="80" w:type="dxa"/>
              <w:right w:w="120" w:type="dxa"/>
            </w:tcMar>
            <w:vAlign w:val="center"/>
          </w:tcPr>
          <w:p w14:paraId="309768CF">
            <w:pPr>
              <w:pStyle w:val="164"/>
            </w:pPr>
            <w:r>
              <w:t>首版固定配置</w:t>
            </w:r>
          </w:p>
        </w:tc>
      </w:tr>
    </w:tbl>
    <w:p w14:paraId="4004FE35">
      <w:pPr>
        <w:pStyle w:val="165"/>
      </w:pPr>
    </w:p>
    <w:p w14:paraId="37647D24">
      <w:r>
        <w:t>“一个十字路口的四个进口”与“四个独立目标交叉口”不同。本版采用前者。外围可以包含若干相邻路口，它们首先用于提供合法通行和返回路径；不因加入外围道路，就自动把全部外围交通状态都纳入重建目标。</w:t>
      </w:r>
    </w:p>
    <w:p w14:paraId="5ADC15BC">
      <w:pPr>
        <w:pStyle w:val="4"/>
      </w:pPr>
      <w:r>
        <w:t>1.3 一条明确的首版实现主线</w:t>
      </w:r>
    </w:p>
    <w:p w14:paraId="4F1A7CF6">
      <w:pPr>
        <w:pStyle w:val="170"/>
      </w:pPr>
      <w:r>
        <w:t>【建议基线】采用已知道路拓扑、单车、固定探测预算、对象级局部观测、固定版本交通估计器、车道级候选行为、已有驾驶模型和固定强化学习交互间隔。先使用带合法动作掩码的 PPO 建立基线，再验证循环记忆的增益。</w:t>
      </w:r>
    </w:p>
    <w:p w14:paraId="3EC61E02">
      <w:r>
        <w:t>主研究动作保留车道级选择：车道保持、允许的换道请求及后续分支选择。此前讨论的“仅选择四个返回进口”保留为较粗的对照或调试版本，不替代本版车道级主线。首版不要求同时训练高层规划器和底层控制器；一套学习策略配合确定的执行规则即可形成完整决策问题。</w:t>
      </w:r>
    </w:p>
    <w:p w14:paraId="50215940">
      <w:r>
        <w:t>排队长度与在线平均误差是本版讲解采用的建议目标，尚不等于导师已批准的最终目标。若最终应用只关心结束时的状态，必须相应改变目标函数与评测设计。两种目标将在第3章和第11章分别说明。</w:t>
      </w:r>
    </w:p>
    <w:p w14:paraId="5CA7BF53">
      <w:pPr>
        <w:pStyle w:val="4"/>
      </w:pPr>
      <w:r>
        <w:t>1.4 与附件的继承和调整</w:t>
      </w:r>
    </w:p>
    <w:p w14:paraId="215939E2">
      <w:r>
        <w:t>附件“-2026 -0318.pdf”第8–11页讨论交通状态表示、重构与数据价值，第11–15页讨论感知效能，第16–19页讨论单车、多车决策及仿真泛化。第16页图8的车道单元有向图适合作为道路表示起点。[A1]</w:t>
      </w:r>
    </w:p>
    <w:p w14:paraId="17D7B890">
      <w:r>
        <w:t>本版保留道路拓扑、局部感知、状态重建、主动决策和多场景训练。对强化学习部分增加观测历史、信息年龄、估计不确定性、剩余预算及执行任务等变量。附件中单调递减的重复访问收益可作为一种对照假设；动态交通中，同一区域过一段时间后可能重新具有价值，因此不把访问次数递减作为普遍成立的物理规律。</w:t>
      </w:r>
    </w:p>
    <w:p w14:paraId="17414A5B">
      <w:r>
        <w:t>附件的硬件选型与组合优化可以暂缓，但传感器功能模型必须保留。附件的多车协同可以作为后续研究，当前环境中的多个并行副本表示多个独立单车任务，并不构成多智能体协同。</w:t>
      </w:r>
    </w:p>
    <w:p w14:paraId="0251A40A">
      <w:pPr>
        <w:pStyle w:val="3"/>
        <w:pageBreakBefore/>
      </w:pPr>
      <w:bookmarkStart w:id="3" w:name="chapter_02"/>
      <w:r>
        <w:t>2 从基础概念理解这套强化学习框架</w:t>
      </w:r>
      <w:bookmarkEnd w:id="3"/>
    </w:p>
    <w:p w14:paraId="47907E80">
      <w:pPr>
        <w:pStyle w:val="4"/>
      </w:pPr>
      <w:r>
        <w:t>2.1 一条交互记录才是搭建环境的基本对象</w:t>
      </w:r>
    </w:p>
    <w:p w14:paraId="3156B82D">
      <w:pPr>
        <w:pStyle w:val="174"/>
      </w:pPr>
      <w:r>
        <w:t>强化学习程序反复获得交互记录：策略接收当前输入，选择动作，环境推进，然后返回下一输入、奖励和结束标志。道路如何划格、车辆如何控制，都需要最终落实到这条记录中。</w:t>
      </w:r>
    </w:p>
    <w:p w14:paraId="40DE692A">
      <w:pPr>
        <w:pStyle w:val="167"/>
      </w:pPr>
      <m:oMath>
        <m:r>
          <m:rPr/>
          <w:rPr>
            <w:rFonts w:ascii="Cambria Math" w:hAnsi="Cambria Math" w:eastAsia="Noto Sans CJK SC"/>
          </w:rPr>
          <m:t>(</m:t>
        </m:r>
        <m:sSub>
          <m:sSubPr/>
          <m:e>
            <m:r>
              <m:rPr/>
              <w:rPr>
                <w:rFonts w:ascii="Cambria Math" w:hAnsi="Cambria Math" w:eastAsia="Noto Sans CJK SC"/>
              </w:rPr>
              <m:t>o</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a</m:t>
            </m:r>
          </m:e>
          <m:sub>
            <m:r>
              <m:rPr/>
              <w:rPr>
                <w:rFonts w:ascii="Cambria Math" w:hAnsi="Cambria Math" w:eastAsia="Noto Sans CJK SC"/>
              </w:rPr>
              <m:t>k</m:t>
            </m:r>
          </m:sub>
        </m:sSub>
        <m:r>
          <m:rPr/>
          <w:rPr>
            <w:rFonts w:ascii="Cambria Math" w:hAnsi="Cambria Math" w:eastAsia="Noto Sans CJK SC"/>
          </w:rPr>
          <m:t>) → (</m:t>
        </m:r>
        <m:sSub>
          <m:sSubPr/>
          <m:e>
            <m:r>
              <m:rPr/>
              <w:rPr>
                <w:rFonts w:ascii="Cambria Math" w:hAnsi="Cambria Math" w:eastAsia="Noto Sans CJK SC"/>
              </w:rPr>
              <m:t>o</m:t>
            </m:r>
          </m:e>
          <m:sub>
            <m:r>
              <m:rPr/>
              <w:rPr>
                <w:rFonts w:ascii="Cambria Math" w:hAnsi="Cambria Math" w:eastAsia="Noto Sans CJK SC"/>
              </w:rPr>
              <m:t>k+1</m:t>
            </m:r>
          </m:sub>
        </m:sSub>
        <m:r>
          <m:rPr/>
          <w:rPr>
            <w:rFonts w:ascii="Cambria Math" w:hAnsi="Cambria Math" w:eastAsia="Noto Sans CJK SC"/>
          </w:rPr>
          <m:t xml:space="preserve">, </m:t>
        </m:r>
        <m:sSub>
          <m:sSubPr/>
          <m:e>
            <m:r>
              <m:rPr/>
              <w:rPr>
                <w:rFonts w:ascii="Cambria Math" w:hAnsi="Cambria Math" w:eastAsia="Noto Sans CJK SC"/>
              </w:rPr>
              <m:t>r</m:t>
            </m:r>
          </m:e>
          <m:sub>
            <m:r>
              <m:rPr/>
              <w:rPr>
                <w:rFonts w:ascii="Cambria Math" w:hAnsi="Cambria Math" w:eastAsia="Noto Sans CJK SC"/>
              </w:rPr>
              <m:t>k</m:t>
            </m:r>
          </m:sub>
        </m:sSub>
        <m:r>
          <m:rPr/>
          <w:rPr>
            <w:rFonts w:ascii="Cambria Math" w:hAnsi="Cambria Math" w:eastAsia="Noto Sans CJK SC"/>
          </w:rPr>
          <m:t>, terminated, truncated)</m:t>
        </m:r>
      </m:oMath>
      <w:r>
        <w:t xml:space="preserve">   (1)</w:t>
      </w:r>
    </w:p>
    <w:p w14:paraId="3287BB5D">
      <w:pPr>
        <w:pStyle w:val="174"/>
      </w:pPr>
      <w:r>
        <w:t>式中 k 表示强化学习交互编号，不是空间单元编号。a_k 是策略当时提出的探测行为，r_k 评价此后对应时间段的任务表现。o_k 和 o_{k+1} 分别只能使用各自时刻已经获得的信息。</w:t>
      </w:r>
    </w:p>
    <w:p w14:paraId="46EFEB57">
      <w:pPr>
        <w:pStyle w:val="174"/>
      </w:pPr>
      <w:r>
        <w:t>“state”这个代码变量名可能表示观测向量，也可能表示完整模拟状态。本文统一用 S 表示完整环境状态，用 o 表示策略观测，避免仅凭命名误以为策略拥有全局真值。</w:t>
      </w:r>
    </w:p>
    <w:p w14:paraId="70C24593">
      <w:pPr>
        <w:pStyle w:val="4"/>
      </w:pPr>
      <w:r>
        <w:t>2.2 五种不同的离散化</w:t>
      </w:r>
    </w:p>
    <w:p w14:paraId="3E08187A">
      <w:pPr>
        <w:pStyle w:val="15"/>
        <w:keepNext/>
      </w:pPr>
      <w:r>
        <w:t>表 3  维度 / 本项目中的问题</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49B8D03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79E385CE">
            <w:pPr>
              <w:pStyle w:val="164"/>
              <w:keepNext/>
            </w:pPr>
            <w:r>
              <w:rPr>
                <w:b/>
              </w:rPr>
              <w:t>维度</w:t>
            </w:r>
          </w:p>
        </w:tc>
        <w:tc>
          <w:tcPr>
            <w:tcW w:w="3600" w:type="dxa"/>
            <w:shd w:val="clear" w:color="auto" w:fill="E8EEF5"/>
            <w:tcMar>
              <w:top w:w="80" w:type="dxa"/>
              <w:left w:w="120" w:type="dxa"/>
              <w:bottom w:w="80" w:type="dxa"/>
              <w:right w:w="120" w:type="dxa"/>
            </w:tcMar>
            <w:vAlign w:val="center"/>
          </w:tcPr>
          <w:p w14:paraId="03EB2D1B">
            <w:pPr>
              <w:pStyle w:val="164"/>
              <w:keepNext/>
            </w:pPr>
            <w:r>
              <w:rPr>
                <w:b/>
              </w:rPr>
              <w:t>本项目中的问题</w:t>
            </w:r>
          </w:p>
        </w:tc>
        <w:tc>
          <w:tcPr>
            <w:tcW w:w="3560" w:type="dxa"/>
            <w:shd w:val="clear" w:color="auto" w:fill="E8EEF5"/>
            <w:tcMar>
              <w:top w:w="80" w:type="dxa"/>
              <w:left w:w="120" w:type="dxa"/>
              <w:bottom w:w="80" w:type="dxa"/>
              <w:right w:w="120" w:type="dxa"/>
            </w:tcMar>
            <w:vAlign w:val="center"/>
          </w:tcPr>
          <w:p w14:paraId="36E6A88E">
            <w:pPr>
              <w:pStyle w:val="164"/>
              <w:keepNext/>
            </w:pPr>
            <w:r>
              <w:rPr>
                <w:b/>
              </w:rPr>
              <w:t>首版建议</w:t>
            </w:r>
          </w:p>
        </w:tc>
      </w:tr>
      <w:tr w14:paraId="1FA8BE5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6A79383">
            <w:pPr>
              <w:pStyle w:val="164"/>
            </w:pPr>
            <w:r>
              <w:t>道路空间</w:t>
            </w:r>
          </w:p>
        </w:tc>
        <w:tc>
          <w:tcPr>
            <w:tcW w:w="3600" w:type="dxa"/>
            <w:tcMar>
              <w:top w:w="80" w:type="dxa"/>
              <w:left w:w="120" w:type="dxa"/>
              <w:bottom w:w="80" w:type="dxa"/>
              <w:right w:w="120" w:type="dxa"/>
            </w:tcMar>
            <w:vAlign w:val="center"/>
          </w:tcPr>
          <w:p w14:paraId="6DAEEABD">
            <w:pPr>
              <w:pStyle w:val="164"/>
            </w:pPr>
            <w:r>
              <w:t>是否沿车道切分单元</w:t>
            </w:r>
          </w:p>
        </w:tc>
        <w:tc>
          <w:tcPr>
            <w:tcW w:w="3560" w:type="dxa"/>
            <w:tcMar>
              <w:top w:w="80" w:type="dxa"/>
              <w:left w:w="120" w:type="dxa"/>
              <w:bottom w:w="80" w:type="dxa"/>
              <w:right w:w="120" w:type="dxa"/>
            </w:tcMar>
            <w:vAlign w:val="center"/>
          </w:tcPr>
          <w:p w14:paraId="03932DA7">
            <w:pPr>
              <w:pStyle w:val="164"/>
            </w:pPr>
            <w:r>
              <w:t>可以离散</w:t>
            </w:r>
          </w:p>
        </w:tc>
      </w:tr>
      <w:tr w14:paraId="6B9025D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0481FDB">
            <w:pPr>
              <w:pStyle w:val="164"/>
            </w:pPr>
            <w:r>
              <w:t>观测数值</w:t>
            </w:r>
          </w:p>
        </w:tc>
        <w:tc>
          <w:tcPr>
            <w:tcW w:w="3600" w:type="dxa"/>
            <w:tcMar>
              <w:top w:w="80" w:type="dxa"/>
              <w:left w:w="120" w:type="dxa"/>
              <w:bottom w:w="80" w:type="dxa"/>
              <w:right w:w="120" w:type="dxa"/>
            </w:tcMar>
            <w:vAlign w:val="center"/>
          </w:tcPr>
          <w:p w14:paraId="65DA4AFE">
            <w:pPr>
              <w:pStyle w:val="164"/>
            </w:pPr>
            <w:r>
              <w:t>速度、位置和估计是否分档</w:t>
            </w:r>
          </w:p>
        </w:tc>
        <w:tc>
          <w:tcPr>
            <w:tcW w:w="3560" w:type="dxa"/>
            <w:tcMar>
              <w:top w:w="80" w:type="dxa"/>
              <w:left w:w="120" w:type="dxa"/>
              <w:bottom w:w="80" w:type="dxa"/>
              <w:right w:w="120" w:type="dxa"/>
            </w:tcMar>
            <w:vAlign w:val="center"/>
          </w:tcPr>
          <w:p w14:paraId="72388A9E">
            <w:pPr>
              <w:pStyle w:val="164"/>
            </w:pPr>
            <w:r>
              <w:t>保留连续数值及类别编码</w:t>
            </w:r>
          </w:p>
        </w:tc>
      </w:tr>
      <w:tr w14:paraId="19C883D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AB1EDFB">
            <w:pPr>
              <w:pStyle w:val="164"/>
            </w:pPr>
            <w:r>
              <w:t>动作选择</w:t>
            </w:r>
          </w:p>
        </w:tc>
        <w:tc>
          <w:tcPr>
            <w:tcW w:w="3600" w:type="dxa"/>
            <w:tcMar>
              <w:top w:w="80" w:type="dxa"/>
              <w:left w:w="120" w:type="dxa"/>
              <w:bottom w:w="80" w:type="dxa"/>
              <w:right w:w="120" w:type="dxa"/>
            </w:tcMar>
            <w:vAlign w:val="center"/>
          </w:tcPr>
          <w:p w14:paraId="7800E866">
            <w:pPr>
              <w:pStyle w:val="164"/>
            </w:pPr>
            <w:r>
              <w:t>输出候选编号还是油门转角</w:t>
            </w:r>
          </w:p>
        </w:tc>
        <w:tc>
          <w:tcPr>
            <w:tcW w:w="3560" w:type="dxa"/>
            <w:tcMar>
              <w:top w:w="80" w:type="dxa"/>
              <w:left w:w="120" w:type="dxa"/>
              <w:bottom w:w="80" w:type="dxa"/>
              <w:right w:w="120" w:type="dxa"/>
            </w:tcMar>
            <w:vAlign w:val="center"/>
          </w:tcPr>
          <w:p w14:paraId="4AF76D07">
            <w:pPr>
              <w:pStyle w:val="164"/>
            </w:pPr>
            <w:r>
              <w:t>先输出有限候选编号</w:t>
            </w:r>
          </w:p>
        </w:tc>
      </w:tr>
      <w:tr w14:paraId="18BCB8E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0CF463E">
            <w:pPr>
              <w:pStyle w:val="164"/>
            </w:pPr>
            <w:r>
              <w:t>仿真时间</w:t>
            </w:r>
          </w:p>
        </w:tc>
        <w:tc>
          <w:tcPr>
            <w:tcW w:w="3600" w:type="dxa"/>
            <w:tcMar>
              <w:top w:w="80" w:type="dxa"/>
              <w:left w:w="120" w:type="dxa"/>
              <w:bottom w:w="80" w:type="dxa"/>
              <w:right w:w="120" w:type="dxa"/>
            </w:tcMar>
            <w:vAlign w:val="center"/>
          </w:tcPr>
          <w:p w14:paraId="1D727EA2">
            <w:pPr>
              <w:pStyle w:val="164"/>
            </w:pPr>
            <w:r>
              <w:t>交通系统多久推进一次</w:t>
            </w:r>
          </w:p>
        </w:tc>
        <w:tc>
          <w:tcPr>
            <w:tcW w:w="3560" w:type="dxa"/>
            <w:tcMar>
              <w:top w:w="80" w:type="dxa"/>
              <w:left w:w="120" w:type="dxa"/>
              <w:bottom w:w="80" w:type="dxa"/>
              <w:right w:w="120" w:type="dxa"/>
            </w:tcMar>
            <w:vAlign w:val="center"/>
          </w:tcPr>
          <w:p w14:paraId="6D7A7F42">
            <w:pPr>
              <w:pStyle w:val="164"/>
            </w:pPr>
            <w:r>
              <w:t>小时间步数值推进</w:t>
            </w:r>
          </w:p>
        </w:tc>
      </w:tr>
      <w:tr w14:paraId="6C14083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CE0C82A">
            <w:pPr>
              <w:pStyle w:val="164"/>
            </w:pPr>
            <w:r>
              <w:t>策略交互</w:t>
            </w:r>
          </w:p>
        </w:tc>
        <w:tc>
          <w:tcPr>
            <w:tcW w:w="3600" w:type="dxa"/>
            <w:tcMar>
              <w:top w:w="80" w:type="dxa"/>
              <w:left w:w="120" w:type="dxa"/>
              <w:bottom w:w="80" w:type="dxa"/>
              <w:right w:w="120" w:type="dxa"/>
            </w:tcMar>
            <w:vAlign w:val="center"/>
          </w:tcPr>
          <w:p w14:paraId="4B339849">
            <w:pPr>
              <w:pStyle w:val="164"/>
            </w:pPr>
            <w:r>
              <w:t>多久形成一条训练记录</w:t>
            </w:r>
          </w:p>
        </w:tc>
        <w:tc>
          <w:tcPr>
            <w:tcW w:w="3560" w:type="dxa"/>
            <w:tcMar>
              <w:top w:w="80" w:type="dxa"/>
              <w:left w:w="120" w:type="dxa"/>
              <w:bottom w:w="80" w:type="dxa"/>
              <w:right w:w="120" w:type="dxa"/>
            </w:tcMar>
            <w:vAlign w:val="center"/>
          </w:tcPr>
          <w:p w14:paraId="33F0C4B1">
            <w:pPr>
              <w:pStyle w:val="164"/>
            </w:pPr>
            <w:r>
              <w:t>固定时间间隔</w:t>
            </w:r>
          </w:p>
        </w:tc>
      </w:tr>
    </w:tbl>
    <w:p w14:paraId="510754C8">
      <w:pPr>
        <w:pStyle w:val="165"/>
      </w:pPr>
    </w:p>
    <w:p w14:paraId="46801687">
      <w:pPr>
        <w:pStyle w:val="174"/>
      </w:pPr>
      <w:r>
        <w:t>这些维度可以分别设计。连续数值输入不要求连续动作；离散动作不要求车辆跳跃运动；存在空间单元也不要求跨格才得到奖励。经典 CartPole 示例就使用连续位置、速度和角度作为输入，同时只有两个离散动作。[R01]</w:t>
      </w:r>
    </w:p>
    <w:p w14:paraId="3A61C6C1">
      <w:pPr>
        <w:pStyle w:val="4"/>
      </w:pPr>
      <w:r>
        <w:t>2.3 单元、特征维度与可能状态数量</w:t>
      </w:r>
    </w:p>
    <w:p w14:paraId="205162FA">
      <w:pPr>
        <w:pStyle w:val="174"/>
      </w:pPr>
      <w:r>
        <w:t>假设目标道路包含40个单元，每个单元保存5个特征，则这一部分数据是40×5的矩阵，展开后是200维向量。200维表示每次输入200个数，不表示环境只有200种状态。数值及其组合不断变化，对应大量可能情境。</w:t>
      </w:r>
    </w:p>
    <w:p w14:paraId="3960FBB7">
      <w:pPr>
        <w:pStyle w:val="174"/>
      </w:pPr>
      <w:r>
        <w:t>只把每个单元记成“看过或没看过”，20个单元也已有2的20次方种组合。继续加入位置、信号与预算，组合会更多。深度强化学习使用函数逼近，将相似输入映射到相似行为倾向，不需要预先枚举每个可能状态。</w:t>
      </w:r>
    </w:p>
    <w:p w14:paraId="675E84A2">
      <w:pPr>
        <w:pStyle w:val="174"/>
      </w:pPr>
      <w:r>
        <w:t>连续输入带来的基本实现就是浮点数组和神经网络。真正需要研究的是输入是否携带了作出合理决策所需的信息、模型是否利用了这些信息、训练分布是否覆盖测试条件。[R02]</w:t>
      </w:r>
    </w:p>
    <w:p w14:paraId="2D4A6151">
      <w:pPr>
        <w:pStyle w:val="4"/>
      </w:pPr>
      <w:r>
        <w:t>2.4 三个模型与三个不同的输出</w:t>
      </w:r>
    </w:p>
    <w:p w14:paraId="26A2BCA6">
      <w:pPr>
        <w:pStyle w:val="15"/>
        <w:keepNext/>
      </w:pPr>
      <w:r>
        <w:t>表 4  模型 / 输出</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294BF69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0B118FA0">
            <w:pPr>
              <w:pStyle w:val="164"/>
              <w:keepNext/>
            </w:pPr>
            <w:r>
              <w:rPr>
                <w:b/>
              </w:rPr>
              <w:t>模型</w:t>
            </w:r>
          </w:p>
        </w:tc>
        <w:tc>
          <w:tcPr>
            <w:tcW w:w="3600" w:type="dxa"/>
            <w:shd w:val="clear" w:color="auto" w:fill="E8EEF5"/>
            <w:tcMar>
              <w:top w:w="80" w:type="dxa"/>
              <w:left w:w="120" w:type="dxa"/>
              <w:bottom w:w="80" w:type="dxa"/>
              <w:right w:w="120" w:type="dxa"/>
            </w:tcMar>
            <w:vAlign w:val="center"/>
          </w:tcPr>
          <w:p w14:paraId="30DBE8C7">
            <w:pPr>
              <w:pStyle w:val="164"/>
              <w:keepNext/>
            </w:pPr>
            <w:r>
              <w:rPr>
                <w:b/>
              </w:rPr>
              <w:t>输出</w:t>
            </w:r>
          </w:p>
        </w:tc>
        <w:tc>
          <w:tcPr>
            <w:tcW w:w="3560" w:type="dxa"/>
            <w:shd w:val="clear" w:color="auto" w:fill="E8EEF5"/>
            <w:tcMar>
              <w:top w:w="80" w:type="dxa"/>
              <w:left w:w="120" w:type="dxa"/>
              <w:bottom w:w="80" w:type="dxa"/>
              <w:right w:w="120" w:type="dxa"/>
            </w:tcMar>
            <w:vAlign w:val="center"/>
          </w:tcPr>
          <w:p w14:paraId="0885CD8F">
            <w:pPr>
              <w:pStyle w:val="164"/>
              <w:keepNext/>
            </w:pPr>
            <w:r>
              <w:rPr>
                <w:b/>
              </w:rPr>
              <w:t>监督或训练依据</w:t>
            </w:r>
          </w:p>
        </w:tc>
      </w:tr>
      <w:tr w14:paraId="5C80F9B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8DAD3C0">
            <w:pPr>
              <w:pStyle w:val="164"/>
            </w:pPr>
            <w:r>
              <w:t>交通状态估计器</w:t>
            </w:r>
          </w:p>
        </w:tc>
        <w:tc>
          <w:tcPr>
            <w:tcW w:w="3600" w:type="dxa"/>
            <w:tcMar>
              <w:top w:w="80" w:type="dxa"/>
              <w:left w:w="120" w:type="dxa"/>
              <w:bottom w:w="80" w:type="dxa"/>
              <w:right w:w="120" w:type="dxa"/>
            </w:tcMar>
            <w:vAlign w:val="center"/>
          </w:tcPr>
          <w:p w14:paraId="1A6C15BA">
            <w:pPr>
              <w:pStyle w:val="164"/>
            </w:pPr>
            <w:r>
              <w:t>排队估计、预测区间等</w:t>
            </w:r>
          </w:p>
        </w:tc>
        <w:tc>
          <w:tcPr>
            <w:tcW w:w="3560" w:type="dxa"/>
            <w:tcMar>
              <w:top w:w="80" w:type="dxa"/>
              <w:left w:w="120" w:type="dxa"/>
              <w:bottom w:w="80" w:type="dxa"/>
              <w:right w:w="120" w:type="dxa"/>
            </w:tcMar>
            <w:vAlign w:val="center"/>
          </w:tcPr>
          <w:p w14:paraId="3C756503">
            <w:pPr>
              <w:pStyle w:val="164"/>
            </w:pPr>
            <w:r>
              <w:t>局部观测与交通真值标签</w:t>
            </w:r>
          </w:p>
        </w:tc>
      </w:tr>
      <w:tr w14:paraId="413AECF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8F5B7FC">
            <w:pPr>
              <w:pStyle w:val="164"/>
            </w:pPr>
            <w:r>
              <w:t>Actor策略网络</w:t>
            </w:r>
          </w:p>
        </w:tc>
        <w:tc>
          <w:tcPr>
            <w:tcW w:w="3600" w:type="dxa"/>
            <w:tcMar>
              <w:top w:w="80" w:type="dxa"/>
              <w:left w:w="120" w:type="dxa"/>
              <w:bottom w:w="80" w:type="dxa"/>
              <w:right w:w="120" w:type="dxa"/>
            </w:tcMar>
            <w:vAlign w:val="center"/>
          </w:tcPr>
          <w:p w14:paraId="499C7AA1">
            <w:pPr>
              <w:pStyle w:val="164"/>
            </w:pPr>
            <w:r>
              <w:t>候选动作概率</w:t>
            </w:r>
          </w:p>
        </w:tc>
        <w:tc>
          <w:tcPr>
            <w:tcW w:w="3560" w:type="dxa"/>
            <w:tcMar>
              <w:top w:w="80" w:type="dxa"/>
              <w:left w:w="120" w:type="dxa"/>
              <w:bottom w:w="80" w:type="dxa"/>
              <w:right w:w="120" w:type="dxa"/>
            </w:tcMar>
            <w:vAlign w:val="center"/>
          </w:tcPr>
          <w:p w14:paraId="78B8DD45">
            <w:pPr>
              <w:pStyle w:val="164"/>
            </w:pPr>
            <w:r>
              <w:t>回报及优势估计</w:t>
            </w:r>
          </w:p>
        </w:tc>
      </w:tr>
      <w:tr w14:paraId="7BFFD95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D55F504">
            <w:pPr>
              <w:pStyle w:val="164"/>
            </w:pPr>
            <w:r>
              <w:t>Critic价值网络</w:t>
            </w:r>
          </w:p>
        </w:tc>
        <w:tc>
          <w:tcPr>
            <w:tcW w:w="3600" w:type="dxa"/>
            <w:tcMar>
              <w:top w:w="80" w:type="dxa"/>
              <w:left w:w="120" w:type="dxa"/>
              <w:bottom w:w="80" w:type="dxa"/>
              <w:right w:w="120" w:type="dxa"/>
            </w:tcMar>
            <w:vAlign w:val="center"/>
          </w:tcPr>
          <w:p w14:paraId="15145927">
            <w:pPr>
              <w:pStyle w:val="164"/>
            </w:pPr>
            <w:r>
              <w:t>预计未来累计奖励</w:t>
            </w:r>
          </w:p>
        </w:tc>
        <w:tc>
          <w:tcPr>
            <w:tcW w:w="3560" w:type="dxa"/>
            <w:tcMar>
              <w:top w:w="80" w:type="dxa"/>
              <w:left w:w="120" w:type="dxa"/>
              <w:bottom w:w="80" w:type="dxa"/>
              <w:right w:w="120" w:type="dxa"/>
            </w:tcMar>
            <w:vAlign w:val="center"/>
          </w:tcPr>
          <w:p w14:paraId="06877802">
            <w:pPr>
              <w:pStyle w:val="164"/>
            </w:pPr>
            <w:r>
              <w:t>自举或采样得到的回报目标</w:t>
            </w:r>
          </w:p>
        </w:tc>
      </w:tr>
    </w:tbl>
    <w:p w14:paraId="2AD660A8">
      <w:pPr>
        <w:pStyle w:val="165"/>
      </w:pPr>
    </w:p>
    <w:p w14:paraId="7E59D03C">
      <w:pPr>
        <w:pStyle w:val="174"/>
      </w:pPr>
      <w:r>
        <w:t>交通估计器输出“北进口某车道约排队60米”，Critic输出的是累计奖励预测。Critic的值不是交通密度，也不是所在格子的固定分值。三者可以分别实现，首版不建议为了形式上的端到端而强行共享所有网络参数。</w:t>
      </w:r>
    </w:p>
    <w:p w14:paraId="5074BE02">
      <w:pPr>
        <w:pStyle w:val="4"/>
      </w:pPr>
      <w:r>
        <w:t>2.5 车辆没有跨格也会形成新的一步</w:t>
      </w:r>
    </w:p>
    <w:p w14:paraId="13B08F55">
      <w:pPr>
        <w:pStyle w:val="174"/>
      </w:pPr>
      <w:r>
        <w:t>车辆在同一20米单元内由5米处前进到11米处，位置已经变化；其他车辆也在运动，观测内容可能改变；剩余预算减少，旧信息年龄增加。即使单元编号保持不变，完整输入通常仍不同。即便两次输入碰巧相同，也允许产生自循环交互记录。</w:t>
      </w:r>
    </w:p>
    <w:p w14:paraId="4981D225">
      <w:pPr>
        <w:pStyle w:val="174"/>
      </w:pPr>
      <w:r>
        <w:t>奖励由任务效果定义。例如估计器每0.5秒更新一次，训练评价器就能比较该时刻的估计与真值，并将这段时间的误差累计到本次强化学习步。能否获得奖励不依赖车辆是否到达新的单元。</w:t>
      </w:r>
    </w:p>
    <w:p w14:paraId="528F0145">
      <w:pPr>
        <w:pStyle w:val="170"/>
      </w:pPr>
      <w:r>
        <w:t>【本章检查点】能够解释“单元编号17、单元内位置11米、200维单元特征、6个离散动作、每1秒交互一次”各自对应的概念，而不把它们混为一个状态编号。</w:t>
      </w:r>
    </w:p>
    <w:p w14:paraId="1B665E8F">
      <w:pPr>
        <w:pStyle w:val="4"/>
      </w:pPr>
      <w:r>
        <w:t>2.6 与CartPole和A2C学习经验对应</w:t>
      </w:r>
    </w:p>
    <w:p w14:paraId="10E5B97F">
      <w:pPr>
        <w:pStyle w:val="174"/>
      </w:pPr>
      <w:r>
        <w:t>可以借助你正在理解的CartPole/A2C交互认识本项目：神经网络仍接收数值输入并输出动作概率，环境仍提供反馈。需要重新设计的是这些输入、动作和反馈的物理含义，而不是把车道图变成一个巨大的查表程序。</w:t>
      </w:r>
    </w:p>
    <w:p w14:paraId="193BBD73">
      <w:pPr>
        <w:pStyle w:val="15"/>
        <w:keepNext/>
      </w:pPr>
      <w:r>
        <w:t>表 5  对应位置 / CartPole示例</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7069A78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4E65D4CE">
            <w:pPr>
              <w:pStyle w:val="164"/>
              <w:keepNext/>
            </w:pPr>
            <w:r>
              <w:rPr>
                <w:b/>
              </w:rPr>
              <w:t>对应位置</w:t>
            </w:r>
          </w:p>
        </w:tc>
        <w:tc>
          <w:tcPr>
            <w:tcW w:w="3600" w:type="dxa"/>
            <w:shd w:val="clear" w:color="auto" w:fill="E8EEF5"/>
            <w:tcMar>
              <w:top w:w="80" w:type="dxa"/>
              <w:left w:w="120" w:type="dxa"/>
              <w:bottom w:w="80" w:type="dxa"/>
              <w:right w:w="120" w:type="dxa"/>
            </w:tcMar>
            <w:vAlign w:val="center"/>
          </w:tcPr>
          <w:p w14:paraId="1C54A5AA">
            <w:pPr>
              <w:pStyle w:val="164"/>
              <w:keepNext/>
            </w:pPr>
            <w:r>
              <w:rPr>
                <w:b/>
              </w:rPr>
              <w:t>CartPole示例</w:t>
            </w:r>
          </w:p>
        </w:tc>
        <w:tc>
          <w:tcPr>
            <w:tcW w:w="3560" w:type="dxa"/>
            <w:shd w:val="clear" w:color="auto" w:fill="E8EEF5"/>
            <w:tcMar>
              <w:top w:w="80" w:type="dxa"/>
              <w:left w:w="120" w:type="dxa"/>
              <w:bottom w:w="80" w:type="dxa"/>
              <w:right w:w="120" w:type="dxa"/>
            </w:tcMar>
            <w:vAlign w:val="center"/>
          </w:tcPr>
          <w:p w14:paraId="361BA50A">
            <w:pPr>
              <w:pStyle w:val="164"/>
              <w:keepNext/>
            </w:pPr>
            <w:r>
              <w:rPr>
                <w:b/>
              </w:rPr>
              <w:t>本项目的对应设计</w:t>
            </w:r>
          </w:p>
        </w:tc>
      </w:tr>
      <w:tr w14:paraId="394E671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AFA2880">
            <w:pPr>
              <w:pStyle w:val="164"/>
            </w:pPr>
            <w:r>
              <w:t>网络输入</w:t>
            </w:r>
          </w:p>
        </w:tc>
        <w:tc>
          <w:tcPr>
            <w:tcW w:w="3600" w:type="dxa"/>
            <w:tcMar>
              <w:top w:w="80" w:type="dxa"/>
              <w:left w:w="120" w:type="dxa"/>
              <w:bottom w:w="80" w:type="dxa"/>
              <w:right w:w="120" w:type="dxa"/>
            </w:tcMar>
            <w:vAlign w:val="center"/>
          </w:tcPr>
          <w:p w14:paraId="757CBF91">
            <w:pPr>
              <w:pStyle w:val="164"/>
            </w:pPr>
            <w:r>
              <w:t>位置、速度、角度和角速度，共4个数</w:t>
            </w:r>
          </w:p>
        </w:tc>
        <w:tc>
          <w:tcPr>
            <w:tcW w:w="3560" w:type="dxa"/>
            <w:tcMar>
              <w:top w:w="80" w:type="dxa"/>
              <w:left w:w="120" w:type="dxa"/>
              <w:bottom w:w="80" w:type="dxa"/>
              <w:right w:w="120" w:type="dxa"/>
            </w:tcMar>
            <w:vAlign w:val="center"/>
          </w:tcPr>
          <w:p w14:paraId="259086AB">
            <w:pPr>
              <w:pStyle w:val="164"/>
            </w:pPr>
            <w:r>
              <w:t>自车、信息表、估计与任务字段组成的向量或张量</w:t>
            </w:r>
          </w:p>
        </w:tc>
      </w:tr>
      <w:tr w14:paraId="061F79F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78FF1A6">
            <w:pPr>
              <w:pStyle w:val="164"/>
            </w:pPr>
            <w:r>
              <w:t>动作输出</w:t>
            </w:r>
          </w:p>
        </w:tc>
        <w:tc>
          <w:tcPr>
            <w:tcW w:w="3600" w:type="dxa"/>
            <w:tcMar>
              <w:top w:w="80" w:type="dxa"/>
              <w:left w:w="120" w:type="dxa"/>
              <w:bottom w:w="80" w:type="dxa"/>
              <w:right w:w="120" w:type="dxa"/>
            </w:tcMar>
            <w:vAlign w:val="center"/>
          </w:tcPr>
          <w:p w14:paraId="69987379">
            <w:pPr>
              <w:pStyle w:val="164"/>
            </w:pPr>
            <w:r>
              <w:t>两个方向的离散动作</w:t>
            </w:r>
          </w:p>
        </w:tc>
        <w:tc>
          <w:tcPr>
            <w:tcW w:w="3560" w:type="dxa"/>
            <w:tcMar>
              <w:top w:w="80" w:type="dxa"/>
              <w:left w:w="120" w:type="dxa"/>
              <w:bottom w:w="80" w:type="dxa"/>
              <w:right w:w="120" w:type="dxa"/>
            </w:tcMar>
            <w:vAlign w:val="center"/>
          </w:tcPr>
          <w:p w14:paraId="422FF286">
            <w:pPr>
              <w:pStyle w:val="164"/>
            </w:pPr>
            <w:r>
              <w:t>例如六类合法驾驶请求，按掩码采样</w:t>
            </w:r>
          </w:p>
        </w:tc>
      </w:tr>
      <w:tr w14:paraId="5D35191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7E1814C">
            <w:pPr>
              <w:pStyle w:val="164"/>
            </w:pPr>
            <w:r>
              <w:t>一次env.step</w:t>
            </w:r>
          </w:p>
        </w:tc>
        <w:tc>
          <w:tcPr>
            <w:tcW w:w="3600" w:type="dxa"/>
            <w:tcMar>
              <w:top w:w="80" w:type="dxa"/>
              <w:left w:w="120" w:type="dxa"/>
              <w:bottom w:w="80" w:type="dxa"/>
              <w:right w:w="120" w:type="dxa"/>
            </w:tcMar>
            <w:vAlign w:val="center"/>
          </w:tcPr>
          <w:p w14:paraId="1E8A1E4C">
            <w:pPr>
              <w:pStyle w:val="164"/>
            </w:pPr>
            <w:r>
              <w:t>执行动作后推进动力学</w:t>
            </w:r>
          </w:p>
        </w:tc>
        <w:tc>
          <w:tcPr>
            <w:tcW w:w="3560" w:type="dxa"/>
            <w:tcMar>
              <w:top w:w="80" w:type="dxa"/>
              <w:left w:w="120" w:type="dxa"/>
              <w:bottom w:w="80" w:type="dxa"/>
              <w:right w:w="120" w:type="dxa"/>
            </w:tcMar>
            <w:vAlign w:val="center"/>
          </w:tcPr>
          <w:p w14:paraId="441F75A7">
            <w:pPr>
              <w:pStyle w:val="164"/>
            </w:pPr>
            <w:r>
              <w:t>驾驶模块执行请求，推进多个交通仿真微步</w:t>
            </w:r>
          </w:p>
        </w:tc>
      </w:tr>
      <w:tr w14:paraId="4CEA409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DF28221">
            <w:pPr>
              <w:pStyle w:val="164"/>
            </w:pPr>
            <w:r>
              <w:t>即时奖励</w:t>
            </w:r>
          </w:p>
        </w:tc>
        <w:tc>
          <w:tcPr>
            <w:tcW w:w="3600" w:type="dxa"/>
            <w:tcMar>
              <w:top w:w="80" w:type="dxa"/>
              <w:left w:w="120" w:type="dxa"/>
              <w:bottom w:w="80" w:type="dxa"/>
              <w:right w:w="120" w:type="dxa"/>
            </w:tcMar>
            <w:vAlign w:val="center"/>
          </w:tcPr>
          <w:p w14:paraId="4F5892C9">
            <w:pPr>
              <w:pStyle w:val="164"/>
            </w:pPr>
            <w:r>
              <w:t>按该环境定义评价维持平衡</w:t>
            </w:r>
          </w:p>
        </w:tc>
        <w:tc>
          <w:tcPr>
            <w:tcW w:w="3560" w:type="dxa"/>
            <w:tcMar>
              <w:top w:w="80" w:type="dxa"/>
              <w:left w:w="120" w:type="dxa"/>
              <w:bottom w:w="80" w:type="dxa"/>
              <w:right w:w="120" w:type="dxa"/>
            </w:tcMar>
            <w:vAlign w:val="center"/>
          </w:tcPr>
          <w:p w14:paraId="10DCCFB9">
            <w:pPr>
              <w:pStyle w:val="164"/>
            </w:pPr>
            <w:r>
              <w:t>按相应时间段的全域估计误差及成本评价</w:t>
            </w:r>
          </w:p>
        </w:tc>
      </w:tr>
      <w:tr w14:paraId="2B031FE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3D6CC80">
            <w:pPr>
              <w:pStyle w:val="164"/>
            </w:pPr>
            <w:r>
              <w:t>Critic目标</w:t>
            </w:r>
          </w:p>
        </w:tc>
        <w:tc>
          <w:tcPr>
            <w:tcW w:w="3600" w:type="dxa"/>
            <w:tcMar>
              <w:top w:w="80" w:type="dxa"/>
              <w:left w:w="120" w:type="dxa"/>
              <w:bottom w:w="80" w:type="dxa"/>
              <w:right w:w="120" w:type="dxa"/>
            </w:tcMar>
            <w:vAlign w:val="center"/>
          </w:tcPr>
          <w:p w14:paraId="3B6C4204">
            <w:pPr>
              <w:pStyle w:val="164"/>
            </w:pPr>
            <w:r>
              <w:t>当前条件下的后续累计回报</w:t>
            </w:r>
          </w:p>
        </w:tc>
        <w:tc>
          <w:tcPr>
            <w:tcW w:w="3560" w:type="dxa"/>
            <w:tcMar>
              <w:top w:w="80" w:type="dxa"/>
              <w:left w:w="120" w:type="dxa"/>
              <w:bottom w:w="80" w:type="dxa"/>
              <w:right w:w="120" w:type="dxa"/>
            </w:tcMar>
            <w:vAlign w:val="center"/>
          </w:tcPr>
          <w:p w14:paraId="03F6D074">
            <w:pPr>
              <w:pStyle w:val="164"/>
            </w:pPr>
            <w:r>
              <w:t>当前信息、位置与预算下的后续累计回报</w:t>
            </w:r>
          </w:p>
        </w:tc>
      </w:tr>
      <w:tr w14:paraId="2369F75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A638974">
            <w:pPr>
              <w:pStyle w:val="164"/>
            </w:pPr>
            <w:r>
              <w:t>并行环境</w:t>
            </w:r>
          </w:p>
        </w:tc>
        <w:tc>
          <w:tcPr>
            <w:tcW w:w="3600" w:type="dxa"/>
            <w:tcMar>
              <w:top w:w="80" w:type="dxa"/>
              <w:left w:w="120" w:type="dxa"/>
              <w:bottom w:w="80" w:type="dxa"/>
              <w:right w:w="120" w:type="dxa"/>
            </w:tcMar>
            <w:vAlign w:val="center"/>
          </w:tcPr>
          <w:p w14:paraId="4F10FB90">
            <w:pPr>
              <w:pStyle w:val="164"/>
            </w:pPr>
            <w:r>
              <w:t>多个相互独立的平衡任务</w:t>
            </w:r>
          </w:p>
        </w:tc>
        <w:tc>
          <w:tcPr>
            <w:tcW w:w="3560" w:type="dxa"/>
            <w:tcMar>
              <w:top w:w="80" w:type="dxa"/>
              <w:left w:w="120" w:type="dxa"/>
              <w:bottom w:w="80" w:type="dxa"/>
              <w:right w:w="120" w:type="dxa"/>
            </w:tcMar>
            <w:vAlign w:val="center"/>
          </w:tcPr>
          <w:p w14:paraId="214D9198">
            <w:pPr>
              <w:pStyle w:val="164"/>
            </w:pPr>
            <w:r>
              <w:t>多个相互独立的单车探测任务</w:t>
            </w:r>
          </w:p>
        </w:tc>
      </w:tr>
    </w:tbl>
    <w:p w14:paraId="097111E0">
      <w:pPr>
        <w:pStyle w:val="165"/>
      </w:pPr>
    </w:p>
    <w:p w14:paraId="41682B48">
      <w:pPr>
        <w:pStyle w:val="174"/>
      </w:pPr>
      <w:r>
        <w:t>因此，原来输入维度4、动作数2不能直接复制到本项目。输入维度从字段定义计算，动作数由动作字典确定；A2C或PPO的价值学习原理仍可沿用。CartPole的可观测条件也不能直接替代本项目的部分可观测假设。[R01]</w:t>
      </w:r>
    </w:p>
    <w:p w14:paraId="51DD2687">
      <w:pPr>
        <w:pStyle w:val="3"/>
        <w:pageBreakBefore/>
      </w:pPr>
      <w:bookmarkStart w:id="4" w:name="chapter_03"/>
      <w:r>
        <w:t>3 任务边界、目标变量与数学问题</w:t>
      </w:r>
      <w:bookmarkEnd w:id="4"/>
    </w:p>
    <w:p w14:paraId="74341BE9">
      <w:pPr>
        <w:pStyle w:val="4"/>
      </w:pPr>
      <w:r>
        <w:t>3.1 明确目标区域和通行区域</w:t>
      </w:r>
    </w:p>
    <w:p w14:paraId="4BB082C4">
      <w:r>
        <w:t>记目标估计区域为Ω_tar，探测车允许通行的道路集合为Ω_nav。两者可以重叠，但不要求相同。外围道路属于Ω_nav，是否属于Ω_tar由研究目标单独规定。目标之外的观测若对目标状态具有可建模的关联，可以使用，但不能把这类关联当成免费、必然准确的信息。</w:t>
      </w:r>
    </w:p>
    <w:p w14:paraId="7A0389BA">
      <w:r>
        <w:t>每个目标车道应给出起止位置、监测长度、停止线位置、车道组和转向关系。外围应给出可用出入口、可行返回路线与禁止连接。目标区域之外的自车位置也必须能够编码，不能全部映射成含义模糊的“区域外”状态。</w:t>
      </w:r>
    </w:p>
    <w:p w14:paraId="2EA07C9E">
      <w:pPr>
        <w:pStyle w:val="4"/>
      </w:pPr>
      <w:r>
        <w:t>3.2 首版目标变量</w:t>
      </w:r>
    </w:p>
    <w:p w14:paraId="77D68038">
      <w:r>
        <w:t>建议首先估计M条目标进口车道的排队长度向量。车道平均速度、密度和短时状态场作为扩展。不要一开始就把“复原整个路口”理解为精确恢复每辆未观测车辆的身份与完整轨迹。</w:t>
      </w:r>
    </w:p>
    <w:p w14:paraId="5AD583CB">
      <w:pPr>
        <w:pStyle w:val="167"/>
      </w:pPr>
      <m:oMath>
        <m:r>
          <m:rPr/>
          <w:rPr>
            <w:rFonts w:ascii="Cambria Math" w:hAnsi="Cambria Math" w:eastAsia="Noto Sans CJK SC"/>
          </w:rPr>
          <m:t>Y(t) = (</m:t>
        </m:r>
        <m:sSub>
          <m:sSubPr/>
          <m:e>
            <m:r>
              <m:rPr/>
              <w:rPr>
                <w:rFonts w:ascii="Cambria Math" w:hAnsi="Cambria Math" w:eastAsia="Noto Sans CJK SC"/>
              </w:rPr>
              <m:t>L</m:t>
            </m:r>
          </m:e>
          <m:sub>
            <m:r>
              <m:rPr/>
              <w:rPr>
                <w:rFonts w:ascii="Cambria Math" w:hAnsi="Cambria Math" w:eastAsia="Noto Sans CJK SC"/>
              </w:rPr>
              <m:t>1</m:t>
            </m:r>
          </m:sub>
        </m:sSub>
        <m:r>
          <m:rPr/>
          <w:rPr>
            <w:rFonts w:ascii="Cambria Math" w:hAnsi="Cambria Math" w:eastAsia="Noto Sans CJK SC"/>
          </w:rPr>
          <m:t xml:space="preserve">(t), …, </m:t>
        </m:r>
        <m:sSub>
          <m:sSubPr/>
          <m:e>
            <m:r>
              <m:rPr/>
              <w:rPr>
                <w:rFonts w:ascii="Cambria Math" w:hAnsi="Cambria Math" w:eastAsia="Noto Sans CJK SC"/>
              </w:rPr>
              <m:t>L</m:t>
            </m:r>
          </m:e>
          <m:sub>
            <m:r>
              <m:rPr/>
              <w:rPr>
                <w:rFonts w:ascii="Cambria Math" w:hAnsi="Cambria Math" w:eastAsia="Noto Sans CJK SC"/>
              </w:rPr>
              <m:t>M</m:t>
            </m:r>
          </m:sub>
        </m:sSub>
        <m:r>
          <m:rPr/>
          <w:rPr>
            <w:rFonts w:ascii="Cambria Math" w:hAnsi="Cambria Math" w:eastAsia="Noto Sans CJK SC"/>
          </w:rPr>
          <m:t>(t))</m:t>
        </m:r>
      </m:oMath>
      <w:r>
        <w:t xml:space="preserve">   (2)</w:t>
      </w:r>
    </w:p>
    <w:p w14:paraId="623E1CEE">
      <w:pPr>
        <w:pStyle w:val="170"/>
      </w:pPr>
      <w:r>
        <w:t>【待定 D02】排队的操作定义需要固定：低速阈值、车辆间隔阈值、是否要求与停止线相连、消散过程中如何定义队列、单位是车辆数还是米。SUMO的停车车辆数、检测器拥堵段长度和自定义队尾距离并非天然等价。标签生成函数必须与论文定义一致。[R18]</w:t>
      </w:r>
    </w:p>
    <w:p w14:paraId="55CA9634">
      <w:r>
        <w:t>队尾超出监测范围时，可以把目标明确定义为区域内截断队列，另设溢出标志；也可以把目标定义为实际队列，但此时需承认超范围部分的不可观测风险。不能把被截断的长度写成完整真实队列长度。</w:t>
      </w:r>
    </w:p>
    <w:p w14:paraId="32D59A1D">
      <w:pPr>
        <w:pStyle w:val="4"/>
      </w:pPr>
      <w:r>
        <w:t>3.3 三种时间目标不能混用</w:t>
      </w:r>
    </w:p>
    <w:p w14:paraId="1646D253">
      <w:pPr>
        <w:pStyle w:val="15"/>
        <w:keepNext/>
      </w:pPr>
      <w:r>
        <w:t>表 6  任务形式 / 需要输出什么</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6A01BDB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73558354">
            <w:pPr>
              <w:pStyle w:val="164"/>
              <w:keepNext/>
            </w:pPr>
            <w:r>
              <w:rPr>
                <w:b/>
              </w:rPr>
              <w:t>任务形式</w:t>
            </w:r>
          </w:p>
        </w:tc>
        <w:tc>
          <w:tcPr>
            <w:tcW w:w="3600" w:type="dxa"/>
            <w:shd w:val="clear" w:color="auto" w:fill="E8EEF5"/>
            <w:tcMar>
              <w:top w:w="80" w:type="dxa"/>
              <w:left w:w="120" w:type="dxa"/>
              <w:bottom w:w="80" w:type="dxa"/>
              <w:right w:w="120" w:type="dxa"/>
            </w:tcMar>
            <w:vAlign w:val="center"/>
          </w:tcPr>
          <w:p w14:paraId="728E691A">
            <w:pPr>
              <w:pStyle w:val="164"/>
              <w:keepNext/>
            </w:pPr>
            <w:r>
              <w:rPr>
                <w:b/>
              </w:rPr>
              <w:t>需要输出什么</w:t>
            </w:r>
          </w:p>
        </w:tc>
        <w:tc>
          <w:tcPr>
            <w:tcW w:w="3560" w:type="dxa"/>
            <w:shd w:val="clear" w:color="auto" w:fill="E8EEF5"/>
            <w:tcMar>
              <w:top w:w="80" w:type="dxa"/>
              <w:left w:w="120" w:type="dxa"/>
              <w:bottom w:w="80" w:type="dxa"/>
              <w:right w:w="120" w:type="dxa"/>
            </w:tcMar>
            <w:vAlign w:val="center"/>
          </w:tcPr>
          <w:p w14:paraId="6FA41A29">
            <w:pPr>
              <w:pStyle w:val="164"/>
              <w:keepNext/>
            </w:pPr>
            <w:r>
              <w:rPr>
                <w:b/>
              </w:rPr>
              <w:t>是否允许使用目标时刻之后的数据</w:t>
            </w:r>
          </w:p>
        </w:tc>
      </w:tr>
      <w:tr w14:paraId="23A3921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5F40E85">
            <w:pPr>
              <w:pStyle w:val="164"/>
            </w:pPr>
            <w:r>
              <w:t>在线跟踪</w:t>
            </w:r>
          </w:p>
        </w:tc>
        <w:tc>
          <w:tcPr>
            <w:tcW w:w="3600" w:type="dxa"/>
            <w:tcMar>
              <w:top w:w="80" w:type="dxa"/>
              <w:left w:w="120" w:type="dxa"/>
              <w:bottom w:w="80" w:type="dxa"/>
              <w:right w:w="120" w:type="dxa"/>
            </w:tcMar>
            <w:vAlign w:val="center"/>
          </w:tcPr>
          <w:p w14:paraId="3E91B830">
            <w:pPr>
              <w:pStyle w:val="164"/>
            </w:pPr>
            <w:r>
              <w:t>每个当前时刻的交通估计</w:t>
            </w:r>
          </w:p>
        </w:tc>
        <w:tc>
          <w:tcPr>
            <w:tcW w:w="3560" w:type="dxa"/>
            <w:tcMar>
              <w:top w:w="80" w:type="dxa"/>
              <w:left w:w="120" w:type="dxa"/>
              <w:bottom w:w="80" w:type="dxa"/>
              <w:right w:w="120" w:type="dxa"/>
            </w:tcMar>
            <w:vAlign w:val="center"/>
          </w:tcPr>
          <w:p w14:paraId="561C29E0">
            <w:pPr>
              <w:pStyle w:val="164"/>
            </w:pPr>
            <w:r>
              <w:t>不允许</w:t>
            </w:r>
          </w:p>
        </w:tc>
      </w:tr>
      <w:tr w14:paraId="4925CA3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7BBBDFD">
            <w:pPr>
              <w:pStyle w:val="164"/>
            </w:pPr>
            <w:r>
              <w:t>终点估计</w:t>
            </w:r>
          </w:p>
        </w:tc>
        <w:tc>
          <w:tcPr>
            <w:tcW w:w="3600" w:type="dxa"/>
            <w:tcMar>
              <w:top w:w="80" w:type="dxa"/>
              <w:left w:w="120" w:type="dxa"/>
              <w:bottom w:w="80" w:type="dxa"/>
              <w:right w:w="120" w:type="dxa"/>
            </w:tcMar>
            <w:vAlign w:val="center"/>
          </w:tcPr>
          <w:p w14:paraId="791A1929">
            <w:pPr>
              <w:pStyle w:val="164"/>
            </w:pPr>
            <w:r>
              <w:t>预算结束时刻的交通估计</w:t>
            </w:r>
          </w:p>
        </w:tc>
        <w:tc>
          <w:tcPr>
            <w:tcW w:w="3560" w:type="dxa"/>
            <w:tcMar>
              <w:top w:w="80" w:type="dxa"/>
              <w:left w:w="120" w:type="dxa"/>
              <w:bottom w:w="80" w:type="dxa"/>
              <w:right w:w="120" w:type="dxa"/>
            </w:tcMar>
            <w:vAlign w:val="center"/>
          </w:tcPr>
          <w:p w14:paraId="3DBDEB4F">
            <w:pPr>
              <w:pStyle w:val="164"/>
            </w:pPr>
            <w:r>
              <w:t>不允许使用终点之后数据</w:t>
            </w:r>
          </w:p>
        </w:tc>
      </w:tr>
      <w:tr w14:paraId="3F2963A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BD7303A">
            <w:pPr>
              <w:pStyle w:val="164"/>
            </w:pPr>
            <w:r>
              <w:t>事后时间窗重构</w:t>
            </w:r>
          </w:p>
        </w:tc>
        <w:tc>
          <w:tcPr>
            <w:tcW w:w="3600" w:type="dxa"/>
            <w:tcMar>
              <w:top w:w="80" w:type="dxa"/>
              <w:left w:w="120" w:type="dxa"/>
              <w:bottom w:w="80" w:type="dxa"/>
              <w:right w:w="120" w:type="dxa"/>
            </w:tcMar>
            <w:vAlign w:val="center"/>
          </w:tcPr>
          <w:p w14:paraId="14212022">
            <w:pPr>
              <w:pStyle w:val="164"/>
            </w:pPr>
            <w:r>
              <w:t>对过去一段时间的状态重新估计</w:t>
            </w:r>
          </w:p>
        </w:tc>
        <w:tc>
          <w:tcPr>
            <w:tcW w:w="3560" w:type="dxa"/>
            <w:tcMar>
              <w:top w:w="80" w:type="dxa"/>
              <w:left w:w="120" w:type="dxa"/>
              <w:bottom w:w="80" w:type="dxa"/>
              <w:right w:w="120" w:type="dxa"/>
            </w:tcMar>
            <w:vAlign w:val="center"/>
          </w:tcPr>
          <w:p w14:paraId="32362F4C">
            <w:pPr>
              <w:pStyle w:val="164"/>
            </w:pPr>
            <w:r>
              <w:t>可使用窗口内后续观测，但须明确为平滑</w:t>
            </w:r>
          </w:p>
        </w:tc>
      </w:tr>
    </w:tbl>
    <w:p w14:paraId="61166E58">
      <w:pPr>
        <w:pStyle w:val="165"/>
      </w:pPr>
    </w:p>
    <w:p w14:paraId="1E07A21F">
      <w:r>
        <w:t>在线跟踪强调持续提供交通信息；终点估计允许中途较差但终点准确；事后重构适合离线交通分析。它们可共享数据和部分模型，但应分别定义损失、因果掩码和评测。本文的交互主线采用在线跟踪并保留终点项，作为待确认的建议 D01。</w:t>
      </w:r>
    </w:p>
    <w:p w14:paraId="4247B2C2">
      <w:pPr>
        <w:pStyle w:val="4"/>
      </w:pPr>
      <w:r>
        <w:t>3.4 完整环境状态与部分观测</w:t>
      </w:r>
    </w:p>
    <w:p w14:paraId="0986AA1E">
      <w:r>
        <w:t>为了描述环境动态，可将完整状态写为交通物理状态、估计器内部状态、执行器内部状态和剩余时间的组合。交通物理状态在需要时还包含驱动需求演化的隐变量。显式加入估计器历史摘要，是因为相同交通真值下，不同已采集信息会产生不同误差和奖励。</w:t>
      </w:r>
    </w:p>
    <w:p w14:paraId="7B82B5EF">
      <w:pPr>
        <w:pStyle w:val="167"/>
      </w:pPr>
      <m:oMath>
        <m:sSub>
          <m:sSubPr/>
          <m:e>
            <m:r>
              <m:rPr/>
              <w:rPr>
                <w:rFonts w:ascii="Cambria Math" w:hAnsi="Cambria Math" w:eastAsia="Noto Sans CJK SC"/>
              </w:rPr>
              <m:t>S</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X</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ξ</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c</m:t>
            </m:r>
          </m:e>
          <m:sub>
            <m:r>
              <m:rPr/>
              <w:rPr>
                <w:rFonts w:ascii="Cambria Math" w:hAnsi="Cambria Math" w:eastAsia="Noto Sans CJK SC"/>
              </w:rPr>
              <m:t>k</m:t>
            </m:r>
          </m:sub>
        </m:sSub>
        <m:r>
          <m:rPr/>
          <w:rPr>
            <w:rFonts w:ascii="Cambria Math" w:hAnsi="Cambria Math" w:eastAsia="Noto Sans CJK SC"/>
          </w:rPr>
          <m:t xml:space="preserve">, B − </m:t>
        </m:r>
        <m:sSub>
          <m:sSubPr/>
          <m:e>
            <m:r>
              <m:rPr/>
              <w:rPr>
                <w:rFonts w:ascii="Cambria Math" w:hAnsi="Cambria Math" w:eastAsia="Noto Sans CJK SC"/>
              </w:rPr>
              <m:t>t</m:t>
            </m:r>
          </m:e>
          <m:sub>
            <m:r>
              <m:rPr/>
              <w:rPr>
                <w:rFonts w:ascii="Cambria Math" w:hAnsi="Cambria Math" w:eastAsia="Noto Sans CJK SC"/>
              </w:rPr>
              <m:t>k</m:t>
            </m:r>
          </m:sub>
        </m:sSub>
        <m:r>
          <m:rPr/>
          <w:rPr>
            <w:rFonts w:ascii="Cambria Math" w:hAnsi="Cambria Math" w:eastAsia="Noto Sans CJK SC"/>
          </w:rPr>
          <m:t>)</m:t>
        </m:r>
      </m:oMath>
      <w:r>
        <w:t xml:space="preserve">   (3)</w:t>
      </w:r>
    </w:p>
    <w:p w14:paraId="7265FF86">
      <w:r>
        <w:t>策略只得到合法可用观测o_k。历史记为H_k，包含截至当前的观测和先前动作；完整信念b_k是给定历史后的隐藏状态条件分布。工程上用估计器输出和循环记忆近似它，不能保证有限向量必然是充分统计量。[R03]</w:t>
      </w:r>
    </w:p>
    <w:p w14:paraId="3F469FBB">
      <w:pPr>
        <w:pStyle w:val="167"/>
        <w:keepNext/>
      </w:pPr>
      <m:oMathPara>
        <m:oMath>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o</m:t>
              </m:r>
            </m:e>
            <m:sub>
              <m:r>
                <m:rPr/>
                <w:rPr>
                  <w:rFonts w:ascii="Cambria Math" w:hAnsi="Cambria Math" w:eastAsia="Noto Sans CJK SC"/>
                </w:rPr>
                <m:t>0</m:t>
              </m:r>
            </m:sub>
          </m:sSub>
          <m:r>
            <m:rPr/>
            <w:rPr>
              <w:rFonts w:ascii="Cambria Math" w:hAnsi="Cambria Math" w:eastAsia="Noto Sans CJK SC"/>
            </w:rPr>
            <m:t xml:space="preserve">, </m:t>
          </m:r>
          <m:sSub>
            <m:sSubPr/>
            <m:e>
              <m:r>
                <m:rPr/>
                <w:rPr>
                  <w:rFonts w:ascii="Cambria Math" w:hAnsi="Cambria Math" w:eastAsia="Noto Sans CJK SC"/>
                </w:rPr>
                <m:t>a</m:t>
              </m:r>
            </m:e>
            <m:sub>
              <m:r>
                <m:rPr/>
                <w:rPr>
                  <w:rFonts w:ascii="Cambria Math" w:hAnsi="Cambria Math" w:eastAsia="Noto Sans CJK SC"/>
                </w:rPr>
                <m:t>0</m:t>
              </m:r>
            </m:sub>
          </m:sSub>
          <m:r>
            <m:rPr/>
            <w:rPr>
              <w:rFonts w:ascii="Cambria Math" w:hAnsi="Cambria Math" w:eastAsia="Noto Sans CJK SC"/>
            </w:rPr>
            <m:t xml:space="preserve">, …, </m:t>
          </m:r>
          <m:sSub>
            <m:sSubPr/>
            <m:e>
              <m:r>
                <m:rPr/>
                <w:rPr>
                  <w:rFonts w:ascii="Cambria Math" w:hAnsi="Cambria Math" w:eastAsia="Noto Sans CJK SC"/>
                </w:rPr>
                <m:t>o</m:t>
              </m:r>
            </m:e>
            <m:sub>
              <m:r>
                <m:rPr/>
                <w:rPr>
                  <w:rFonts w:ascii="Cambria Math" w:hAnsi="Cambria Math" w:eastAsia="Noto Sans CJK SC"/>
                </w:rPr>
                <m:t>k</m:t>
              </m:r>
            </m:sub>
          </m:sSub>
          <m:r>
            <m:rPr/>
            <w:rPr>
              <w:rFonts w:ascii="Cambria Math" w:hAnsi="Cambria Math" w:eastAsia="Noto Sans CJK SC"/>
            </w:rPr>
            <m:t>)</m:t>
          </m:r>
        </m:oMath>
      </m:oMathPara>
    </w:p>
    <w:p w14:paraId="2DA9C708">
      <w:pPr>
        <w:pStyle w:val="167"/>
      </w:pPr>
      <m:oMath>
        <m:sSub>
          <m:sSubPr/>
          <m:e>
            <m:r>
              <m:rPr/>
              <w:rPr>
                <w:rFonts w:ascii="Cambria Math" w:hAnsi="Cambria Math" w:eastAsia="Noto Sans CJK SC"/>
              </w:rPr>
              <m:t>b</m:t>
            </m:r>
          </m:e>
          <m:sub>
            <m:r>
              <m:rPr/>
              <w:rPr>
                <w:rFonts w:ascii="Cambria Math" w:hAnsi="Cambria Math" w:eastAsia="Noto Sans CJK SC"/>
              </w:rPr>
              <m:t>k</m:t>
            </m:r>
          </m:sub>
        </m:sSub>
        <m:r>
          <m:rPr/>
          <w:rPr>
            <w:rFonts w:ascii="Cambria Math" w:hAnsi="Cambria Math" w:eastAsia="Noto Sans CJK SC"/>
          </w:rPr>
          <m:t>(S) = P(</m:t>
        </m:r>
        <m:sSub>
          <m:sSubPr/>
          <m:e>
            <m:r>
              <m:rPr/>
              <w:rPr>
                <w:rFonts w:ascii="Cambria Math" w:hAnsi="Cambria Math" w:eastAsia="Noto Sans CJK SC"/>
              </w:rPr>
              <m:t>S</m:t>
            </m:r>
          </m:e>
          <m:sub>
            <m:r>
              <m:rPr/>
              <w:rPr>
                <w:rFonts w:ascii="Cambria Math" w:hAnsi="Cambria Math" w:eastAsia="Noto Sans CJK SC"/>
              </w:rPr>
              <m:t>k</m:t>
            </m:r>
          </m:sub>
        </m:sSub>
        <m:r>
          <m:rPr/>
          <w:rPr>
            <w:rFonts w:ascii="Cambria Math" w:hAnsi="Cambria Math" w:eastAsia="Noto Sans CJK SC"/>
          </w:rPr>
          <m:t xml:space="preserve"> = S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m:t>
        </m:r>
      </m:oMath>
      <w:r>
        <w:t xml:space="preserve">   (4)</w:t>
      </w:r>
    </w:p>
    <w:p w14:paraId="08195565">
      <w:r>
        <w:t>使用POMDP表述主要是承认“看不到全部交通，但需要利用历史”。首版不要求求解精确贝叶斯信念或建立巨大的转移概率矩阵。固定传感器、估计器与执行器后，仿真直接提供状态转移样本。</w:t>
      </w:r>
    </w:p>
    <w:p w14:paraId="5CC32138">
      <w:pPr>
        <w:pStyle w:val="4"/>
      </w:pPr>
      <w:r>
        <w:t>3.5 可观测性是可行性前提</w:t>
      </w:r>
    </w:p>
    <w:p w14:paraId="632DD46C">
      <w:r>
        <w:t>如果两个不同的目标交通状态，在所有可行探测路线与预算内产生几乎相同的观测，那么单车很难可靠区分它们。更大的策略网络不能凭空消除这种信息限制。实际可行性应通过固定路线、传感范围与遮挡条件的预实验检验。</w:t>
      </w:r>
    </w:p>
    <w:p w14:paraId="1ECE8E86">
      <w:r>
        <w:t>建议先回答：普通路线获得的观测是否优于只用历史先验？不同合法路线是否改变可见区域及估计误差？预算内是否存在足够的重新观察机会？这些结果决定主动规划的价值和强化学习是否有必要。</w:t>
      </w:r>
    </w:p>
    <w:p w14:paraId="4CE426AA">
      <w:pPr>
        <w:pStyle w:val="3"/>
        <w:pageBreakBefore/>
      </w:pPr>
      <w:bookmarkStart w:id="5" w:name="chapter_04"/>
      <w:r>
        <w:t>4 车道单元有向图的设计与使用</w:t>
      </w:r>
      <w:bookmarkEnd w:id="5"/>
    </w:p>
    <w:p w14:paraId="547324CA">
      <w:pPr>
        <w:pStyle w:val="4"/>
      </w:pPr>
      <w:r>
        <w:t>4.1 图的作用与不承担的作用</w:t>
      </w:r>
    </w:p>
    <w:p w14:paraId="6A199E1A">
      <w:r>
        <w:t>车道图承担三类工作：把位置和观测映射到统一空间单元；记录顺行、换道、转向等静态连接；为候选行驶片段提供拓扑依据。图节点不是完整强化学习状态，图边也不直接等于一次强化学习步。</w:t>
      </w:r>
    </w:p>
    <w:p w14:paraId="226C20A0">
      <w:r>
        <w:t>附件第16页图8可以用于理解道路拓扑表达。[A1] 本版还需要时间、观测掩码和执行约束。允许换道的图边表示潜在连接，不能解释为车辆可横向瞬移到任意相邻小格。</w:t>
      </w:r>
    </w:p>
    <w:p w14:paraId="676DB11B">
      <w:pPr>
        <w:keepNext/>
        <w:jc w:val="center"/>
      </w:pPr>
      <w:r>
        <w:drawing>
          <wp:inline distT="0" distB="0" distL="114300" distR="114300">
            <wp:extent cx="5943600" cy="3200400"/>
            <wp:effectExtent l="0" t="0" r="0" b="0"/>
            <wp:docPr id="2" name="Picture 2" descr="道路单元图与连续位置的区别。图边表示拓扑许可；车辆在同一格内仍可形成新的RL交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道路单元图与连续位置的区别。图边表示拓扑许可；车辆在同一格内仍可形成新的RL交互。"/>
                    <pic:cNvPicPr>
                      <a:picLocks noChangeAspect="1"/>
                    </pic:cNvPicPr>
                  </pic:nvPicPr>
                  <pic:blipFill>
                    <a:blip r:embed="rId9"/>
                    <a:stretch>
                      <a:fillRect/>
                    </a:stretch>
                  </pic:blipFill>
                  <pic:spPr>
                    <a:xfrm>
                      <a:off x="0" y="0"/>
                      <a:ext cx="5943600" cy="3200400"/>
                    </a:xfrm>
                    <a:prstGeom prst="rect">
                      <a:avLst/>
                    </a:prstGeom>
                  </pic:spPr>
                </pic:pic>
              </a:graphicData>
            </a:graphic>
          </wp:inline>
        </w:drawing>
      </w:r>
    </w:p>
    <w:p w14:paraId="3C73EF15">
      <w:pPr>
        <w:pStyle w:val="15"/>
      </w:pPr>
      <w:r>
        <w:t>图 2  道路单元图与连续位置的区别。图边表示拓扑许可；车辆在同一格内仍可形成新的RL交互。</w:t>
      </w:r>
    </w:p>
    <w:p w14:paraId="0DEE2FD4">
      <w:pPr>
        <w:pStyle w:val="4"/>
      </w:pPr>
      <w:r>
        <w:t>4.2 单元划分的具体规则</w:t>
      </w:r>
    </w:p>
    <w:p w14:paraId="11CA56D1">
      <w:r>
        <w:t>对每条车道按沿车道弧长划分区间。单元保存lane_id、起止弧长、实际长度、中心坐标、所属进口以及允许行为。末端不足标准长度的单元保留实际长度；禁止把其统计量按完整单元长度计算。</w:t>
      </w:r>
    </w:p>
    <w:p w14:paraId="594CB203">
      <w:r>
        <w:t>路口内部连接可以单独建成连接节点或边属性。停止线、允许换道区边界、转向准备区边界可以作为额外切分点。几何相邻不足以构成可行连接，需要读取真实车道连接和道路规则。</w:t>
      </w:r>
    </w:p>
    <w:p w14:paraId="492FAEDB">
      <w:pPr>
        <w:pStyle w:val="170"/>
      </w:pPr>
      <w:r>
        <w:t>【待定 D06】10、20、40米可作为预实验候选。它们不是理论上已经确定的最优尺度。尺度需兼顾传感范围、车道长度、关键队尾位置分辨率、特征维度和规划需求。比较时使用相同的米制队列评价或共同物理网格，避免粗网格平滑目标造成虚假提升。</w:t>
      </w:r>
    </w:p>
    <w:p w14:paraId="4A0C23F1">
      <w:pPr>
        <w:pStyle w:val="4"/>
      </w:pPr>
      <w:r>
        <w:t>4.3 三类图边</w:t>
      </w:r>
    </w:p>
    <w:p w14:paraId="1862271F">
      <w:pPr>
        <w:pStyle w:val="15"/>
        <w:keepNext/>
      </w:pPr>
      <w:r>
        <w:t>表 7  边类型 / 静态依据</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0E1041C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09BC03DC">
            <w:pPr>
              <w:pStyle w:val="164"/>
              <w:keepNext/>
            </w:pPr>
            <w:r>
              <w:rPr>
                <w:b/>
              </w:rPr>
              <w:t>边类型</w:t>
            </w:r>
          </w:p>
        </w:tc>
        <w:tc>
          <w:tcPr>
            <w:tcW w:w="3600" w:type="dxa"/>
            <w:shd w:val="clear" w:color="auto" w:fill="E8EEF5"/>
            <w:tcMar>
              <w:top w:w="80" w:type="dxa"/>
              <w:left w:w="120" w:type="dxa"/>
              <w:bottom w:w="80" w:type="dxa"/>
              <w:right w:w="120" w:type="dxa"/>
            </w:tcMar>
            <w:vAlign w:val="center"/>
          </w:tcPr>
          <w:p w14:paraId="2F3257A4">
            <w:pPr>
              <w:pStyle w:val="164"/>
              <w:keepNext/>
            </w:pPr>
            <w:r>
              <w:rPr>
                <w:b/>
              </w:rPr>
              <w:t>静态依据</w:t>
            </w:r>
          </w:p>
        </w:tc>
        <w:tc>
          <w:tcPr>
            <w:tcW w:w="3560" w:type="dxa"/>
            <w:shd w:val="clear" w:color="auto" w:fill="E8EEF5"/>
            <w:tcMar>
              <w:top w:w="80" w:type="dxa"/>
              <w:left w:w="120" w:type="dxa"/>
              <w:bottom w:w="80" w:type="dxa"/>
              <w:right w:w="120" w:type="dxa"/>
            </w:tcMar>
            <w:vAlign w:val="center"/>
          </w:tcPr>
          <w:p w14:paraId="52AE8D78">
            <w:pPr>
              <w:pStyle w:val="164"/>
              <w:keepNext/>
            </w:pPr>
            <w:r>
              <w:rPr>
                <w:b/>
              </w:rPr>
              <w:t>执行时还需要检查</w:t>
            </w:r>
          </w:p>
        </w:tc>
      </w:tr>
      <w:tr w14:paraId="0882321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E7E89C9">
            <w:pPr>
              <w:pStyle w:val="164"/>
            </w:pPr>
            <w:r>
              <w:t>顺行</w:t>
            </w:r>
          </w:p>
        </w:tc>
        <w:tc>
          <w:tcPr>
            <w:tcW w:w="3600" w:type="dxa"/>
            <w:tcMar>
              <w:top w:w="80" w:type="dxa"/>
              <w:left w:w="120" w:type="dxa"/>
              <w:bottom w:w="80" w:type="dxa"/>
              <w:right w:w="120" w:type="dxa"/>
            </w:tcMar>
            <w:vAlign w:val="center"/>
          </w:tcPr>
          <w:p w14:paraId="4BC721CE">
            <w:pPr>
              <w:pStyle w:val="164"/>
            </w:pPr>
            <w:r>
              <w:t>同车道方向与区间连接</w:t>
            </w:r>
          </w:p>
        </w:tc>
        <w:tc>
          <w:tcPr>
            <w:tcW w:w="3560" w:type="dxa"/>
            <w:tcMar>
              <w:top w:w="80" w:type="dxa"/>
              <w:left w:w="120" w:type="dxa"/>
              <w:bottom w:w="80" w:type="dxa"/>
              <w:right w:w="120" w:type="dxa"/>
            </w:tcMar>
            <w:vAlign w:val="center"/>
          </w:tcPr>
          <w:p w14:paraId="12764AF4">
            <w:pPr>
              <w:pStyle w:val="164"/>
            </w:pPr>
            <w:r>
              <w:t>前车、红灯、路权和运动约束</w:t>
            </w:r>
          </w:p>
        </w:tc>
      </w:tr>
      <w:tr w14:paraId="354992D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DD73969">
            <w:pPr>
              <w:pStyle w:val="164"/>
            </w:pPr>
            <w:r>
              <w:t>换道</w:t>
            </w:r>
          </w:p>
        </w:tc>
        <w:tc>
          <w:tcPr>
            <w:tcW w:w="3600" w:type="dxa"/>
            <w:tcMar>
              <w:top w:w="80" w:type="dxa"/>
              <w:left w:w="120" w:type="dxa"/>
              <w:bottom w:w="80" w:type="dxa"/>
              <w:right w:w="120" w:type="dxa"/>
            </w:tcMar>
            <w:vAlign w:val="center"/>
          </w:tcPr>
          <w:p w14:paraId="46243928">
            <w:pPr>
              <w:pStyle w:val="164"/>
            </w:pPr>
            <w:r>
              <w:t>相邻同向车道、允许换道区</w:t>
            </w:r>
          </w:p>
        </w:tc>
        <w:tc>
          <w:tcPr>
            <w:tcW w:w="3560" w:type="dxa"/>
            <w:tcMar>
              <w:top w:w="80" w:type="dxa"/>
              <w:left w:w="120" w:type="dxa"/>
              <w:bottom w:w="80" w:type="dxa"/>
              <w:right w:w="120" w:type="dxa"/>
            </w:tcMar>
            <w:vAlign w:val="center"/>
          </w:tcPr>
          <w:p w14:paraId="6CB6CDD8">
            <w:pPr>
              <w:pStyle w:val="164"/>
            </w:pPr>
            <w:r>
              <w:t>安全间隙、剩余距离、路线兼容性</w:t>
            </w:r>
          </w:p>
        </w:tc>
      </w:tr>
      <w:tr w14:paraId="609A6AE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8F28580">
            <w:pPr>
              <w:pStyle w:val="164"/>
            </w:pPr>
            <w:r>
              <w:t>转向</w:t>
            </w:r>
          </w:p>
        </w:tc>
        <w:tc>
          <w:tcPr>
            <w:tcW w:w="3600" w:type="dxa"/>
            <w:tcMar>
              <w:top w:w="80" w:type="dxa"/>
              <w:left w:w="120" w:type="dxa"/>
              <w:bottom w:w="80" w:type="dxa"/>
              <w:right w:w="120" w:type="dxa"/>
            </w:tcMar>
            <w:vAlign w:val="center"/>
          </w:tcPr>
          <w:p w14:paraId="18003D8F">
            <w:pPr>
              <w:pStyle w:val="164"/>
            </w:pPr>
            <w:r>
              <w:t>进口与出口合法连接</w:t>
            </w:r>
          </w:p>
        </w:tc>
        <w:tc>
          <w:tcPr>
            <w:tcW w:w="3560" w:type="dxa"/>
            <w:tcMar>
              <w:top w:w="80" w:type="dxa"/>
              <w:left w:w="120" w:type="dxa"/>
              <w:bottom w:w="80" w:type="dxa"/>
              <w:right w:w="120" w:type="dxa"/>
            </w:tcMar>
            <w:vAlign w:val="center"/>
          </w:tcPr>
          <w:p w14:paraId="351CDCF0">
            <w:pPr>
              <w:pStyle w:val="164"/>
            </w:pPr>
            <w:r>
              <w:t>提前选道、信号、冲突与已承诺任务</w:t>
            </w:r>
          </w:p>
        </w:tc>
      </w:tr>
    </w:tbl>
    <w:p w14:paraId="31C68DA5">
      <w:pPr>
        <w:pStyle w:val="165"/>
      </w:pPr>
    </w:p>
    <w:p w14:paraId="70DB2338">
      <w:r>
        <w:t>车道变换会伴随纵向运动。若建立非常细的图，换道边可以对应跨越多个纵向单元的运动片段。首版也可以在车道层表达换道许可，由执行器在连续位置上完成，不需要为每个横向中间位置建立节点。</w:t>
      </w:r>
    </w:p>
    <w:p w14:paraId="585DB090">
      <w:pPr>
        <w:pStyle w:val="4"/>
      </w:pPr>
      <w:r>
        <w:t>4.4 表示尺度与动作范围分开</w:t>
      </w:r>
    </w:p>
    <w:p w14:paraId="4C02B8C7">
      <w:r>
        <w:t>20米的记录单元不要求目标片段也只有20米。策略可选择前方一段物理长度固定的可行路径，沿途跨越若干记录单元。反过来，选择一个目标单元后，也可能经过多个强化学习时间步才能到达。</w:t>
      </w:r>
    </w:p>
    <w:p w14:paraId="104B910A">
      <w:r>
        <w:t>调整单元尺度的实验中，应尽量保持候选动作的物理作用范围一致，否则性能变化可能来自动作空间变化而非信息表示变化。若研究目的就是比较不同决策尺度，应明确把二者作为独立实验因素。</w:t>
      </w:r>
    </w:p>
    <w:p w14:paraId="01916653">
      <w:pPr>
        <w:pStyle w:val="4"/>
      </w:pPr>
      <w:r>
        <w:t>4.5 固定图基线与跨图泛化</w:t>
      </w:r>
    </w:p>
    <w:p w14:paraId="7FC545A4">
      <w:r>
        <w:t>固定路网可以按固定单元顺序拼接特征，用MLP处理；车道图同时供环境和规划器使用，不要求策略必须采用GNN。固定编号编码可能记住具体地图，不能据此声称支持未见拓扑。</w:t>
      </w:r>
    </w:p>
    <w:p w14:paraId="777CAFAE">
      <w:r>
        <w:t>若后续研究跨路口结构，宜提供车道类别、相对停止线距离、局部连接及候选描述，考虑图编码或集合编码，并处理可变节点数量、填充掩码和不同车道语义。Transformer只是可选编码器之一，不自动解决编号和拓扑变化。</w:t>
      </w:r>
    </w:p>
    <w:p w14:paraId="3C90936E">
      <w:pPr>
        <w:pStyle w:val="3"/>
        <w:pageBreakBefore/>
      </w:pPr>
      <w:bookmarkStart w:id="6" w:name="chapter_05"/>
      <w:r>
        <w:t>5 传感器观测、信息边界与数据泄漏</w:t>
      </w:r>
      <w:bookmarkEnd w:id="6"/>
    </w:p>
    <w:p w14:paraId="45E92544">
      <w:pPr>
        <w:pStyle w:val="4"/>
      </w:pPr>
      <w:r>
        <w:t>5.1 传感器模型是环境的一部分</w:t>
      </w:r>
    </w:p>
    <w:p w14:paraId="185BEAC1">
      <w:r>
        <w:t>即使不研究雷达布局，仍需规定探测车实际可获得什么。首版可以采用对象级传感器模型，直接返回被检测车辆的位置、速度、车道、尺寸和时间戳。这样先研究探测决策，不必同时训练视觉检测器。</w:t>
      </w:r>
    </w:p>
    <w:p w14:paraId="4ED394CB">
      <w:r>
        <w:t>观测形成过程至少包含距离限制、视场限制、遮挡和检测误差。实现可以由仿真真值通过前向传感器模型产生局部观测，但策略接收的内容必须符合声明的可观测条件。范围内的全部车辆列表并不自动等价于真实传感器观测。[R10]</w:t>
      </w:r>
    </w:p>
    <w:p w14:paraId="7D5379D9">
      <w:pPr>
        <w:pStyle w:val="4"/>
      </w:pPr>
      <w:r>
        <w:t>5.2 一次观测应包含的字段</w:t>
      </w:r>
    </w:p>
    <w:p w14:paraId="0017495A">
      <w:pPr>
        <w:pStyle w:val="15"/>
        <w:keepNext/>
      </w:pPr>
      <w:r>
        <w:t>表 8  字段 / 含义</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2E52AB1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31BD2F21">
            <w:pPr>
              <w:pStyle w:val="164"/>
              <w:keepNext/>
            </w:pPr>
            <w:r>
              <w:rPr>
                <w:b/>
              </w:rPr>
              <w:t>字段</w:t>
            </w:r>
          </w:p>
        </w:tc>
        <w:tc>
          <w:tcPr>
            <w:tcW w:w="3600" w:type="dxa"/>
            <w:shd w:val="clear" w:color="auto" w:fill="E8EEF5"/>
            <w:tcMar>
              <w:top w:w="80" w:type="dxa"/>
              <w:left w:w="120" w:type="dxa"/>
              <w:bottom w:w="80" w:type="dxa"/>
              <w:right w:w="120" w:type="dxa"/>
            </w:tcMar>
            <w:vAlign w:val="center"/>
          </w:tcPr>
          <w:p w14:paraId="7FE12BA0">
            <w:pPr>
              <w:pStyle w:val="164"/>
              <w:keepNext/>
            </w:pPr>
            <w:r>
              <w:rPr>
                <w:b/>
              </w:rPr>
              <w:t>含义</w:t>
            </w:r>
          </w:p>
        </w:tc>
        <w:tc>
          <w:tcPr>
            <w:tcW w:w="3560" w:type="dxa"/>
            <w:shd w:val="clear" w:color="auto" w:fill="E8EEF5"/>
            <w:tcMar>
              <w:top w:w="80" w:type="dxa"/>
              <w:left w:w="120" w:type="dxa"/>
              <w:bottom w:w="80" w:type="dxa"/>
              <w:right w:w="120" w:type="dxa"/>
            </w:tcMar>
            <w:vAlign w:val="center"/>
          </w:tcPr>
          <w:p w14:paraId="393ADD92">
            <w:pPr>
              <w:pStyle w:val="164"/>
              <w:keepNext/>
            </w:pPr>
            <w:r>
              <w:rPr>
                <w:b/>
              </w:rPr>
              <w:t>说明</w:t>
            </w:r>
          </w:p>
        </w:tc>
      </w:tr>
      <w:tr w14:paraId="1DF0630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D119C5E">
            <w:pPr>
              <w:pStyle w:val="164"/>
            </w:pPr>
            <w:r>
              <w:t>capture_time</w:t>
            </w:r>
          </w:p>
        </w:tc>
        <w:tc>
          <w:tcPr>
            <w:tcW w:w="3600" w:type="dxa"/>
            <w:tcMar>
              <w:top w:w="80" w:type="dxa"/>
              <w:left w:w="120" w:type="dxa"/>
              <w:bottom w:w="80" w:type="dxa"/>
              <w:right w:w="120" w:type="dxa"/>
            </w:tcMar>
            <w:vAlign w:val="center"/>
          </w:tcPr>
          <w:p w14:paraId="16D194FA">
            <w:pPr>
              <w:pStyle w:val="164"/>
            </w:pPr>
            <w:r>
              <w:t>测量发生时间</w:t>
            </w:r>
          </w:p>
        </w:tc>
        <w:tc>
          <w:tcPr>
            <w:tcW w:w="3560" w:type="dxa"/>
            <w:tcMar>
              <w:top w:w="80" w:type="dxa"/>
              <w:left w:w="120" w:type="dxa"/>
              <w:bottom w:w="80" w:type="dxa"/>
              <w:right w:w="120" w:type="dxa"/>
            </w:tcMar>
            <w:vAlign w:val="center"/>
          </w:tcPr>
          <w:p w14:paraId="46F62A90">
            <w:pPr>
              <w:pStyle w:val="164"/>
            </w:pPr>
            <w:r>
              <w:t>与到达处理器的时间可不同</w:t>
            </w:r>
          </w:p>
        </w:tc>
      </w:tr>
      <w:tr w14:paraId="4B27DC6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6133596">
            <w:pPr>
              <w:pStyle w:val="164"/>
            </w:pPr>
            <w:r>
              <w:t>ego_pose</w:t>
            </w:r>
          </w:p>
        </w:tc>
        <w:tc>
          <w:tcPr>
            <w:tcW w:w="3600" w:type="dxa"/>
            <w:tcMar>
              <w:top w:w="80" w:type="dxa"/>
              <w:left w:w="120" w:type="dxa"/>
              <w:bottom w:w="80" w:type="dxa"/>
              <w:right w:w="120" w:type="dxa"/>
            </w:tcMar>
            <w:vAlign w:val="center"/>
          </w:tcPr>
          <w:p w14:paraId="3E9A92AB">
            <w:pPr>
              <w:pStyle w:val="164"/>
            </w:pPr>
            <w:r>
              <w:t>测量时的探测车位姿</w:t>
            </w:r>
          </w:p>
        </w:tc>
        <w:tc>
          <w:tcPr>
            <w:tcW w:w="3560" w:type="dxa"/>
            <w:tcMar>
              <w:top w:w="80" w:type="dxa"/>
              <w:left w:w="120" w:type="dxa"/>
              <w:bottom w:w="80" w:type="dxa"/>
              <w:right w:w="120" w:type="dxa"/>
            </w:tcMar>
            <w:vAlign w:val="center"/>
          </w:tcPr>
          <w:p w14:paraId="79162700">
            <w:pPr>
              <w:pStyle w:val="164"/>
            </w:pPr>
            <w:r>
              <w:t>用于统一坐标与投影</w:t>
            </w:r>
          </w:p>
        </w:tc>
      </w:tr>
      <w:tr w14:paraId="20946EF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B956DF8">
            <w:pPr>
              <w:pStyle w:val="164"/>
            </w:pPr>
            <w:r>
              <w:t>detections</w:t>
            </w:r>
          </w:p>
        </w:tc>
        <w:tc>
          <w:tcPr>
            <w:tcW w:w="3600" w:type="dxa"/>
            <w:tcMar>
              <w:top w:w="80" w:type="dxa"/>
              <w:left w:w="120" w:type="dxa"/>
              <w:bottom w:w="80" w:type="dxa"/>
              <w:right w:w="120" w:type="dxa"/>
            </w:tcMar>
            <w:vAlign w:val="center"/>
          </w:tcPr>
          <w:p w14:paraId="0023AB2F">
            <w:pPr>
              <w:pStyle w:val="164"/>
            </w:pPr>
            <w:r>
              <w:t>被检测到的车辆对象</w:t>
            </w:r>
          </w:p>
        </w:tc>
        <w:tc>
          <w:tcPr>
            <w:tcW w:w="3560" w:type="dxa"/>
            <w:tcMar>
              <w:top w:w="80" w:type="dxa"/>
              <w:left w:w="120" w:type="dxa"/>
              <w:bottom w:w="80" w:type="dxa"/>
              <w:right w:w="120" w:type="dxa"/>
            </w:tcMar>
            <w:vAlign w:val="center"/>
          </w:tcPr>
          <w:p w14:paraId="72B6D962">
            <w:pPr>
              <w:pStyle w:val="164"/>
            </w:pPr>
            <w:r>
              <w:t>含位置、速度及测量有效性</w:t>
            </w:r>
          </w:p>
        </w:tc>
      </w:tr>
      <w:tr w14:paraId="647E2C4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D20B3DE">
            <w:pPr>
              <w:pStyle w:val="164"/>
            </w:pPr>
            <w:r>
              <w:t>visible_region</w:t>
            </w:r>
          </w:p>
        </w:tc>
        <w:tc>
          <w:tcPr>
            <w:tcW w:w="3600" w:type="dxa"/>
            <w:tcMar>
              <w:top w:w="80" w:type="dxa"/>
              <w:left w:w="120" w:type="dxa"/>
              <w:bottom w:w="80" w:type="dxa"/>
              <w:right w:w="120" w:type="dxa"/>
            </w:tcMar>
            <w:vAlign w:val="center"/>
          </w:tcPr>
          <w:p w14:paraId="68F59A51">
            <w:pPr>
              <w:pStyle w:val="164"/>
            </w:pPr>
            <w:r>
              <w:t>声明有效的可见区域</w:t>
            </w:r>
          </w:p>
        </w:tc>
        <w:tc>
          <w:tcPr>
            <w:tcW w:w="3560" w:type="dxa"/>
            <w:tcMar>
              <w:top w:w="80" w:type="dxa"/>
              <w:left w:w="120" w:type="dxa"/>
              <w:bottom w:w="80" w:type="dxa"/>
              <w:right w:w="120" w:type="dxa"/>
            </w:tcMar>
            <w:vAlign w:val="center"/>
          </w:tcPr>
          <w:p w14:paraId="7191C5B9">
            <w:pPr>
              <w:pStyle w:val="164"/>
            </w:pPr>
            <w:r>
              <w:t>要与传感器模型一致</w:t>
            </w:r>
          </w:p>
        </w:tc>
      </w:tr>
      <w:tr w14:paraId="4BC59B0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50867C7">
            <w:pPr>
              <w:pStyle w:val="164"/>
            </w:pPr>
            <w:r>
              <w:t>validity</w:t>
            </w:r>
          </w:p>
        </w:tc>
        <w:tc>
          <w:tcPr>
            <w:tcW w:w="3600" w:type="dxa"/>
            <w:tcMar>
              <w:top w:w="80" w:type="dxa"/>
              <w:left w:w="120" w:type="dxa"/>
              <w:bottom w:w="80" w:type="dxa"/>
              <w:right w:w="120" w:type="dxa"/>
            </w:tcMar>
            <w:vAlign w:val="center"/>
          </w:tcPr>
          <w:p w14:paraId="4F141DC5">
            <w:pPr>
              <w:pStyle w:val="164"/>
            </w:pPr>
            <w:r>
              <w:t>缺失、遮挡或故障标记</w:t>
            </w:r>
          </w:p>
        </w:tc>
        <w:tc>
          <w:tcPr>
            <w:tcW w:w="3560" w:type="dxa"/>
            <w:tcMar>
              <w:top w:w="80" w:type="dxa"/>
              <w:left w:w="120" w:type="dxa"/>
              <w:bottom w:w="80" w:type="dxa"/>
              <w:right w:w="120" w:type="dxa"/>
            </w:tcMar>
            <w:vAlign w:val="center"/>
          </w:tcPr>
          <w:p w14:paraId="7A4F9756">
            <w:pPr>
              <w:pStyle w:val="164"/>
            </w:pPr>
            <w:r>
              <w:t>不用零值替代未知语义</w:t>
            </w:r>
          </w:p>
        </w:tc>
      </w:tr>
    </w:tbl>
    <w:p w14:paraId="2945DF35">
      <w:pPr>
        <w:pStyle w:val="165"/>
      </w:pPr>
    </w:p>
    <w:p w14:paraId="7D11F9D2">
      <w:r>
        <w:t>速度测量若依赖多帧跟踪，需要说明初始化、丢失与关联误差。稳定的仿真车辆ID可以作为标签和日志字段；若真实传感器无法维持相同全局身份，就不能把全局ID作为策略可用先验。</w:t>
      </w:r>
    </w:p>
    <w:p w14:paraId="03D87504">
      <w:pPr>
        <w:pStyle w:val="4"/>
      </w:pPr>
      <w:r>
        <w:t>5.3 未知、已知空和部分覆盖</w:t>
      </w:r>
    </w:p>
    <w:p w14:paraId="6F5DA9BF">
      <w:r>
        <w:t>未观测表示该区域情况未知；有效观察到空区域表示存在无车证据；部分覆盖只约束可见部分。只有在统计口径和可见比例明确时，局部计数才有可解释含义。</w:t>
      </w:r>
    </w:p>
    <w:p w14:paraId="1E51EF9E">
      <w:r>
        <w:t>保留原始观测时间与范围。若某个单元上次只看见40%，不能因为更新了一条记录，就把整个单元标成“完全新鲜”。首版可用观测覆盖比例与上次更新时间作为近似摘要，同时明确它无法表达单元内部所有异步差异；必要时再保留子区域或多次记录。</w:t>
      </w:r>
    </w:p>
    <w:p w14:paraId="12241848">
      <w:pPr>
        <w:pStyle w:val="4"/>
      </w:pPr>
      <w:r>
        <w:t>5.4 信号、地图与外围通行信息</w:t>
      </w:r>
    </w:p>
    <w:p w14:paraId="384CDD30">
      <w:r>
        <w:t>静态道路地图可以作为已知条件。信号相位、配时表、剩余绿灯时间分别需要说明来源。仅观察到当前红灯，不等于已知未来完整配时；感应控制情况下也不能直接读取仿真内部未来切换结果作为策略输入。</w:t>
      </w:r>
    </w:p>
    <w:p w14:paraId="15464DE3">
      <w:r>
        <w:t>外围预计通行时间可以由静态距离、历史统计或合法可用实时信息估计。若使用全路网真实即时速度或未来实现的返回时间，就属于额外信息条件，必须单列为不可部署参考或明确的通信假设。</w:t>
      </w:r>
    </w:p>
    <w:p w14:paraId="6F4849DF">
      <w:pPr>
        <w:pStyle w:val="4"/>
      </w:pPr>
      <w:r>
        <w:t>5.5 训练真值与策略输入的隔离</w:t>
      </w:r>
    </w:p>
    <w:p w14:paraId="6E3169ED">
      <w:pPr>
        <w:pStyle w:val="15"/>
        <w:keepNext/>
      </w:pPr>
      <w:r>
        <w:t>表 9  信息 / 可用于仿真奖励/标签</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3AAC067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1AD3903D">
            <w:pPr>
              <w:pStyle w:val="164"/>
              <w:keepNext/>
            </w:pPr>
            <w:r>
              <w:rPr>
                <w:b/>
              </w:rPr>
              <w:t>信息</w:t>
            </w:r>
          </w:p>
        </w:tc>
        <w:tc>
          <w:tcPr>
            <w:tcW w:w="3600" w:type="dxa"/>
            <w:shd w:val="clear" w:color="auto" w:fill="E8EEF5"/>
            <w:tcMar>
              <w:top w:w="80" w:type="dxa"/>
              <w:left w:w="120" w:type="dxa"/>
              <w:bottom w:w="80" w:type="dxa"/>
              <w:right w:w="120" w:type="dxa"/>
            </w:tcMar>
            <w:vAlign w:val="center"/>
          </w:tcPr>
          <w:p w14:paraId="5CBF6171">
            <w:pPr>
              <w:pStyle w:val="164"/>
              <w:keepNext/>
            </w:pPr>
            <w:r>
              <w:rPr>
                <w:b/>
              </w:rPr>
              <w:t>可用于仿真奖励/标签</w:t>
            </w:r>
          </w:p>
        </w:tc>
        <w:tc>
          <w:tcPr>
            <w:tcW w:w="3560" w:type="dxa"/>
            <w:shd w:val="clear" w:color="auto" w:fill="E8EEF5"/>
            <w:tcMar>
              <w:top w:w="80" w:type="dxa"/>
              <w:left w:w="120" w:type="dxa"/>
              <w:bottom w:w="80" w:type="dxa"/>
              <w:right w:w="120" w:type="dxa"/>
            </w:tcMar>
            <w:vAlign w:val="center"/>
          </w:tcPr>
          <w:p w14:paraId="0B92C85F">
            <w:pPr>
              <w:pStyle w:val="164"/>
              <w:keepNext/>
            </w:pPr>
            <w:r>
              <w:rPr>
                <w:b/>
              </w:rPr>
              <w:t>首版可部署策略输入</w:t>
            </w:r>
          </w:p>
        </w:tc>
      </w:tr>
      <w:tr w14:paraId="0108EBB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A907679">
            <w:pPr>
              <w:pStyle w:val="164"/>
            </w:pPr>
            <w:r>
              <w:t>全域真实队列</w:t>
            </w:r>
          </w:p>
        </w:tc>
        <w:tc>
          <w:tcPr>
            <w:tcW w:w="3600" w:type="dxa"/>
            <w:tcMar>
              <w:top w:w="80" w:type="dxa"/>
              <w:left w:w="120" w:type="dxa"/>
              <w:bottom w:w="80" w:type="dxa"/>
              <w:right w:w="120" w:type="dxa"/>
            </w:tcMar>
            <w:vAlign w:val="center"/>
          </w:tcPr>
          <w:p w14:paraId="14E9679B">
            <w:pPr>
              <w:pStyle w:val="164"/>
            </w:pPr>
            <w:r>
              <w:t>可以</w:t>
            </w:r>
          </w:p>
        </w:tc>
        <w:tc>
          <w:tcPr>
            <w:tcW w:w="3560" w:type="dxa"/>
            <w:tcMar>
              <w:top w:w="80" w:type="dxa"/>
              <w:left w:w="120" w:type="dxa"/>
              <w:bottom w:w="80" w:type="dxa"/>
              <w:right w:w="120" w:type="dxa"/>
            </w:tcMar>
            <w:vAlign w:val="center"/>
          </w:tcPr>
          <w:p w14:paraId="0B1793C7">
            <w:pPr>
              <w:pStyle w:val="164"/>
            </w:pPr>
            <w:r>
              <w:t>不直接提供</w:t>
            </w:r>
          </w:p>
        </w:tc>
      </w:tr>
      <w:tr w14:paraId="2FD6AFA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B55CCF2">
            <w:pPr>
              <w:pStyle w:val="164"/>
            </w:pPr>
            <w:r>
              <w:t>当前局部检测</w:t>
            </w:r>
          </w:p>
        </w:tc>
        <w:tc>
          <w:tcPr>
            <w:tcW w:w="3600" w:type="dxa"/>
            <w:tcMar>
              <w:top w:w="80" w:type="dxa"/>
              <w:left w:w="120" w:type="dxa"/>
              <w:bottom w:w="80" w:type="dxa"/>
              <w:right w:w="120" w:type="dxa"/>
            </w:tcMar>
            <w:vAlign w:val="center"/>
          </w:tcPr>
          <w:p w14:paraId="2FAA4F10">
            <w:pPr>
              <w:pStyle w:val="164"/>
            </w:pPr>
            <w:r>
              <w:t>可以</w:t>
            </w:r>
          </w:p>
        </w:tc>
        <w:tc>
          <w:tcPr>
            <w:tcW w:w="3560" w:type="dxa"/>
            <w:tcMar>
              <w:top w:w="80" w:type="dxa"/>
              <w:left w:w="120" w:type="dxa"/>
              <w:bottom w:w="80" w:type="dxa"/>
              <w:right w:w="120" w:type="dxa"/>
            </w:tcMar>
            <w:vAlign w:val="center"/>
          </w:tcPr>
          <w:p w14:paraId="455A6A7D">
            <w:pPr>
              <w:pStyle w:val="164"/>
            </w:pPr>
            <w:r>
              <w:t>可以</w:t>
            </w:r>
          </w:p>
        </w:tc>
      </w:tr>
      <w:tr w14:paraId="3024BFF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0AB1DC8">
            <w:pPr>
              <w:pStyle w:val="164"/>
            </w:pPr>
            <w:r>
              <w:t>估计器的当前预测</w:t>
            </w:r>
          </w:p>
        </w:tc>
        <w:tc>
          <w:tcPr>
            <w:tcW w:w="3600" w:type="dxa"/>
            <w:tcMar>
              <w:top w:w="80" w:type="dxa"/>
              <w:left w:w="120" w:type="dxa"/>
              <w:bottom w:w="80" w:type="dxa"/>
              <w:right w:w="120" w:type="dxa"/>
            </w:tcMar>
            <w:vAlign w:val="center"/>
          </w:tcPr>
          <w:p w14:paraId="040FAFBC">
            <w:pPr>
              <w:pStyle w:val="164"/>
            </w:pPr>
            <w:r>
              <w:t>可以</w:t>
            </w:r>
          </w:p>
        </w:tc>
        <w:tc>
          <w:tcPr>
            <w:tcW w:w="3560" w:type="dxa"/>
            <w:tcMar>
              <w:top w:w="80" w:type="dxa"/>
              <w:left w:w="120" w:type="dxa"/>
              <w:bottom w:w="80" w:type="dxa"/>
              <w:right w:w="120" w:type="dxa"/>
            </w:tcMar>
            <w:vAlign w:val="center"/>
          </w:tcPr>
          <w:p w14:paraId="54DC35D2">
            <w:pPr>
              <w:pStyle w:val="164"/>
            </w:pPr>
            <w:r>
              <w:t>可以</w:t>
            </w:r>
          </w:p>
        </w:tc>
      </w:tr>
      <w:tr w14:paraId="7C2C929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7D2D485">
            <w:pPr>
              <w:pStyle w:val="164"/>
            </w:pPr>
            <w:r>
              <w:t>根据真值计算的当前误差</w:t>
            </w:r>
          </w:p>
        </w:tc>
        <w:tc>
          <w:tcPr>
            <w:tcW w:w="3600" w:type="dxa"/>
            <w:tcMar>
              <w:top w:w="80" w:type="dxa"/>
              <w:left w:w="120" w:type="dxa"/>
              <w:bottom w:w="80" w:type="dxa"/>
              <w:right w:w="120" w:type="dxa"/>
            </w:tcMar>
            <w:vAlign w:val="center"/>
          </w:tcPr>
          <w:p w14:paraId="7AE8C68C">
            <w:pPr>
              <w:pStyle w:val="164"/>
            </w:pPr>
            <w:r>
              <w:t>可以</w:t>
            </w:r>
          </w:p>
        </w:tc>
        <w:tc>
          <w:tcPr>
            <w:tcW w:w="3560" w:type="dxa"/>
            <w:tcMar>
              <w:top w:w="80" w:type="dxa"/>
              <w:left w:w="120" w:type="dxa"/>
              <w:bottom w:w="80" w:type="dxa"/>
              <w:right w:w="120" w:type="dxa"/>
            </w:tcMar>
            <w:vAlign w:val="center"/>
          </w:tcPr>
          <w:p w14:paraId="6D82F0D5">
            <w:pPr>
              <w:pStyle w:val="164"/>
            </w:pPr>
            <w:r>
              <w:t>不提供</w:t>
            </w:r>
          </w:p>
        </w:tc>
      </w:tr>
      <w:tr w14:paraId="5F92D48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6677D41">
            <w:pPr>
              <w:pStyle w:val="164"/>
            </w:pPr>
            <w:r>
              <w:t>经允许输入预测的不确定性</w:t>
            </w:r>
          </w:p>
        </w:tc>
        <w:tc>
          <w:tcPr>
            <w:tcW w:w="3600" w:type="dxa"/>
            <w:tcMar>
              <w:top w:w="80" w:type="dxa"/>
              <w:left w:w="120" w:type="dxa"/>
              <w:bottom w:w="80" w:type="dxa"/>
              <w:right w:w="120" w:type="dxa"/>
            </w:tcMar>
            <w:vAlign w:val="center"/>
          </w:tcPr>
          <w:p w14:paraId="5935DD37">
            <w:pPr>
              <w:pStyle w:val="164"/>
            </w:pPr>
            <w:r>
              <w:t>可以</w:t>
            </w:r>
          </w:p>
        </w:tc>
        <w:tc>
          <w:tcPr>
            <w:tcW w:w="3560" w:type="dxa"/>
            <w:tcMar>
              <w:top w:w="80" w:type="dxa"/>
              <w:left w:w="120" w:type="dxa"/>
              <w:bottom w:w="80" w:type="dxa"/>
              <w:right w:w="120" w:type="dxa"/>
            </w:tcMar>
            <w:vAlign w:val="center"/>
          </w:tcPr>
          <w:p w14:paraId="531BCF96">
            <w:pPr>
              <w:pStyle w:val="164"/>
            </w:pPr>
            <w:r>
              <w:t>可以，需校准</w:t>
            </w:r>
          </w:p>
        </w:tc>
      </w:tr>
      <w:tr w14:paraId="79A52A9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55A65C">
            <w:pPr>
              <w:pStyle w:val="164"/>
            </w:pPr>
            <w:r>
              <w:t>测试场景未来车流</w:t>
            </w:r>
          </w:p>
        </w:tc>
        <w:tc>
          <w:tcPr>
            <w:tcW w:w="3600" w:type="dxa"/>
            <w:tcMar>
              <w:top w:w="80" w:type="dxa"/>
              <w:left w:w="120" w:type="dxa"/>
              <w:bottom w:w="80" w:type="dxa"/>
              <w:right w:w="120" w:type="dxa"/>
            </w:tcMar>
            <w:vAlign w:val="center"/>
          </w:tcPr>
          <w:p w14:paraId="00FC0859">
            <w:pPr>
              <w:pStyle w:val="164"/>
            </w:pPr>
            <w:r>
              <w:t>仅用于事后评测</w:t>
            </w:r>
          </w:p>
        </w:tc>
        <w:tc>
          <w:tcPr>
            <w:tcW w:w="3560" w:type="dxa"/>
            <w:tcMar>
              <w:top w:w="80" w:type="dxa"/>
              <w:left w:w="120" w:type="dxa"/>
              <w:bottom w:w="80" w:type="dxa"/>
              <w:right w:w="120" w:type="dxa"/>
            </w:tcMar>
            <w:vAlign w:val="center"/>
          </w:tcPr>
          <w:p w14:paraId="1D147AD3">
            <w:pPr>
              <w:pStyle w:val="164"/>
            </w:pPr>
            <w:r>
              <w:t>不提供</w:t>
            </w:r>
          </w:p>
        </w:tc>
      </w:tr>
    </w:tbl>
    <w:p w14:paraId="1D1450A0">
      <w:pPr>
        <w:pStyle w:val="165"/>
      </w:pPr>
    </w:p>
    <w:p w14:paraId="6D9AB20F">
      <w:r>
        <w:t>除了明显的真实队列，还要检查间接泄漏：观测归一化是否使用测试集统计，初始估计是否由当前真值初始化，候选排序是否依赖隐藏拥堵，动作掩码是否使用未来信息，策略记忆是否输入了无法在线得到的真实奖励。</w:t>
      </w:r>
    </w:p>
    <w:p w14:paraId="16EB77EC">
      <w:r>
        <w:t>首版Actor和Critic均使用部署时可用输入，真值进入标签和训练目标支路。非对称Critic可作为扩展，但需单独声明，不与首版信息边界混用。</w:t>
      </w:r>
    </w:p>
    <w:p w14:paraId="4BA34DED">
      <w:pPr>
        <w:pStyle w:val="3"/>
        <w:pageBreakBefore/>
      </w:pPr>
      <w:bookmarkStart w:id="7" w:name="chapter_06"/>
      <w:r>
        <w:t>6 交通状态估计器与强化学习的接口</w:t>
      </w:r>
      <w:bookmarkEnd w:id="7"/>
    </w:p>
    <w:p w14:paraId="17928675">
      <w:pPr>
        <w:pStyle w:val="4"/>
      </w:pPr>
      <w:r>
        <w:t>6.1 估计器不是只给奖励</w:t>
      </w:r>
    </w:p>
    <w:p w14:paraId="7D77F496">
      <w:r>
        <w:t>估计器维护对目标交通的当前判断，向策略提供排队估计、不确定性和必要的历史摘要。评价器再将估计器输出与真值比较，得到任务误差。估计器因此既影响输入，又影响奖励。</w:t>
      </w:r>
    </w:p>
    <w:p w14:paraId="16AE5362">
      <w:pPr>
        <w:pStyle w:val="167"/>
        <w:keepNext/>
      </w:pPr>
      <m:oMathPara>
        <m:oMath>
          <m:sSub>
            <m:sSubPr/>
            <m:e>
              <m:r>
                <m:rPr/>
                <w:rPr>
                  <w:rFonts w:ascii="Cambria Math" w:hAnsi="Cambria Math" w:eastAsia="Noto Sans CJK SC"/>
                </w:rPr>
                <m:t>ξ</m:t>
              </m:r>
            </m:e>
            <m:sub>
              <m:r>
                <m:rPr/>
                <w:rPr>
                  <w:rFonts w:ascii="Cambria Math" w:hAnsi="Cambria Math" w:eastAsia="Noto Sans CJK SC"/>
                </w:rPr>
                <m:t>j</m:t>
              </m:r>
            </m:sub>
          </m:sSub>
          <m:r>
            <m:rPr/>
            <w:rPr>
              <w:rFonts w:ascii="Cambria Math" w:hAnsi="Cambria Math" w:eastAsia="Noto Sans CJK SC"/>
            </w:rPr>
            <m:t xml:space="preserve"> = </m:t>
          </m:r>
          <m:sSub>
            <m:sSubPr/>
            <m:e>
              <m:r>
                <m:rPr/>
                <w:rPr>
                  <w:rFonts w:ascii="Cambria Math" w:hAnsi="Cambria Math" w:eastAsia="Noto Sans CJK SC"/>
                </w:rPr>
                <m:t>F</m:t>
              </m:r>
            </m:e>
            <m:sub>
              <m:r>
                <m:rPr/>
                <w:rPr>
                  <w:rFonts w:ascii="Cambria Math" w:hAnsi="Cambria Math" w:eastAsia="Noto Sans CJK SC"/>
                </w:rPr>
                <m:t>φ</m:t>
              </m:r>
            </m:sub>
          </m:sSub>
          <m:r>
            <m:rPr/>
            <w:rPr>
              <w:rFonts w:ascii="Cambria Math" w:hAnsi="Cambria Math" w:eastAsia="Noto Sans CJK SC"/>
            </w:rPr>
            <m:t>(</m:t>
          </m:r>
          <m:sSub>
            <m:sSubPr/>
            <m:e>
              <m:r>
                <m:rPr/>
                <w:rPr>
                  <w:rFonts w:ascii="Cambria Math" w:hAnsi="Cambria Math" w:eastAsia="Noto Sans CJK SC"/>
                </w:rPr>
                <m:t>ξ</m:t>
              </m:r>
            </m:e>
            <m:sub>
              <m:r>
                <m:rPr/>
                <w:rPr>
                  <w:rFonts w:ascii="Cambria Math" w:hAnsi="Cambria Math" w:eastAsia="Noto Sans CJK SC"/>
                </w:rPr>
                <m:t>j−1</m:t>
              </m:r>
            </m:sub>
          </m:sSub>
          <m:r>
            <m:rPr/>
            <w:rPr>
              <w:rFonts w:ascii="Cambria Math" w:hAnsi="Cambria Math" w:eastAsia="Noto Sans CJK SC"/>
            </w:rPr>
            <m:t xml:space="preserve">, </m:t>
          </m:r>
          <m:sSub>
            <m:sSubPr/>
            <m:e>
              <m:r>
                <m:rPr/>
                <w:rPr>
                  <w:rFonts w:ascii="Cambria Math" w:hAnsi="Cambria Math" w:eastAsia="Noto Sans CJK SC"/>
                </w:rPr>
                <m:t>z</m:t>
              </m:r>
            </m:e>
            <m:sub>
              <m:r>
                <m:rPr/>
                <w:rPr>
                  <w:rFonts w:ascii="Cambria Math" w:hAnsi="Cambria Math" w:eastAsia="Noto Sans CJK SC"/>
                </w:rPr>
                <m:t>j</m:t>
              </m:r>
            </m:sub>
          </m:sSub>
          <m:r>
            <m:rPr/>
            <w:rPr>
              <w:rFonts w:ascii="Cambria Math" w:hAnsi="Cambria Math" w:eastAsia="Noto Sans CJK SC"/>
            </w:rPr>
            <m:t xml:space="preserve">, </m:t>
          </m:r>
          <m:sSub>
            <m:sSubPr/>
            <m:e>
              <m:r>
                <m:rPr/>
                <w:rPr>
                  <w:rFonts w:ascii="Cambria Math" w:hAnsi="Cambria Math" w:eastAsia="Noto Sans CJK SC"/>
                </w:rPr>
                <m:t>K</m:t>
              </m:r>
            </m:e>
            <m:sub>
              <m:r>
                <m:rPr/>
                <w:rPr>
                  <w:rFonts w:ascii="Cambria Math" w:hAnsi="Cambria Math" w:eastAsia="Noto Sans CJK SC"/>
                </w:rPr>
                <m:t>j</m:t>
              </m:r>
            </m:sub>
          </m:sSub>
          <m:r>
            <m:rPr/>
            <w:rPr>
              <w:rFonts w:ascii="Cambria Math" w:hAnsi="Cambria Math" w:eastAsia="Noto Sans CJK SC"/>
            </w:rPr>
            <m:t>, δ</m:t>
          </m:r>
          <m:sSub>
            <m:sSubPr/>
            <m:e>
              <m:r>
                <m:rPr/>
                <w:rPr>
                  <w:rFonts w:ascii="Cambria Math" w:hAnsi="Cambria Math" w:eastAsia="Noto Sans CJK SC"/>
                </w:rPr>
                <m:t>t</m:t>
              </m:r>
            </m:e>
            <m:sub>
              <m:r>
                <m:rPr/>
                <w:rPr>
                  <w:rFonts w:ascii="Cambria Math" w:hAnsi="Cambria Math" w:eastAsia="Noto Sans CJK SC"/>
                </w:rPr>
                <m:t>j</m:t>
              </m:r>
            </m:sub>
          </m:sSub>
          <m:r>
            <m:rPr/>
            <w:rPr>
              <w:rFonts w:ascii="Cambria Math" w:hAnsi="Cambria Math" w:eastAsia="Noto Sans CJK SC"/>
            </w:rPr>
            <m:t>)</m:t>
          </m:r>
        </m:oMath>
      </m:oMathPara>
    </w:p>
    <w:p w14:paraId="301DD1F1">
      <w:pPr>
        <w:pStyle w:val="167"/>
      </w:pPr>
      <m:oMath>
        <m:r>
          <m:rPr/>
          <w:rPr>
            <w:rFonts w:ascii="Cambria Math" w:hAnsi="Cambria Math" w:eastAsia="Noto Sans CJK SC"/>
          </w:rPr>
          <m:t>(</m:t>
        </m:r>
        <m:acc>
          <m:accPr/>
          <m:e>
            <m:sSub>
              <m:sSubPr/>
              <m:e>
                <m:r>
                  <m:rPr/>
                  <w:rPr>
                    <w:rFonts w:ascii="Cambria Math" w:hAnsi="Cambria Math" w:eastAsia="Noto Sans CJK SC"/>
                  </w:rPr>
                  <m:t>Y</m:t>
                </m:r>
              </m:e>
              <m:sub>
                <m:r>
                  <m:rPr/>
                  <w:rPr>
                    <w:rFonts w:ascii="Cambria Math" w:hAnsi="Cambria Math" w:eastAsia="Noto Sans CJK SC"/>
                  </w:rPr>
                  <m:t>j</m:t>
                </m:r>
              </m:sub>
            </m:sSub>
          </m:e>
        </m:acc>
        <m:r>
          <m:rPr/>
          <w:rPr>
            <w:rFonts w:ascii="Cambria Math" w:hAnsi="Cambria Math" w:eastAsia="Noto Sans CJK SC"/>
          </w:rPr>
          <m:t xml:space="preserve">, </m:t>
        </m:r>
        <m:sSub>
          <m:sSubPr/>
          <m:e>
            <m:r>
              <m:rPr/>
              <w:rPr>
                <w:rFonts w:ascii="Cambria Math" w:hAnsi="Cambria Math" w:eastAsia="Noto Sans CJK SC"/>
              </w:rPr>
              <m:t>U</m:t>
            </m:r>
          </m:e>
          <m:sub>
            <m:r>
              <m:rPr/>
              <w:rPr>
                <w:rFonts w:ascii="Cambria Math" w:hAnsi="Cambria Math" w:eastAsia="Noto Sans CJK SC"/>
              </w:rPr>
              <m:t>j</m:t>
            </m:r>
          </m:sub>
        </m:sSub>
        <m:r>
          <m:rPr/>
          <w:rPr>
            <w:rFonts w:ascii="Cambria Math" w:hAnsi="Cambria Math" w:eastAsia="Noto Sans CJK SC"/>
          </w:rPr>
          <m:t xml:space="preserve">) = </m:t>
        </m:r>
        <m:sSub>
          <m:sSubPr/>
          <m:e>
            <m:r>
              <m:rPr/>
              <w:rPr>
                <w:rFonts w:ascii="Cambria Math" w:hAnsi="Cambria Math" w:eastAsia="Noto Sans CJK SC"/>
              </w:rPr>
              <m:t>g</m:t>
            </m:r>
          </m:e>
          <m:sub>
            <m:r>
              <m:rPr/>
              <w:rPr>
                <w:rFonts w:ascii="Cambria Math" w:hAnsi="Cambria Math" w:eastAsia="Noto Sans CJK SC"/>
              </w:rPr>
              <m:t>φ</m:t>
            </m:r>
          </m:sub>
        </m:sSub>
        <m:r>
          <m:rPr/>
          <w:rPr>
            <w:rFonts w:ascii="Cambria Math" w:hAnsi="Cambria Math" w:eastAsia="Noto Sans CJK SC"/>
          </w:rPr>
          <m:t>(</m:t>
        </m:r>
        <m:sSub>
          <m:sSubPr/>
          <m:e>
            <m:r>
              <m:rPr/>
              <w:rPr>
                <w:rFonts w:ascii="Cambria Math" w:hAnsi="Cambria Math" w:eastAsia="Noto Sans CJK SC"/>
              </w:rPr>
              <m:t>ξ</m:t>
            </m:r>
          </m:e>
          <m:sub>
            <m:r>
              <m:rPr/>
              <w:rPr>
                <w:rFonts w:ascii="Cambria Math" w:hAnsi="Cambria Math" w:eastAsia="Noto Sans CJK SC"/>
              </w:rPr>
              <m:t>j</m:t>
            </m:r>
          </m:sub>
        </m:sSub>
        <m:r>
          <m:rPr/>
          <w:rPr>
            <w:rFonts w:ascii="Cambria Math" w:hAnsi="Cambria Math" w:eastAsia="Noto Sans CJK SC"/>
          </w:rPr>
          <m:t>)</m:t>
        </m:r>
      </m:oMath>
      <w:r>
        <w:t xml:space="preserve">   (5)</w:t>
      </w:r>
    </w:p>
    <w:p w14:paraId="12DD1F56">
      <w:r>
        <w:t>式中φ为估计器参数，ξ为其内部记忆，z为原始局部观测，K为合法已知信息。输出应全部对齐到声明的目标时刻。未收到新观测时，应执行预测或时间更新，而不是把最后一次观测永久冻结。</w:t>
      </w:r>
    </w:p>
    <w:p w14:paraId="30864987">
      <w:pPr>
        <w:pStyle w:val="4"/>
      </w:pPr>
      <w:r>
        <w:t>6.2 最小可实现接口</w:t>
      </w:r>
    </w:p>
    <w:p w14:paraId="68F977DF">
      <w:pPr>
        <w:pStyle w:val="15"/>
        <w:keepNext/>
      </w:pPr>
      <w:r>
        <w:t>表 10  接口 / 作用</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4679CFB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6D613D0C">
            <w:pPr>
              <w:pStyle w:val="164"/>
              <w:keepNext/>
            </w:pPr>
            <w:r>
              <w:rPr>
                <w:b/>
              </w:rPr>
              <w:t>接口</w:t>
            </w:r>
          </w:p>
        </w:tc>
        <w:tc>
          <w:tcPr>
            <w:tcW w:w="3600" w:type="dxa"/>
            <w:shd w:val="clear" w:color="auto" w:fill="E8EEF5"/>
            <w:tcMar>
              <w:top w:w="80" w:type="dxa"/>
              <w:left w:w="120" w:type="dxa"/>
              <w:bottom w:w="80" w:type="dxa"/>
              <w:right w:w="120" w:type="dxa"/>
            </w:tcMar>
            <w:vAlign w:val="center"/>
          </w:tcPr>
          <w:p w14:paraId="5F734AF7">
            <w:pPr>
              <w:pStyle w:val="164"/>
              <w:keepNext/>
            </w:pPr>
            <w:r>
              <w:rPr>
                <w:b/>
              </w:rPr>
              <w:t>作用</w:t>
            </w:r>
          </w:p>
        </w:tc>
        <w:tc>
          <w:tcPr>
            <w:tcW w:w="3560" w:type="dxa"/>
            <w:shd w:val="clear" w:color="auto" w:fill="E8EEF5"/>
            <w:tcMar>
              <w:top w:w="80" w:type="dxa"/>
              <w:left w:w="120" w:type="dxa"/>
              <w:bottom w:w="80" w:type="dxa"/>
              <w:right w:w="120" w:type="dxa"/>
            </w:tcMar>
            <w:vAlign w:val="center"/>
          </w:tcPr>
          <w:p w14:paraId="2AA72D0D">
            <w:pPr>
              <w:pStyle w:val="164"/>
              <w:keepNext/>
            </w:pPr>
            <w:r>
              <w:rPr>
                <w:b/>
              </w:rPr>
              <w:t>约束</w:t>
            </w:r>
          </w:p>
        </w:tc>
      </w:tr>
      <w:tr w14:paraId="71BE81B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2457C4">
            <w:pPr>
              <w:pStyle w:val="164"/>
            </w:pPr>
            <w:r>
              <w:t>reset(prior, time)</w:t>
            </w:r>
          </w:p>
        </w:tc>
        <w:tc>
          <w:tcPr>
            <w:tcW w:w="3600" w:type="dxa"/>
            <w:tcMar>
              <w:top w:w="80" w:type="dxa"/>
              <w:left w:w="120" w:type="dxa"/>
              <w:bottom w:w="80" w:type="dxa"/>
              <w:right w:w="120" w:type="dxa"/>
            </w:tcMar>
            <w:vAlign w:val="center"/>
          </w:tcPr>
          <w:p w14:paraId="1AAFB659">
            <w:pPr>
              <w:pStyle w:val="164"/>
            </w:pPr>
            <w:r>
              <w:t>初始化先验与记忆</w:t>
            </w:r>
          </w:p>
        </w:tc>
        <w:tc>
          <w:tcPr>
            <w:tcW w:w="3560" w:type="dxa"/>
            <w:tcMar>
              <w:top w:w="80" w:type="dxa"/>
              <w:left w:w="120" w:type="dxa"/>
              <w:bottom w:w="80" w:type="dxa"/>
              <w:right w:w="120" w:type="dxa"/>
            </w:tcMar>
            <w:vAlign w:val="center"/>
          </w:tcPr>
          <w:p w14:paraId="2E42CC82">
            <w:pPr>
              <w:pStyle w:val="164"/>
            </w:pPr>
            <w:r>
              <w:t>prior不能取自当前隐藏真值</w:t>
            </w:r>
          </w:p>
        </w:tc>
      </w:tr>
      <w:tr w14:paraId="6223749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6681568">
            <w:pPr>
              <w:pStyle w:val="164"/>
            </w:pPr>
            <w:r>
              <w:t>predict_to(time)</w:t>
            </w:r>
          </w:p>
        </w:tc>
        <w:tc>
          <w:tcPr>
            <w:tcW w:w="3600" w:type="dxa"/>
            <w:tcMar>
              <w:top w:w="80" w:type="dxa"/>
              <w:left w:w="120" w:type="dxa"/>
              <w:bottom w:w="80" w:type="dxa"/>
              <w:right w:w="120" w:type="dxa"/>
            </w:tcMar>
            <w:vAlign w:val="center"/>
          </w:tcPr>
          <w:p w14:paraId="6F1794DA">
            <w:pPr>
              <w:pStyle w:val="164"/>
            </w:pPr>
            <w:r>
              <w:t>推进到当前目标时刻</w:t>
            </w:r>
          </w:p>
        </w:tc>
        <w:tc>
          <w:tcPr>
            <w:tcW w:w="3560" w:type="dxa"/>
            <w:tcMar>
              <w:top w:w="80" w:type="dxa"/>
              <w:left w:w="120" w:type="dxa"/>
              <w:bottom w:w="80" w:type="dxa"/>
              <w:right w:w="120" w:type="dxa"/>
            </w:tcMar>
            <w:vAlign w:val="center"/>
          </w:tcPr>
          <w:p w14:paraId="4A20D239">
            <w:pPr>
              <w:pStyle w:val="164"/>
            </w:pPr>
            <w:r>
              <w:t>不使用未来观测</w:t>
            </w:r>
          </w:p>
        </w:tc>
      </w:tr>
      <w:tr w14:paraId="5259DBE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6C48A26">
            <w:pPr>
              <w:pStyle w:val="164"/>
            </w:pPr>
            <w:r>
              <w:t>assimilate(packet)</w:t>
            </w:r>
          </w:p>
        </w:tc>
        <w:tc>
          <w:tcPr>
            <w:tcW w:w="3600" w:type="dxa"/>
            <w:tcMar>
              <w:top w:w="80" w:type="dxa"/>
              <w:left w:w="120" w:type="dxa"/>
              <w:bottom w:w="80" w:type="dxa"/>
              <w:right w:w="120" w:type="dxa"/>
            </w:tcMar>
            <w:vAlign w:val="center"/>
          </w:tcPr>
          <w:p w14:paraId="297F8F32">
            <w:pPr>
              <w:pStyle w:val="164"/>
            </w:pPr>
            <w:r>
              <w:t>融合新测量</w:t>
            </w:r>
          </w:p>
        </w:tc>
        <w:tc>
          <w:tcPr>
            <w:tcW w:w="3560" w:type="dxa"/>
            <w:tcMar>
              <w:top w:w="80" w:type="dxa"/>
              <w:left w:w="120" w:type="dxa"/>
              <w:bottom w:w="80" w:type="dxa"/>
              <w:right w:w="120" w:type="dxa"/>
            </w:tcMar>
            <w:vAlign w:val="center"/>
          </w:tcPr>
          <w:p w14:paraId="21D37D76">
            <w:pPr>
              <w:pStyle w:val="164"/>
            </w:pPr>
            <w:r>
              <w:t>按测量时间处理</w:t>
            </w:r>
          </w:p>
        </w:tc>
      </w:tr>
      <w:tr w14:paraId="2CE3F66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B80912">
            <w:pPr>
              <w:pStyle w:val="164"/>
            </w:pPr>
            <w:r>
              <w:t>readout(time)</w:t>
            </w:r>
          </w:p>
        </w:tc>
        <w:tc>
          <w:tcPr>
            <w:tcW w:w="3600" w:type="dxa"/>
            <w:tcMar>
              <w:top w:w="80" w:type="dxa"/>
              <w:left w:w="120" w:type="dxa"/>
              <w:bottom w:w="80" w:type="dxa"/>
              <w:right w:w="120" w:type="dxa"/>
            </w:tcMar>
            <w:vAlign w:val="center"/>
          </w:tcPr>
          <w:p w14:paraId="6395E7C3">
            <w:pPr>
              <w:pStyle w:val="164"/>
            </w:pPr>
            <w:r>
              <w:t>输出估计与可靠性</w:t>
            </w:r>
          </w:p>
        </w:tc>
        <w:tc>
          <w:tcPr>
            <w:tcW w:w="3560" w:type="dxa"/>
            <w:tcMar>
              <w:top w:w="80" w:type="dxa"/>
              <w:left w:w="120" w:type="dxa"/>
              <w:bottom w:w="80" w:type="dxa"/>
              <w:right w:w="120" w:type="dxa"/>
            </w:tcMar>
            <w:vAlign w:val="center"/>
          </w:tcPr>
          <w:p w14:paraId="20CFCF15">
            <w:pPr>
              <w:pStyle w:val="164"/>
            </w:pPr>
            <w:r>
              <w:t>明确单位、目标车道顺序</w:t>
            </w:r>
          </w:p>
        </w:tc>
      </w:tr>
      <w:tr w14:paraId="7C0FD6A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32C10C2">
            <w:pPr>
              <w:pStyle w:val="164"/>
            </w:pPr>
            <w:r>
              <w:t>export_summary()</w:t>
            </w:r>
          </w:p>
        </w:tc>
        <w:tc>
          <w:tcPr>
            <w:tcW w:w="3600" w:type="dxa"/>
            <w:tcMar>
              <w:top w:w="80" w:type="dxa"/>
              <w:left w:w="120" w:type="dxa"/>
              <w:bottom w:w="80" w:type="dxa"/>
              <w:right w:w="120" w:type="dxa"/>
            </w:tcMar>
            <w:vAlign w:val="center"/>
          </w:tcPr>
          <w:p w14:paraId="71198F0A">
            <w:pPr>
              <w:pStyle w:val="164"/>
            </w:pPr>
            <w:r>
              <w:t>提供策略可用摘要</w:t>
            </w:r>
          </w:p>
        </w:tc>
        <w:tc>
          <w:tcPr>
            <w:tcW w:w="3560" w:type="dxa"/>
            <w:tcMar>
              <w:top w:w="80" w:type="dxa"/>
              <w:left w:w="120" w:type="dxa"/>
              <w:bottom w:w="80" w:type="dxa"/>
              <w:right w:w="120" w:type="dxa"/>
            </w:tcMar>
            <w:vAlign w:val="center"/>
          </w:tcPr>
          <w:p w14:paraId="0823A851">
            <w:pPr>
              <w:pStyle w:val="164"/>
            </w:pPr>
            <w:r>
              <w:t>不输出教师专用字段</w:t>
            </w:r>
          </w:p>
        </w:tc>
      </w:tr>
    </w:tbl>
    <w:p w14:paraId="02969841">
      <w:pPr>
        <w:pStyle w:val="165"/>
      </w:pPr>
    </w:p>
    <w:p w14:paraId="0E8514C6">
      <w:r>
        <w:t>首版可以先假设零通信延迟，以减少乱序观测处理复杂度。后续加入延迟时，不能把过去时刻测量当成当前测量直接融合。应使用时间对齐、延迟补偿或明确的状态回溯更新机制。</w:t>
      </w:r>
    </w:p>
    <w:p w14:paraId="668634B1">
      <w:pPr>
        <w:pStyle w:val="4"/>
      </w:pPr>
      <w:r>
        <w:t>6.3 先构造可检验的估计基线</w:t>
      </w:r>
    </w:p>
    <w:p w14:paraId="1A02404B">
      <w:r>
        <w:t>估计器可以从历史先验、简单交通机理或时序网络开始。推荐先建立两种参考：无新增观测时的先验预测，以及固定路线局部观测驱动的估计。比较它们，验证传感器数据是否真正提供了目标信息。</w:t>
      </w:r>
    </w:p>
    <w:p w14:paraId="5ACC8728">
      <w:r>
        <w:t>训练数据应来自实际可行的探测轨迹和感知缺失模式。独立随机遮蔽可以作为补充，但不能代替整段道路长期不可见、连续遮挡和绕行造成的信息空窗。估计器训练、策略训练和测试应共享一致的数据分割纪律。</w:t>
      </w:r>
    </w:p>
    <w:p w14:paraId="1632AC91">
      <w:pPr>
        <w:pStyle w:val="170"/>
      </w:pPr>
      <w:r>
        <w:t>【待定 D13】具体网络、交通约束和不确定性方法需另行选择。本手册定义输入输出与验证要求，不把某个尚未训练的重建网络视为已完成前提。</w:t>
      </w:r>
    </w:p>
    <w:p w14:paraId="1B12802A">
      <w:pPr>
        <w:pStyle w:val="4"/>
      </w:pPr>
      <w:r>
        <w:t>6.4 不确定性如何解释</w:t>
      </w:r>
    </w:p>
    <w:p w14:paraId="1E636149">
      <w:r>
        <w:t>可选输出包括预测方差、预测区间、模型集成分歧或经校准的风险评分。不同量不能仅因都记成U，就相互替代。预测区间需检验经验覆盖率与区间宽度；集成分歧不自动等于完整预测误差。</w:t>
      </w:r>
    </w:p>
    <w:p w14:paraId="5A899912">
      <w:r>
        <w:t>信息年龄提供“距离上次观测多久”的事实，不等于误差大小。刚观察过也可能存在测量噪声；很久未观察但交通稳定时，预测仍可能较准。将年龄和不确定性共同提供给策略，并通过消融检验各自作用。</w:t>
      </w:r>
    </w:p>
    <w:p w14:paraId="33D3F9B8">
      <w:pPr>
        <w:pStyle w:val="4"/>
      </w:pPr>
      <w:r>
        <w:t>6.5 冻结参数与分阶段更新</w:t>
      </w:r>
    </w:p>
    <w:p w14:paraId="7C77A8AB">
      <w:r>
        <w:t>首轮策略训练固定φ，便于把策略改善归因到观测选择。若策略逐渐访问估计器训练时很少见的观测模式，可以在训练场景补采数据、更新估计器，再冻结新版本重做策略比较。</w:t>
      </w:r>
    </w:p>
    <w:p w14:paraId="01E1CC86">
      <w:r>
        <w:t>同时改变估计器和策略并非不允许，但需要管理非平稳目标、样本版本、交替训练节奏和公平对照。它应作为后续联合优化研究，而不是首版无法解释奖励变化的默认状态。</w:t>
      </w:r>
    </w:p>
    <w:p w14:paraId="207F2FCA">
      <w:pPr>
        <w:pStyle w:val="4"/>
      </w:pPr>
      <w:r>
        <w:t>6.6 交通物理约束的边界</w:t>
      </w:r>
    </w:p>
    <w:p w14:paraId="7F484EE4">
      <w:r>
        <w:t>车辆数守恒应包含到达、离开和换道交换。排队长度本身不是守恒量，车辆启动、停车间距改变、队列断裂都可能改变其长度。不能直接对排队米数套用车辆守恒公式。</w:t>
      </w:r>
    </w:p>
    <w:p w14:paraId="753AE2BF">
      <w:r>
        <w:t>即使交通机理正确，未观测到的输入流、转向行为和扰动仍会产生不确定性。估计器应保留无法由数据消除的误差边界，而不是以“物理约束”名义声称唯一恢复全部真实交通。</w:t>
      </w:r>
    </w:p>
    <w:p w14:paraId="2F9867D3">
      <w:pPr>
        <w:pStyle w:val="3"/>
        <w:pageBreakBefore/>
      </w:pPr>
      <w:bookmarkStart w:id="8" w:name="chapter_07"/>
      <w:r>
        <w:t>7 策略输入的字段、张量与记忆</w:t>
      </w:r>
      <w:bookmarkEnd w:id="8"/>
    </w:p>
    <w:p w14:paraId="511435E6">
      <w:pPr>
        <w:pStyle w:val="4"/>
      </w:pPr>
      <w:r>
        <w:t>7.1 推荐采用显式分组输入</w:t>
      </w:r>
    </w:p>
    <w:p w14:paraId="25851201">
      <w:r>
        <w:t>把输入分为自车、单元信息、车道估计、任务状态、候选行为五组。分组便于审计信息来源，也方便从固定MLP过渡到时序或图编码。字段名称与单位应写入schema版本，避免训练和评测顺序不一致。</w:t>
      </w:r>
    </w:p>
    <w:p w14:paraId="5ABB616E">
      <w:pPr>
        <w:pStyle w:val="167"/>
      </w:pPr>
      <m:oMath>
        <m:sSub>
          <m:sSubPr/>
          <m:e>
            <m:r>
              <m:rPr/>
              <w:rPr>
                <w:rFonts w:ascii="Cambria Math" w:hAnsi="Cambria Math" w:eastAsia="Noto Sans CJK SC"/>
              </w:rPr>
              <m:t>o</m:t>
            </m:r>
          </m:e>
          <m:sub>
            <m:r>
              <m:rPr/>
              <w:rPr>
                <w:rFonts w:ascii="Cambria Math" w:hAnsi="Cambria Math" w:eastAsia="Noto Sans CJK SC"/>
              </w:rPr>
              <m:t>k</m:t>
            </m:r>
          </m:sub>
        </m:sSub>
        <m:r>
          <m:rPr/>
          <w:rPr>
            <w:rFonts w:ascii="Cambria Math" w:hAnsi="Cambria Math" w:eastAsia="Noto Sans CJK SC"/>
          </w:rPr>
          <m:t xml:space="preserve"> = Pack(</m:t>
        </m:r>
        <m:sSub>
          <m:sSubPr/>
          <m:e>
            <m:r>
              <m:rPr/>
              <w:rPr>
                <w:rFonts w:ascii="Cambria Math" w:hAnsi="Cambria Math" w:eastAsia="Noto Sans CJK SC"/>
              </w:rPr>
              <m:t>ego</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F</m:t>
            </m:r>
          </m:e>
          <m:sub>
            <m:r>
              <m:rPr/>
              <w:rPr>
                <w:rFonts w:ascii="Cambria Math" w:hAnsi="Cambria Math" w:eastAsia="Noto Sans CJK SC"/>
              </w:rPr>
              <m:t>k</m:t>
            </m:r>
          </m:sub>
        </m:sSub>
        <m:r>
          <m:rPr/>
          <w:rPr>
            <w:rFonts w:ascii="Cambria Math" w:hAnsi="Cambria Math" w:eastAsia="Noto Sans CJK SC"/>
          </w:rPr>
          <m:t xml:space="preserve">, </m:t>
        </m:r>
        <m:acc>
          <m:accPr/>
          <m:e>
            <m:sSub>
              <m:sSubPr/>
              <m:e>
                <m:r>
                  <m:rPr/>
                  <w:rPr>
                    <w:rFonts w:ascii="Cambria Math" w:hAnsi="Cambria Math" w:eastAsia="Noto Sans CJK SC"/>
                  </w:rPr>
                  <m:t>Y</m:t>
                </m:r>
              </m:e>
              <m:sub>
                <m:r>
                  <m:rPr/>
                  <w:rPr>
                    <w:rFonts w:ascii="Cambria Math" w:hAnsi="Cambria Math" w:eastAsia="Noto Sans CJK SC"/>
                  </w:rPr>
                  <m:t>k</m:t>
                </m:r>
              </m:sub>
            </m:sSub>
          </m:e>
        </m:acc>
        <m:r>
          <m:rPr/>
          <w:rPr>
            <w:rFonts w:ascii="Cambria Math" w:hAnsi="Cambria Math" w:eastAsia="Noto Sans CJK SC"/>
          </w:rPr>
          <m:t xml:space="preserve">, </m:t>
        </m:r>
        <m:sSub>
          <m:sSubPr/>
          <m:e>
            <m:r>
              <m:rPr/>
              <w:rPr>
                <w:rFonts w:ascii="Cambria Math" w:hAnsi="Cambria Math" w:eastAsia="Noto Sans CJK SC"/>
              </w:rPr>
              <m:t>U</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task</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K</m:t>
            </m:r>
          </m:e>
          <m:sub>
            <m:r>
              <m:rPr/>
              <w:rPr>
                <w:rFonts w:ascii="Cambria Math" w:hAnsi="Cambria Math" w:eastAsia="Noto Sans CJK SC"/>
              </w:rPr>
              <m:t>k</m:t>
            </m:r>
          </m:sub>
        </m:sSub>
        <m:r>
          <m:rPr/>
          <w:rPr>
            <w:rFonts w:ascii="Cambria Math" w:hAnsi="Cambria Math" w:eastAsia="Noto Sans CJK SC"/>
          </w:rPr>
          <m:t>)</m:t>
        </m:r>
      </m:oMath>
      <w:r>
        <w:t xml:space="preserve">   (6)</w:t>
      </w:r>
    </w:p>
    <w:p w14:paraId="2463ECBF">
      <w:pPr>
        <w:pStyle w:val="4"/>
      </w:pPr>
      <w:r>
        <w:t>7.2 单元信息表的一个具体实例</w:t>
      </w:r>
    </w:p>
    <w:p w14:paraId="69053743">
      <w:r>
        <w:t>示例每个目标单元保存5项：上次可见部分检测车辆数、检测车辆平均速度、当时覆盖比例、是否存在有效记录、该记录的信息年龄。速度在无车或无有效测量时可用数值占位，但必须结合计数、有效性和覆盖字段解释。历史记录不能冒充当前全单元真值。</w:t>
      </w:r>
    </w:p>
    <w:p w14:paraId="6DBD0A4F">
      <w:pPr>
        <w:pStyle w:val="15"/>
        <w:keepNext/>
      </w:pPr>
      <w:r>
        <w:t>表 11  张量 / 示例形状</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20835F9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2553A468">
            <w:pPr>
              <w:pStyle w:val="164"/>
              <w:keepNext/>
            </w:pPr>
            <w:r>
              <w:rPr>
                <w:b/>
              </w:rPr>
              <w:t>张量</w:t>
            </w:r>
          </w:p>
        </w:tc>
        <w:tc>
          <w:tcPr>
            <w:tcW w:w="3600" w:type="dxa"/>
            <w:shd w:val="clear" w:color="auto" w:fill="E8EEF5"/>
            <w:tcMar>
              <w:top w:w="80" w:type="dxa"/>
              <w:left w:w="120" w:type="dxa"/>
              <w:bottom w:w="80" w:type="dxa"/>
              <w:right w:w="120" w:type="dxa"/>
            </w:tcMar>
            <w:vAlign w:val="center"/>
          </w:tcPr>
          <w:p w14:paraId="274DCF31">
            <w:pPr>
              <w:pStyle w:val="164"/>
              <w:keepNext/>
            </w:pPr>
            <w:r>
              <w:rPr>
                <w:b/>
              </w:rPr>
              <w:t>示例形状</w:t>
            </w:r>
          </w:p>
        </w:tc>
        <w:tc>
          <w:tcPr>
            <w:tcW w:w="3560" w:type="dxa"/>
            <w:shd w:val="clear" w:color="auto" w:fill="E8EEF5"/>
            <w:tcMar>
              <w:top w:w="80" w:type="dxa"/>
              <w:left w:w="120" w:type="dxa"/>
              <w:bottom w:w="80" w:type="dxa"/>
              <w:right w:w="120" w:type="dxa"/>
            </w:tcMar>
            <w:vAlign w:val="center"/>
          </w:tcPr>
          <w:p w14:paraId="29248A20">
            <w:pPr>
              <w:pStyle w:val="164"/>
              <w:keepNext/>
            </w:pPr>
            <w:r>
              <w:rPr>
                <w:b/>
              </w:rPr>
              <w:t>内容</w:t>
            </w:r>
          </w:p>
        </w:tc>
      </w:tr>
      <w:tr w14:paraId="372E725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5CB035C">
            <w:pPr>
              <w:pStyle w:val="164"/>
            </w:pPr>
            <w:r>
              <w:t>cell_features</w:t>
            </w:r>
          </w:p>
        </w:tc>
        <w:tc>
          <w:tcPr>
            <w:tcW w:w="3600" w:type="dxa"/>
            <w:tcMar>
              <w:top w:w="80" w:type="dxa"/>
              <w:left w:w="120" w:type="dxa"/>
              <w:bottom w:w="80" w:type="dxa"/>
              <w:right w:w="120" w:type="dxa"/>
            </w:tcMar>
            <w:vAlign w:val="center"/>
          </w:tcPr>
          <w:p w14:paraId="6411B0DC">
            <w:pPr>
              <w:pStyle w:val="164"/>
            </w:pPr>
            <w:r>
              <w:t>[N, 5]</w:t>
            </w:r>
          </w:p>
        </w:tc>
        <w:tc>
          <w:tcPr>
            <w:tcW w:w="3560" w:type="dxa"/>
            <w:tcMar>
              <w:top w:w="80" w:type="dxa"/>
              <w:left w:w="120" w:type="dxa"/>
              <w:bottom w:w="80" w:type="dxa"/>
              <w:right w:w="120" w:type="dxa"/>
            </w:tcMar>
            <w:vAlign w:val="center"/>
          </w:tcPr>
          <w:p w14:paraId="67CC73EA">
            <w:pPr>
              <w:pStyle w:val="164"/>
            </w:pPr>
            <w:r>
              <w:t>观测摘要与年龄</w:t>
            </w:r>
          </w:p>
        </w:tc>
      </w:tr>
      <w:tr w14:paraId="1636A08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54BCE6B">
            <w:pPr>
              <w:pStyle w:val="164"/>
            </w:pPr>
            <w:r>
              <w:t>lane_estimates</w:t>
            </w:r>
          </w:p>
        </w:tc>
        <w:tc>
          <w:tcPr>
            <w:tcW w:w="3600" w:type="dxa"/>
            <w:tcMar>
              <w:top w:w="80" w:type="dxa"/>
              <w:left w:w="120" w:type="dxa"/>
              <w:bottom w:w="80" w:type="dxa"/>
              <w:right w:w="120" w:type="dxa"/>
            </w:tcMar>
            <w:vAlign w:val="center"/>
          </w:tcPr>
          <w:p w14:paraId="697D39A9">
            <w:pPr>
              <w:pStyle w:val="164"/>
            </w:pPr>
            <w:r>
              <w:t>[M, 3]</w:t>
            </w:r>
          </w:p>
        </w:tc>
        <w:tc>
          <w:tcPr>
            <w:tcW w:w="3560" w:type="dxa"/>
            <w:tcMar>
              <w:top w:w="80" w:type="dxa"/>
              <w:left w:w="120" w:type="dxa"/>
              <w:bottom w:w="80" w:type="dxa"/>
              <w:right w:w="120" w:type="dxa"/>
            </w:tcMar>
            <w:vAlign w:val="center"/>
          </w:tcPr>
          <w:p w14:paraId="3113D281">
            <w:pPr>
              <w:pStyle w:val="164"/>
            </w:pPr>
            <w:r>
              <w:t>队列估计、可靠性、溢出或有效性标记</w:t>
            </w:r>
          </w:p>
        </w:tc>
      </w:tr>
      <w:tr w14:paraId="1D003EB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B612009">
            <w:pPr>
              <w:pStyle w:val="164"/>
            </w:pPr>
            <w:r>
              <w:t>ego_features</w:t>
            </w:r>
          </w:p>
        </w:tc>
        <w:tc>
          <w:tcPr>
            <w:tcW w:w="3600" w:type="dxa"/>
            <w:tcMar>
              <w:top w:w="80" w:type="dxa"/>
              <w:left w:w="120" w:type="dxa"/>
              <w:bottom w:w="80" w:type="dxa"/>
              <w:right w:w="120" w:type="dxa"/>
            </w:tcMar>
            <w:vAlign w:val="center"/>
          </w:tcPr>
          <w:p w14:paraId="04E8E893">
            <w:pPr>
              <w:pStyle w:val="164"/>
            </w:pPr>
            <w:r>
              <w:t>[F_ego]</w:t>
            </w:r>
          </w:p>
        </w:tc>
        <w:tc>
          <w:tcPr>
            <w:tcW w:w="3560" w:type="dxa"/>
            <w:tcMar>
              <w:top w:w="80" w:type="dxa"/>
              <w:left w:w="120" w:type="dxa"/>
              <w:bottom w:w="80" w:type="dxa"/>
              <w:right w:w="120" w:type="dxa"/>
            </w:tcMar>
            <w:vAlign w:val="center"/>
          </w:tcPr>
          <w:p w14:paraId="4667FD59">
            <w:pPr>
              <w:pStyle w:val="164"/>
            </w:pPr>
            <w:r>
              <w:t>位置、速度、车道与运动状态</w:t>
            </w:r>
          </w:p>
        </w:tc>
      </w:tr>
      <w:tr w14:paraId="682AB2F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C891815">
            <w:pPr>
              <w:pStyle w:val="164"/>
            </w:pPr>
            <w:r>
              <w:t>task_features</w:t>
            </w:r>
          </w:p>
        </w:tc>
        <w:tc>
          <w:tcPr>
            <w:tcW w:w="3600" w:type="dxa"/>
            <w:tcMar>
              <w:top w:w="80" w:type="dxa"/>
              <w:left w:w="120" w:type="dxa"/>
              <w:bottom w:w="80" w:type="dxa"/>
              <w:right w:w="120" w:type="dxa"/>
            </w:tcMar>
            <w:vAlign w:val="center"/>
          </w:tcPr>
          <w:p w14:paraId="7A3E819D">
            <w:pPr>
              <w:pStyle w:val="164"/>
            </w:pPr>
            <w:r>
              <w:t>[F_task]</w:t>
            </w:r>
          </w:p>
        </w:tc>
        <w:tc>
          <w:tcPr>
            <w:tcW w:w="3560" w:type="dxa"/>
            <w:tcMar>
              <w:top w:w="80" w:type="dxa"/>
              <w:left w:w="120" w:type="dxa"/>
              <w:bottom w:w="80" w:type="dxa"/>
              <w:right w:w="120" w:type="dxa"/>
            </w:tcMar>
            <w:vAlign w:val="center"/>
          </w:tcPr>
          <w:p w14:paraId="51B134A7">
            <w:pPr>
              <w:pStyle w:val="164"/>
            </w:pPr>
            <w:r>
              <w:t>预算、目标、执行阶段、允许的信息</w:t>
            </w:r>
          </w:p>
        </w:tc>
      </w:tr>
      <w:tr w14:paraId="609D3E7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865F503">
            <w:pPr>
              <w:pStyle w:val="164"/>
            </w:pPr>
            <w:r>
              <w:t>candidate_features</w:t>
            </w:r>
          </w:p>
        </w:tc>
        <w:tc>
          <w:tcPr>
            <w:tcW w:w="3600" w:type="dxa"/>
            <w:tcMar>
              <w:top w:w="80" w:type="dxa"/>
              <w:left w:w="120" w:type="dxa"/>
              <w:bottom w:w="80" w:type="dxa"/>
              <w:right w:w="120" w:type="dxa"/>
            </w:tcMar>
            <w:vAlign w:val="center"/>
          </w:tcPr>
          <w:p w14:paraId="10953847">
            <w:pPr>
              <w:pStyle w:val="164"/>
            </w:pPr>
            <w:r>
              <w:t>[K, F_a]</w:t>
            </w:r>
          </w:p>
        </w:tc>
        <w:tc>
          <w:tcPr>
            <w:tcW w:w="3560" w:type="dxa"/>
            <w:tcMar>
              <w:top w:w="80" w:type="dxa"/>
              <w:left w:w="120" w:type="dxa"/>
              <w:bottom w:w="80" w:type="dxa"/>
              <w:right w:w="120" w:type="dxa"/>
            </w:tcMar>
            <w:vAlign w:val="center"/>
          </w:tcPr>
          <w:p w14:paraId="5A13E5F7">
            <w:pPr>
              <w:pStyle w:val="164"/>
            </w:pPr>
            <w:r>
              <w:t>候选描述，按方案需要提供</w:t>
            </w:r>
          </w:p>
        </w:tc>
      </w:tr>
      <w:tr w14:paraId="3A13B39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BF4B35B">
            <w:pPr>
              <w:pStyle w:val="164"/>
            </w:pPr>
            <w:r>
              <w:t>action_mask</w:t>
            </w:r>
          </w:p>
        </w:tc>
        <w:tc>
          <w:tcPr>
            <w:tcW w:w="3600" w:type="dxa"/>
            <w:tcMar>
              <w:top w:w="80" w:type="dxa"/>
              <w:left w:w="120" w:type="dxa"/>
              <w:bottom w:w="80" w:type="dxa"/>
              <w:right w:w="120" w:type="dxa"/>
            </w:tcMar>
            <w:vAlign w:val="center"/>
          </w:tcPr>
          <w:p w14:paraId="2D6F659C">
            <w:pPr>
              <w:pStyle w:val="164"/>
            </w:pPr>
            <w:r>
              <w:t>[K]</w:t>
            </w:r>
          </w:p>
        </w:tc>
        <w:tc>
          <w:tcPr>
            <w:tcW w:w="3560" w:type="dxa"/>
            <w:tcMar>
              <w:top w:w="80" w:type="dxa"/>
              <w:left w:w="120" w:type="dxa"/>
              <w:bottom w:w="80" w:type="dxa"/>
              <w:right w:w="120" w:type="dxa"/>
            </w:tcMar>
            <w:vAlign w:val="center"/>
          </w:tcPr>
          <w:p w14:paraId="08B7DBBA">
            <w:pPr>
              <w:pStyle w:val="164"/>
            </w:pPr>
            <w:r>
              <w:t>当前允许请求的候选</w:t>
            </w:r>
          </w:p>
        </w:tc>
      </w:tr>
    </w:tbl>
    <w:p w14:paraId="5F28B995">
      <w:pPr>
        <w:pStyle w:val="165"/>
      </w:pPr>
    </w:p>
    <w:p w14:paraId="14230224">
      <w:r>
        <w:t>N是目标单元数，M是目标车道数，K是动作槽位数。F_ego、F_task、F_a必须在实现schema中明确。表中的3列车道估计只是一种接口例子；若使用上下分位数，应扩展为对应字段，不能在不同运行之间随意改列含义。</w:t>
      </w:r>
    </w:p>
    <w:p w14:paraId="5D3E89FF">
      <w:pPr>
        <w:pStyle w:val="4"/>
      </w:pPr>
      <w:r>
        <w:t>7.3 自车位置与执行器状态</w:t>
      </w:r>
    </w:p>
    <w:p w14:paraId="45C00F4F">
      <w:r>
        <w:t>自车位置宜包含当前车道标识、沿车道位置或单元内偏移、速度以及必要的加速度摘要。路网编号作为类别编码或嵌入，不把数值大小当成物理远近。归一化的连续坐标与类别特征分别处理。</w:t>
      </w:r>
    </w:p>
    <w:p w14:paraId="3CCCE2E2">
      <w:r>
        <w:t>任务输入应反映当前目标车道、已选择分支、正在换道或转向、目标片段剩余距离、是否允许重规划。否则相同位置可能对应不同控制承诺，策略无法判断某个动作为何被屏蔽或延迟执行。</w:t>
      </w:r>
    </w:p>
    <w:p w14:paraId="6C8ED427">
      <w:pPr>
        <w:pStyle w:val="4"/>
      </w:pPr>
      <w:r>
        <w:t>7.4 归一化与缺失编码</w:t>
      </w:r>
    </w:p>
    <w:p w14:paraId="084E3116">
      <w:r>
        <w:t>长度、速度、时间按固定物理尺度或训练集统计量归一化。验证和测试使用已经冻结的变换。掩码仍保留明确的布尔语义，不把缺失零值与真实零值混用。不确定性应按照其量纲缩放，方差和标准差的缩放关系不同。</w:t>
      </w:r>
    </w:p>
    <w:p w14:paraId="53E194ED">
      <w:r>
        <w:t>预算建议输入剩余比例与必要的绝对时间；当预算跨场景变化时，仅有比例可能无法区分“剩余一半的30秒任务”与“剩余一半的300秒任务”。无界年龄可以截断编码，但需声明截断阈值和溢出含义。</w:t>
      </w:r>
    </w:p>
    <w:p w14:paraId="160C64DE">
      <w:pPr>
        <w:pStyle w:val="4"/>
      </w:pPr>
      <w:r>
        <w:t>7.5 MLP基线与循环记忆</w:t>
      </w:r>
    </w:p>
    <w:p w14:paraId="673A3513">
      <w:r>
        <w:t>固定路网的首版可把各组特征编码后拼接输入MLP。显式估计器本身已使用历史，因此无循环Actor不等于完全没有历史信息。随后增加GRU或LSTM，检验额外历史是否改善决策。</w:t>
      </w:r>
    </w:p>
    <w:p w14:paraId="3E8C353E">
      <w:pPr>
        <w:pStyle w:val="167"/>
        <w:keepNext/>
      </w:pPr>
      <m:oMathPara>
        <m:oMath>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f</m:t>
              </m:r>
            </m:e>
            <m:sub>
              <m:r>
                <m:rPr/>
                <w:rPr>
                  <w:rFonts w:ascii="Cambria Math" w:hAnsi="Cambria Math" w:eastAsia="Noto Sans CJK SC"/>
                </w:rPr>
                <m:t>θ</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k−1</m:t>
              </m:r>
            </m:sub>
          </m:sSub>
          <m:r>
            <m:rPr/>
            <w:rPr>
              <w:rFonts w:ascii="Cambria Math" w:hAnsi="Cambria Math" w:eastAsia="Noto Sans CJK SC"/>
            </w:rPr>
            <m:t xml:space="preserve">, </m:t>
          </m:r>
          <m:sSub>
            <m:sSubPr/>
            <m:e>
              <m:r>
                <m:rPr/>
                <w:rPr>
                  <w:rFonts w:ascii="Cambria Math" w:hAnsi="Cambria Math" w:eastAsia="Noto Sans CJK SC"/>
                </w:rPr>
                <m:t>o</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a</m:t>
              </m:r>
            </m:e>
            <m:sub>
              <m:r>
                <m:rPr/>
                <w:rPr>
                  <w:rFonts w:ascii="Cambria Math" w:hAnsi="Cambria Math" w:eastAsia="Noto Sans CJK SC"/>
                </w:rPr>
                <m:t>k−1</m:t>
              </m:r>
            </m:sub>
          </m:sSub>
          <m:r>
            <m:rPr/>
            <w:rPr>
              <w:rFonts w:ascii="Cambria Math" w:hAnsi="Cambria Math" w:eastAsia="Noto Sans CJK SC"/>
            </w:rPr>
            <m:t>)</m:t>
          </m:r>
        </m:oMath>
      </m:oMathPara>
    </w:p>
    <w:p w14:paraId="459D40EC">
      <w:pPr>
        <w:pStyle w:val="167"/>
      </w:pPr>
      <m:oMath>
        <m:sSub>
          <m:sSubPr/>
          <m:e>
            <m:r>
              <m:rPr/>
              <w:rPr>
                <w:rFonts w:ascii="Cambria Math" w:hAnsi="Cambria Math" w:eastAsia="Noto Sans CJK SC"/>
              </w:rPr>
              <m:t>a</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π</m:t>
            </m:r>
          </m:e>
          <m:sub>
            <m:r>
              <m:rPr/>
              <w:rPr>
                <w:rFonts w:ascii="Cambria Math" w:hAnsi="Cambria Math" w:eastAsia="Noto Sans CJK SC"/>
              </w:rPr>
              <m:t>θ</m:t>
            </m:r>
          </m:sub>
        </m:sSub>
        <m:r>
          <m:rPr/>
          <w:rPr>
            <w:rFonts w:ascii="Cambria Math" w:hAnsi="Cambria Math" w:eastAsia="Noto Sans CJK SC"/>
          </w:rPr>
          <m:t xml:space="preserve">( ·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m:t>
        </m:r>
      </m:oMath>
      <w:r>
        <w:t xml:space="preserve">   (7)</w:t>
      </w:r>
    </w:p>
    <w:p w14:paraId="58F0DC08">
      <w:r>
        <w:t>循环隐藏状态在真实回合重置时清零，在普通强化学习步、采样缓冲区边界和不可改向阶段不应随意清零。训练时按连续序列组织数据，记录有效长度和开始隐藏状态。有限记忆仍然只是对完整历史的近似。</w:t>
      </w:r>
    </w:p>
    <w:p w14:paraId="317B8072">
      <w:pPr>
        <w:pStyle w:val="4"/>
      </w:pPr>
      <w:r>
        <w:t>7.6 输入设计的两个检查</w:t>
      </w:r>
    </w:p>
    <w:p w14:paraId="78B966D7">
      <w:r>
        <w:t>固定自车位置，改变已有观测和信息年龄，输入应能够表达这些差异；训练后的策略是否改变选择由目标和可行动作决定，不能把“动作必须改变”当作无条件测试。</w:t>
      </w:r>
    </w:p>
    <w:p w14:paraId="087F324D">
      <w:r>
        <w:t>反过来，保持全部允许输入和策略隐藏状态相同，只修改与当前观测不相容性无关的隐藏真值字段，Actor输出分布应保持相同。这个信息隔离检查应针对观测构造与策略调用进行；不能要求修改物理世界后，传感器产生的合法新观测仍然相同。</w:t>
      </w:r>
    </w:p>
    <w:p w14:paraId="4E19091E">
      <w:pPr>
        <w:pStyle w:val="3"/>
        <w:pageBreakBefore/>
      </w:pPr>
      <w:bookmarkStart w:id="9" w:name="chapter_08"/>
      <w:r>
        <w:t>8 车道级动作、候选路径与驾驶执行</w:t>
      </w:r>
      <w:bookmarkEnd w:id="9"/>
    </w:p>
    <w:p w14:paraId="2328C840">
      <w:pPr>
        <w:pStyle w:val="4"/>
      </w:pPr>
      <w:r>
        <w:t>8.1 学习策略和驾驶模块的责任</w:t>
      </w:r>
    </w:p>
    <w:p w14:paraId="1EAAE005">
      <w:pPr>
        <w:pStyle w:val="174"/>
      </w:pPr>
      <w:r>
        <w:t>学习策略根据目前掌握的信息决定后续经过哪个车道或连接片段，驾驶模块完成跟车、制动、选道与运动执行。这仍然是车道级探测优化。把连续驾驶交给已有模块，不会使车道图失去意义，也不要求把策略局限为四个进口选择。</w:t>
      </w:r>
    </w:p>
    <w:p w14:paraId="2374A0BF">
      <w:pPr>
        <w:pStyle w:val="174"/>
      </w:pPr>
      <w:r>
        <w:t>首版建议固定纵向驾驶规则，学习车道与分支选择。主动速度选择可在之后加入，因为它会同时改变观测时长、交通扰动和安全约束。首版先减少可控自由度，有利于解释策略收益来源。</w:t>
      </w:r>
    </w:p>
    <w:p w14:paraId="318CF64E">
      <w:pPr>
        <w:pStyle w:val="4"/>
      </w:pPr>
      <w:r>
        <w:t>8.2 一个固定语义的六动作实例</w:t>
      </w:r>
    </w:p>
    <w:p w14:paraId="74FEAFCE">
      <w:pPr>
        <w:pStyle w:val="170"/>
      </w:pPr>
      <w:r>
        <w:t>【建议基线 D07】可使用下列固定动作字典。它是可讨论的实现实例，正式冻结前应在实际路网中验证每个动作的作用和可达性。</w:t>
      </w:r>
    </w:p>
    <w:p w14:paraId="69FD15E1">
      <w:pPr>
        <w:pStyle w:val="15"/>
        <w:keepNext/>
      </w:pPr>
      <w:r>
        <w:t>表 12  编号 / 名称</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720"/>
        <w:gridCol w:w="2490"/>
        <w:gridCol w:w="3090"/>
        <w:gridCol w:w="3060"/>
      </w:tblGrid>
      <w:tr w14:paraId="2607B0A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720" w:type="dxa"/>
            <w:shd w:val="clear" w:color="auto" w:fill="E8EEF5"/>
            <w:tcMar>
              <w:top w:w="80" w:type="dxa"/>
              <w:left w:w="120" w:type="dxa"/>
              <w:bottom w:w="80" w:type="dxa"/>
              <w:right w:w="120" w:type="dxa"/>
            </w:tcMar>
            <w:vAlign w:val="center"/>
          </w:tcPr>
          <w:p w14:paraId="4E773B59">
            <w:pPr>
              <w:pStyle w:val="164"/>
              <w:keepNext/>
              <w:jc w:val="center"/>
            </w:pPr>
            <w:r>
              <w:rPr>
                <w:b/>
              </w:rPr>
              <w:t>编号</w:t>
            </w:r>
          </w:p>
        </w:tc>
        <w:tc>
          <w:tcPr>
            <w:tcW w:w="2490" w:type="dxa"/>
            <w:shd w:val="clear" w:color="auto" w:fill="E8EEF5"/>
            <w:tcMar>
              <w:top w:w="80" w:type="dxa"/>
              <w:left w:w="120" w:type="dxa"/>
              <w:bottom w:w="80" w:type="dxa"/>
              <w:right w:w="120" w:type="dxa"/>
            </w:tcMar>
            <w:vAlign w:val="center"/>
          </w:tcPr>
          <w:p w14:paraId="1630EC1F">
            <w:pPr>
              <w:pStyle w:val="164"/>
              <w:keepNext/>
            </w:pPr>
            <w:r>
              <w:rPr>
                <w:b/>
              </w:rPr>
              <w:t>名称</w:t>
            </w:r>
          </w:p>
        </w:tc>
        <w:tc>
          <w:tcPr>
            <w:tcW w:w="3090" w:type="dxa"/>
            <w:shd w:val="clear" w:color="auto" w:fill="E8EEF5"/>
            <w:tcMar>
              <w:top w:w="80" w:type="dxa"/>
              <w:left w:w="120" w:type="dxa"/>
              <w:bottom w:w="80" w:type="dxa"/>
              <w:right w:w="120" w:type="dxa"/>
            </w:tcMar>
            <w:vAlign w:val="center"/>
          </w:tcPr>
          <w:p w14:paraId="2228EA4E">
            <w:pPr>
              <w:pStyle w:val="164"/>
              <w:keepNext/>
            </w:pPr>
            <w:r>
              <w:rPr>
                <w:b/>
              </w:rPr>
              <w:t>请求语义</w:t>
            </w:r>
          </w:p>
        </w:tc>
        <w:tc>
          <w:tcPr>
            <w:tcW w:w="3060" w:type="dxa"/>
            <w:shd w:val="clear" w:color="auto" w:fill="E8EEF5"/>
            <w:tcMar>
              <w:top w:w="80" w:type="dxa"/>
              <w:left w:w="120" w:type="dxa"/>
              <w:bottom w:w="80" w:type="dxa"/>
              <w:right w:w="120" w:type="dxa"/>
            </w:tcMar>
            <w:vAlign w:val="center"/>
          </w:tcPr>
          <w:p w14:paraId="7E11E7B2">
            <w:pPr>
              <w:pStyle w:val="164"/>
              <w:keepNext/>
            </w:pPr>
            <w:r>
              <w:rPr>
                <w:b/>
              </w:rPr>
              <w:t>可用条件</w:t>
            </w:r>
          </w:p>
        </w:tc>
      </w:tr>
      <w:tr w14:paraId="50712E7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6CC2D09B">
            <w:pPr>
              <w:pStyle w:val="164"/>
              <w:jc w:val="center"/>
            </w:pPr>
            <w:r>
              <w:t>0</w:t>
            </w:r>
          </w:p>
        </w:tc>
        <w:tc>
          <w:tcPr>
            <w:tcW w:w="2490" w:type="dxa"/>
            <w:tcMar>
              <w:top w:w="80" w:type="dxa"/>
              <w:left w:w="120" w:type="dxa"/>
              <w:bottom w:w="80" w:type="dxa"/>
              <w:right w:w="120" w:type="dxa"/>
            </w:tcMar>
            <w:vAlign w:val="center"/>
          </w:tcPr>
          <w:p w14:paraId="1304E7F5">
            <w:pPr>
              <w:pStyle w:val="164"/>
            </w:pPr>
            <w:r>
              <w:t>CONTINUE</w:t>
            </w:r>
          </w:p>
        </w:tc>
        <w:tc>
          <w:tcPr>
            <w:tcW w:w="3090" w:type="dxa"/>
            <w:tcMar>
              <w:top w:w="80" w:type="dxa"/>
              <w:left w:w="120" w:type="dxa"/>
              <w:bottom w:w="80" w:type="dxa"/>
              <w:right w:w="120" w:type="dxa"/>
            </w:tcMar>
            <w:vAlign w:val="center"/>
          </w:tcPr>
          <w:p w14:paraId="1D1A0068">
            <w:pPr>
              <w:pStyle w:val="164"/>
            </w:pPr>
            <w:r>
              <w:t>继续当前合法任务</w:t>
            </w:r>
          </w:p>
        </w:tc>
        <w:tc>
          <w:tcPr>
            <w:tcW w:w="3060" w:type="dxa"/>
            <w:tcMar>
              <w:top w:w="80" w:type="dxa"/>
              <w:left w:w="120" w:type="dxa"/>
              <w:bottom w:w="80" w:type="dxa"/>
              <w:right w:w="120" w:type="dxa"/>
            </w:tcMar>
            <w:vAlign w:val="center"/>
          </w:tcPr>
          <w:p w14:paraId="7A1D239B">
            <w:pPr>
              <w:pStyle w:val="164"/>
            </w:pPr>
            <w:r>
              <w:t>始终提供后备执行语义</w:t>
            </w:r>
          </w:p>
        </w:tc>
      </w:tr>
      <w:tr w14:paraId="742D375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296E7CB9">
            <w:pPr>
              <w:pStyle w:val="164"/>
              <w:jc w:val="center"/>
            </w:pPr>
            <w:r>
              <w:t>1</w:t>
            </w:r>
          </w:p>
        </w:tc>
        <w:tc>
          <w:tcPr>
            <w:tcW w:w="2490" w:type="dxa"/>
            <w:tcMar>
              <w:top w:w="80" w:type="dxa"/>
              <w:left w:w="120" w:type="dxa"/>
              <w:bottom w:w="80" w:type="dxa"/>
              <w:right w:w="120" w:type="dxa"/>
            </w:tcMar>
            <w:vAlign w:val="center"/>
          </w:tcPr>
          <w:p w14:paraId="465587F0">
            <w:pPr>
              <w:pStyle w:val="164"/>
            </w:pPr>
            <w:r>
              <w:t>REQUEST_LEFT_LANE</w:t>
            </w:r>
          </w:p>
        </w:tc>
        <w:tc>
          <w:tcPr>
            <w:tcW w:w="3090" w:type="dxa"/>
            <w:tcMar>
              <w:top w:w="80" w:type="dxa"/>
              <w:left w:w="120" w:type="dxa"/>
              <w:bottom w:w="80" w:type="dxa"/>
              <w:right w:w="120" w:type="dxa"/>
            </w:tcMar>
            <w:vAlign w:val="center"/>
          </w:tcPr>
          <w:p w14:paraId="0BB0B420">
            <w:pPr>
              <w:pStyle w:val="164"/>
            </w:pPr>
            <w:r>
              <w:t>请求当前左邻合法车道片段</w:t>
            </w:r>
          </w:p>
        </w:tc>
        <w:tc>
          <w:tcPr>
            <w:tcW w:w="3060" w:type="dxa"/>
            <w:tcMar>
              <w:top w:w="80" w:type="dxa"/>
              <w:left w:w="120" w:type="dxa"/>
              <w:bottom w:w="80" w:type="dxa"/>
              <w:right w:w="120" w:type="dxa"/>
            </w:tcMar>
            <w:vAlign w:val="center"/>
          </w:tcPr>
          <w:p w14:paraId="2FC4AEAB">
            <w:pPr>
              <w:pStyle w:val="164"/>
            </w:pPr>
            <w:r>
              <w:t>存在且允许，满足任务阶段规则</w:t>
            </w:r>
          </w:p>
        </w:tc>
      </w:tr>
      <w:tr w14:paraId="05F4C28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63E85D3D">
            <w:pPr>
              <w:pStyle w:val="164"/>
              <w:jc w:val="center"/>
            </w:pPr>
            <w:r>
              <w:t>2</w:t>
            </w:r>
          </w:p>
        </w:tc>
        <w:tc>
          <w:tcPr>
            <w:tcW w:w="2490" w:type="dxa"/>
            <w:tcMar>
              <w:top w:w="80" w:type="dxa"/>
              <w:left w:w="120" w:type="dxa"/>
              <w:bottom w:w="80" w:type="dxa"/>
              <w:right w:w="120" w:type="dxa"/>
            </w:tcMar>
            <w:vAlign w:val="center"/>
          </w:tcPr>
          <w:p w14:paraId="16F4EB61">
            <w:pPr>
              <w:pStyle w:val="164"/>
            </w:pPr>
            <w:r>
              <w:t>REQUEST_RIGHT_LANE</w:t>
            </w:r>
          </w:p>
        </w:tc>
        <w:tc>
          <w:tcPr>
            <w:tcW w:w="3090" w:type="dxa"/>
            <w:tcMar>
              <w:top w:w="80" w:type="dxa"/>
              <w:left w:w="120" w:type="dxa"/>
              <w:bottom w:w="80" w:type="dxa"/>
              <w:right w:w="120" w:type="dxa"/>
            </w:tcMar>
            <w:vAlign w:val="center"/>
          </w:tcPr>
          <w:p w14:paraId="1F952753">
            <w:pPr>
              <w:pStyle w:val="164"/>
            </w:pPr>
            <w:r>
              <w:t>请求当前右邻合法车道片段</w:t>
            </w:r>
          </w:p>
        </w:tc>
        <w:tc>
          <w:tcPr>
            <w:tcW w:w="3060" w:type="dxa"/>
            <w:tcMar>
              <w:top w:w="80" w:type="dxa"/>
              <w:left w:w="120" w:type="dxa"/>
              <w:bottom w:w="80" w:type="dxa"/>
              <w:right w:w="120" w:type="dxa"/>
            </w:tcMar>
            <w:vAlign w:val="center"/>
          </w:tcPr>
          <w:p w14:paraId="19CE46F2">
            <w:pPr>
              <w:pStyle w:val="164"/>
            </w:pPr>
            <w:r>
              <w:t>存在且允许，满足任务阶段规则</w:t>
            </w:r>
          </w:p>
        </w:tc>
      </w:tr>
      <w:tr w14:paraId="04CCF26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455F2182">
            <w:pPr>
              <w:pStyle w:val="164"/>
              <w:jc w:val="center"/>
            </w:pPr>
            <w:r>
              <w:t>3</w:t>
            </w:r>
          </w:p>
        </w:tc>
        <w:tc>
          <w:tcPr>
            <w:tcW w:w="2490" w:type="dxa"/>
            <w:tcMar>
              <w:top w:w="80" w:type="dxa"/>
              <w:left w:w="120" w:type="dxa"/>
              <w:bottom w:w="80" w:type="dxa"/>
              <w:right w:w="120" w:type="dxa"/>
            </w:tcMar>
            <w:vAlign w:val="center"/>
          </w:tcPr>
          <w:p w14:paraId="1F605966">
            <w:pPr>
              <w:pStyle w:val="164"/>
            </w:pPr>
            <w:r>
              <w:t>SELECT_NEXT_LEFT</w:t>
            </w:r>
          </w:p>
        </w:tc>
        <w:tc>
          <w:tcPr>
            <w:tcW w:w="3090" w:type="dxa"/>
            <w:tcMar>
              <w:top w:w="80" w:type="dxa"/>
              <w:left w:w="120" w:type="dxa"/>
              <w:bottom w:w="80" w:type="dxa"/>
              <w:right w:w="120" w:type="dxa"/>
            </w:tcMar>
            <w:vAlign w:val="center"/>
          </w:tcPr>
          <w:p w14:paraId="343EBB53">
            <w:pPr>
              <w:pStyle w:val="164"/>
            </w:pPr>
            <w:r>
              <w:t>选择下一决策路口的左转连接</w:t>
            </w:r>
          </w:p>
        </w:tc>
        <w:tc>
          <w:tcPr>
            <w:tcW w:w="3060" w:type="dxa"/>
            <w:tcMar>
              <w:top w:w="80" w:type="dxa"/>
              <w:left w:w="120" w:type="dxa"/>
              <w:bottom w:w="80" w:type="dxa"/>
              <w:right w:w="120" w:type="dxa"/>
            </w:tcMar>
            <w:vAlign w:val="center"/>
          </w:tcPr>
          <w:p w14:paraId="5D737AF6">
            <w:pPr>
              <w:pStyle w:val="164"/>
            </w:pPr>
            <w:r>
              <w:t>在提前规划区域且存在可执行连接</w:t>
            </w:r>
          </w:p>
        </w:tc>
      </w:tr>
      <w:tr w14:paraId="4210C7E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014C78E1">
            <w:pPr>
              <w:pStyle w:val="164"/>
              <w:jc w:val="center"/>
            </w:pPr>
            <w:r>
              <w:t>4</w:t>
            </w:r>
          </w:p>
        </w:tc>
        <w:tc>
          <w:tcPr>
            <w:tcW w:w="2490" w:type="dxa"/>
            <w:tcMar>
              <w:top w:w="80" w:type="dxa"/>
              <w:left w:w="120" w:type="dxa"/>
              <w:bottom w:w="80" w:type="dxa"/>
              <w:right w:w="120" w:type="dxa"/>
            </w:tcMar>
            <w:vAlign w:val="center"/>
          </w:tcPr>
          <w:p w14:paraId="585AF045">
            <w:pPr>
              <w:pStyle w:val="164"/>
            </w:pPr>
            <w:r>
              <w:t>SELECT_NEXT_STRAIGHT</w:t>
            </w:r>
          </w:p>
        </w:tc>
        <w:tc>
          <w:tcPr>
            <w:tcW w:w="3090" w:type="dxa"/>
            <w:tcMar>
              <w:top w:w="80" w:type="dxa"/>
              <w:left w:w="120" w:type="dxa"/>
              <w:bottom w:w="80" w:type="dxa"/>
              <w:right w:w="120" w:type="dxa"/>
            </w:tcMar>
            <w:vAlign w:val="center"/>
          </w:tcPr>
          <w:p w14:paraId="76C534F5">
            <w:pPr>
              <w:pStyle w:val="164"/>
            </w:pPr>
            <w:r>
              <w:t>选择下一决策路口的直行连接</w:t>
            </w:r>
          </w:p>
        </w:tc>
        <w:tc>
          <w:tcPr>
            <w:tcW w:w="3060" w:type="dxa"/>
            <w:tcMar>
              <w:top w:w="80" w:type="dxa"/>
              <w:left w:w="120" w:type="dxa"/>
              <w:bottom w:w="80" w:type="dxa"/>
              <w:right w:w="120" w:type="dxa"/>
            </w:tcMar>
            <w:vAlign w:val="center"/>
          </w:tcPr>
          <w:p w14:paraId="36A6A803">
            <w:pPr>
              <w:pStyle w:val="164"/>
            </w:pPr>
            <w:r>
              <w:t>同上</w:t>
            </w:r>
          </w:p>
        </w:tc>
      </w:tr>
      <w:tr w14:paraId="6C5F607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035908E1">
            <w:pPr>
              <w:pStyle w:val="164"/>
              <w:jc w:val="center"/>
            </w:pPr>
            <w:r>
              <w:t>5</w:t>
            </w:r>
          </w:p>
        </w:tc>
        <w:tc>
          <w:tcPr>
            <w:tcW w:w="2490" w:type="dxa"/>
            <w:tcMar>
              <w:top w:w="80" w:type="dxa"/>
              <w:left w:w="120" w:type="dxa"/>
              <w:bottom w:w="80" w:type="dxa"/>
              <w:right w:w="120" w:type="dxa"/>
            </w:tcMar>
            <w:vAlign w:val="center"/>
          </w:tcPr>
          <w:p w14:paraId="0002A357">
            <w:pPr>
              <w:pStyle w:val="164"/>
            </w:pPr>
            <w:r>
              <w:t>SELECT_NEXT_RIGHT</w:t>
            </w:r>
          </w:p>
        </w:tc>
        <w:tc>
          <w:tcPr>
            <w:tcW w:w="3090" w:type="dxa"/>
            <w:tcMar>
              <w:top w:w="80" w:type="dxa"/>
              <w:left w:w="120" w:type="dxa"/>
              <w:bottom w:w="80" w:type="dxa"/>
              <w:right w:w="120" w:type="dxa"/>
            </w:tcMar>
            <w:vAlign w:val="center"/>
          </w:tcPr>
          <w:p w14:paraId="0773F4D2">
            <w:pPr>
              <w:pStyle w:val="164"/>
            </w:pPr>
            <w:r>
              <w:t>选择下一决策路口的右转连接</w:t>
            </w:r>
          </w:p>
        </w:tc>
        <w:tc>
          <w:tcPr>
            <w:tcW w:w="3060" w:type="dxa"/>
            <w:tcMar>
              <w:top w:w="80" w:type="dxa"/>
              <w:left w:w="120" w:type="dxa"/>
              <w:bottom w:w="80" w:type="dxa"/>
              <w:right w:w="120" w:type="dxa"/>
            </w:tcMar>
            <w:vAlign w:val="center"/>
          </w:tcPr>
          <w:p w14:paraId="17536903">
            <w:pPr>
              <w:pStyle w:val="164"/>
            </w:pPr>
            <w:r>
              <w:t>同上</w:t>
            </w:r>
          </w:p>
        </w:tc>
      </w:tr>
    </w:tbl>
    <w:p w14:paraId="728268F3">
      <w:pPr>
        <w:pStyle w:val="165"/>
      </w:pPr>
    </w:p>
    <w:p w14:paraId="4DA58F50">
      <w:pPr>
        <w:pStyle w:val="174"/>
      </w:pPr>
      <w:r>
        <w:t>CONTINUE不是任意停车，也不是无视交通规则保持当前速度。它表示继续已选任务，由驾驶模块正常处理前车、红灯和路权。如果没有已选路线，应在reset时配置一个合法默认任务或明确的后备循环路线。</w:t>
      </w:r>
    </w:p>
    <w:p w14:paraId="3073246A">
      <w:pPr>
        <w:pStyle w:val="174"/>
      </w:pPr>
      <w:r>
        <w:t>分支动作应在车辆还有足够距离调整车道时开放。交叉口内部或已进入不可改向阶段时，不允许每秒重新选择相反转向。转向动作可以包含为完成连接所需的提前选道；单独换道动作则必须与已承诺分支兼容。</w:t>
      </w:r>
    </w:p>
    <w:p w14:paraId="46D020BC">
      <w:pPr>
        <w:pStyle w:val="4"/>
      </w:pPr>
      <w:r>
        <w:t>8.3 将动作编译成确定的执行请求</w:t>
      </w:r>
    </w:p>
    <w:p w14:paraId="243EF12F">
      <w:pPr>
        <w:pStyle w:val="174"/>
      </w:pPr>
      <w:r>
        <w:t>请求中至少包含action_id、目标车道或连接、目标片段、创建时刻、完成条件和允许重规划条件。策略采样动作后，用当时的位置和候选快照生成这个请求。执行器保存目标的绝对身份，不在车辆每前进一步后重新把“左邻”解释成新的左邻。</w:t>
      </w:r>
    </w:p>
    <w:p w14:paraId="7B588741">
      <w:pPr>
        <w:pStyle w:val="174"/>
      </w:pPr>
      <w:r>
        <w:t>执行状态可采用IDLE、FOLLOWING、PREPARING_TURN、CHANGING_LANE、IN_JUNCTION、RECOVERY等模式。各模式的允许动作和结束条件写成状态机。例如进入换道执行阶段后，先完成或安全中止，再开放新的横向选择。</w:t>
      </w:r>
    </w:p>
    <w:p w14:paraId="170F0506">
      <w:pPr>
        <w:keepNext/>
        <w:jc w:val="center"/>
      </w:pPr>
      <w:r>
        <w:drawing>
          <wp:inline distT="0" distB="0" distL="114300" distR="114300">
            <wp:extent cx="5943600" cy="3154680"/>
            <wp:effectExtent l="0" t="0" r="0" b="7620"/>
            <wp:docPr id="3" name="Picture 3" descr="驾驶执行任务的示意状态机。实际状态、开放动作和恢复条件由实现规范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驾驶执行任务的示意状态机。实际状态、开放动作和恢复条件由实现规范定义。"/>
                    <pic:cNvPicPr>
                      <a:picLocks noChangeAspect="1"/>
                    </pic:cNvPicPr>
                  </pic:nvPicPr>
                  <pic:blipFill>
                    <a:blip r:embed="rId10"/>
                    <a:stretch>
                      <a:fillRect/>
                    </a:stretch>
                  </pic:blipFill>
                  <pic:spPr>
                    <a:xfrm>
                      <a:off x="0" y="0"/>
                      <a:ext cx="5943600" cy="3154680"/>
                    </a:xfrm>
                    <a:prstGeom prst="rect">
                      <a:avLst/>
                    </a:prstGeom>
                  </pic:spPr>
                </pic:pic>
              </a:graphicData>
            </a:graphic>
          </wp:inline>
        </w:drawing>
      </w:r>
    </w:p>
    <w:p w14:paraId="1CD82228">
      <w:pPr>
        <w:pStyle w:val="15"/>
      </w:pPr>
      <w:r>
        <w:t>图 3  驾驶执行任务的示意状态机。实际状态、开放动作和恢复条件由实现规范定义。</w:t>
      </w:r>
    </w:p>
    <w:p w14:paraId="0B74B143">
      <w:pPr>
        <w:pStyle w:val="4"/>
      </w:pPr>
      <w:r>
        <w:t>8.4 合法动作掩码</w:t>
      </w:r>
    </w:p>
    <w:p w14:paraId="61997F76">
      <w:pPr>
        <w:pStyle w:val="174"/>
      </w:pPr>
      <w:r>
        <w:t>掩码M_k(a)决定当前允许提交哪些请求。它应根据已知地图、当前任务阶段、自车状态和允许获得的局部信息生成。静态合法不等于未来保证成功；间隙变化等情况仍由执行器处理。</w:t>
      </w:r>
    </w:p>
    <w:p w14:paraId="2D5167E9">
      <w:pPr>
        <w:pStyle w:val="167"/>
        <w:keepNext/>
      </w:pPr>
      <m:oMathPara>
        <m:oMath>
          <m:sSub>
            <m:sSubPr/>
            <m:e>
              <m:r>
                <m:rPr/>
                <w:rPr>
                  <w:rFonts w:ascii="Cambria Math" w:hAnsi="Cambria Math" w:eastAsia="Noto Sans CJK SC"/>
                </w:rPr>
                <m:t>Z</m:t>
              </m:r>
            </m:e>
            <m:sub>
              <m:r>
                <m:rPr/>
                <w:rPr>
                  <w:rFonts w:ascii="Cambria Math" w:hAnsi="Cambria Math" w:eastAsia="Noto Sans CJK SC"/>
                </w:rPr>
                <m:t>k</m:t>
              </m:r>
            </m:sub>
          </m:sSub>
          <m:r>
            <m:rPr/>
            <w:rPr>
              <w:rFonts w:ascii="Cambria Math" w:hAnsi="Cambria Math" w:eastAsia="Noto Sans CJK SC"/>
            </w:rPr>
            <m:t xml:space="preserve"> = </m:t>
          </m:r>
          <m:nary>
            <m:naryPr>
              <m:chr m:val="∑"/>
              <m:limLoc m:val="undOvr"/>
              <m:supHide m:val="1"/>
            </m:naryPr>
            <m:sub>
              <m:r>
                <m:rPr/>
                <w:rPr>
                  <w:rFonts w:ascii="Cambria Math" w:hAnsi="Cambria Math" w:eastAsia="Noto Sans CJK SC"/>
                </w:rPr>
                <m:t xml:space="preserve">b: </m:t>
              </m:r>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(b)=1</m:t>
              </m:r>
            </m:sub>
            <m:sup/>
            <m:e>
              <m:r>
                <m:rPr/>
                <w:rPr>
                  <w:rFonts w:ascii="Cambria Math" w:hAnsi="Cambria Math" w:eastAsia="Noto Sans CJK SC"/>
                </w:rPr>
                <m:t>exp(</m:t>
              </m:r>
              <m:sSub>
                <m:sSubPr/>
                <m:e>
                  <m:r>
                    <m:rPr/>
                    <w:rPr>
                      <w:rFonts w:ascii="Cambria Math" w:hAnsi="Cambria Math" w:eastAsia="Noto Sans CJK SC"/>
                    </w:rPr>
                    <m:t>l</m:t>
                  </m:r>
                </m:e>
                <m:sub>
                  <m:r>
                    <m:rPr/>
                    <w:rPr>
                      <w:rFonts w:ascii="Cambria Math" w:hAnsi="Cambria Math" w:eastAsia="Noto Sans CJK SC"/>
                    </w:rPr>
                    <m:t>k</m:t>
                  </m:r>
                </m:sub>
              </m:sSub>
              <m:r>
                <m:rPr/>
                <w:rPr>
                  <w:rFonts w:ascii="Cambria Math" w:hAnsi="Cambria Math" w:eastAsia="Noto Sans CJK SC"/>
                </w:rPr>
                <m:t>(b))</m:t>
              </m:r>
            </m:e>
          </m:nary>
        </m:oMath>
      </m:oMathPara>
    </w:p>
    <w:p w14:paraId="18972FFB">
      <w:pPr>
        <w:pStyle w:val="167"/>
      </w:pPr>
      <m:oMath>
        <m:sSub>
          <m:sSubPr/>
          <m:e>
            <m:r>
              <m:rPr/>
              <w:rPr>
                <w:rFonts w:ascii="Cambria Math" w:hAnsi="Cambria Math" w:eastAsia="Noto Sans CJK SC"/>
              </w:rPr>
              <m:t>π</m:t>
            </m:r>
          </m:e>
          <m:sub>
            <m:r>
              <m:rPr/>
              <w:rPr>
                <w:rFonts w:ascii="Cambria Math" w:hAnsi="Cambria Math" w:eastAsia="Noto Sans CJK SC"/>
              </w:rPr>
              <m:t>k</m:t>
            </m:r>
          </m:sub>
        </m:sSub>
        <m:r>
          <m:rPr/>
          <w:rPr>
            <w:rFonts w:ascii="Cambria Math" w:hAnsi="Cambria Math" w:eastAsia="Noto Sans CJK SC"/>
          </w:rPr>
          <m:t xml:space="preserve">(a) = </m:t>
        </m:r>
        <m:f>
          <m:fPr/>
          <m:num>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(a) exp(</m:t>
            </m:r>
            <m:sSub>
              <m:sSubPr/>
              <m:e>
                <m:r>
                  <m:rPr/>
                  <w:rPr>
                    <w:rFonts w:ascii="Cambria Math" w:hAnsi="Cambria Math" w:eastAsia="Noto Sans CJK SC"/>
                  </w:rPr>
                  <m:t>l</m:t>
                </m:r>
              </m:e>
              <m:sub>
                <m:r>
                  <m:rPr/>
                  <w:rPr>
                    <w:rFonts w:ascii="Cambria Math" w:hAnsi="Cambria Math" w:eastAsia="Noto Sans CJK SC"/>
                  </w:rPr>
                  <m:t>k</m:t>
                </m:r>
              </m:sub>
            </m:sSub>
            <m:r>
              <m:rPr/>
              <w:rPr>
                <w:rFonts w:ascii="Cambria Math" w:hAnsi="Cambria Math" w:eastAsia="Noto Sans CJK SC"/>
              </w:rPr>
              <m:t>(a))</m:t>
            </m:r>
          </m:num>
          <m:den>
            <m:sSub>
              <m:sSubPr/>
              <m:e>
                <m:r>
                  <m:rPr/>
                  <w:rPr>
                    <w:rFonts w:ascii="Cambria Math" w:hAnsi="Cambria Math" w:eastAsia="Noto Sans CJK SC"/>
                  </w:rPr>
                  <m:t>Z</m:t>
                </m:r>
              </m:e>
              <m:sub>
                <m:r>
                  <m:rPr/>
                  <w:rPr>
                    <w:rFonts w:ascii="Cambria Math" w:hAnsi="Cambria Math" w:eastAsia="Noto Sans CJK SC"/>
                  </w:rPr>
                  <m:t>k</m:t>
                </m:r>
              </m:sub>
            </m:sSub>
          </m:den>
        </m:f>
      </m:oMath>
      <w:r>
        <w:t xml:space="preserve">   (8)</w:t>
      </w:r>
    </w:p>
    <w:p w14:paraId="41DFB0A7">
      <w:pPr>
        <w:pStyle w:val="174"/>
      </w:pPr>
      <w:r>
        <w:t>实现时将无效动作的logit排除并对剩余动作重新归一化。至少保留一个有明确安全语义的后备动作。全零掩码应作为环境逻辑异常处理，不能无声地抽取一个任意非法动作。[R06]</w:t>
      </w:r>
    </w:p>
    <w:p w14:paraId="3F046DDD">
      <w:pPr>
        <w:pStyle w:val="174"/>
      </w:pPr>
      <w:r>
        <w:t>采样、PPO概率比计算、熵计算和评测使用同一时刻的候选和掩码。不能采样时屏蔽动作，训练更新时却用未屏蔽分布计算旧动作概率。只有一个动作可选时，类别熵为零，不会提供选择方向的直接梯度，但该时段奖励仍属于长期回报。</w:t>
      </w:r>
    </w:p>
    <w:p w14:paraId="58660938">
      <w:pPr>
        <w:pStyle w:val="4"/>
      </w:pPr>
      <w:r>
        <w:t>8.5 请求动作与实现运动</w:t>
      </w:r>
    </w:p>
    <w:p w14:paraId="0FB2D094">
      <w:pPr>
        <w:pStyle w:val="174"/>
      </w:pPr>
      <w:r>
        <w:t>策略请求换道后，控制器可能等待、调整速度、成功执行或报告失败。训练记录保留请求动作a_k，另存执行状态和实际运动摘要。PPO的概率对应当时采样的a_k，不能用最终速度或实际车道替换这个动作标签。</w:t>
      </w:r>
    </w:p>
    <w:p w14:paraId="267D1E7F">
      <w:pPr>
        <w:pStyle w:val="174"/>
      </w:pPr>
      <w:r>
        <w:t>控制器配置必须在训练和比较策略之间保持一致。若底层经常覆盖策略请求，应先分析动作粒度或可行性设计，不能仅凭策略输出频繁变化就声称实现了主动选位。</w:t>
      </w:r>
    </w:p>
    <w:p w14:paraId="2E4D6237">
      <w:pPr>
        <w:pStyle w:val="4"/>
      </w:pPr>
      <w:r>
        <w:t>8.6 候选列表与速度控制扩展</w:t>
      </w:r>
    </w:p>
    <w:p w14:paraId="13E4A6A9">
      <w:pPr>
        <w:pStyle w:val="174"/>
      </w:pPr>
      <w:r>
        <w:t>六动作模板对固定路网较易实现。若使用任意目标片段列表，需提供每个候选的相对位置、车道关系、物理长度、已知成本和任务模式；候选顺序必须可追溯，训练时保存原始快照。否则动作编号在不同时刻具有隐藏变化的语义。</w:t>
      </w:r>
    </w:p>
    <w:p w14:paraId="17231303">
      <w:pPr>
        <w:pStyle w:val="174"/>
      </w:pPr>
      <w:r>
        <w:t>加入速度目标后，可使用有限档位或连续参数。连续速度动作本身不导致稀疏奖励，但会增加车辆动态、限速、舒适性和交通扰动的约束。车道、转向和速度不能默认独立组合；联合掩码、条件动作或混合分布应另行设计并验证。</w:t>
      </w:r>
    </w:p>
    <w:p w14:paraId="3E04FE68">
      <w:pPr>
        <w:pStyle w:val="3"/>
        <w:pageBreakBefore/>
      </w:pPr>
      <w:bookmarkStart w:id="10" w:name="chapter_09"/>
      <w:r>
        <w:t>9 外围绕行、返回选择与时间抽象</w:t>
      </w:r>
      <w:bookmarkEnd w:id="10"/>
    </w:p>
    <w:p w14:paraId="445280FC">
      <w:pPr>
        <w:pStyle w:val="4"/>
      </w:pPr>
      <w:r>
        <w:t>9.1 同一个任务中的外围运动</w:t>
      </w:r>
    </w:p>
    <w:p w14:paraId="313B82EC">
      <w:r>
        <w:t>驶出目标区域并不结束episode。探测预算继续减少，目标路口车流和信号继续演化，估计器继续预测，信息年龄与不确定性继续更新。回到目标区域时，不清空历史、不重置计时，也不重新抽取目标交通状态。</w:t>
      </w:r>
    </w:p>
    <w:p w14:paraId="709E8434">
      <w:r>
        <w:t>探测车在外围仍可能观察到与目标相关的流入车辆或上游状态。如果这些关联有明确建模，可继续使用。首版也可仅在目标区域产生主要探测观测，但必须保留外围等待期间的估计误差和成本。</w:t>
      </w:r>
    </w:p>
    <w:p w14:paraId="40689720">
      <w:pPr>
        <w:pStyle w:val="4"/>
      </w:pPr>
      <w:r>
        <w:t>9.2 物理地图与抽象连接</w:t>
      </w:r>
    </w:p>
    <w:p w14:paraId="6070335A">
      <w:r>
        <w:t>实际仿真建议显式包含必要外围道路。算法描述可以把一段返回道路抽象为“出口至进口”的有向连接，但每条连接都应对应真实合法路线、起止条件、可达性和持续时间。抽象不会免除执行成本。</w:t>
      </w:r>
    </w:p>
    <w:p w14:paraId="4C61A7F4">
      <w:pPr>
        <w:pStyle w:val="170"/>
      </w:pPr>
      <w:r>
        <w:t>【待定 D04】目前对话未提供最终路网坐标和完整连接表。实现前应绘制一个小型区域图，验证至少存在若干会带来不同观测机会的合法选择。若所有出口都只能按唯一回路返回，策略的入口优化空间可能很小。</w:t>
      </w:r>
    </w:p>
    <w:p w14:paraId="2FB66991">
      <w:pPr>
        <w:pStyle w:val="4"/>
      </w:pPr>
      <w:r>
        <w:t>9.3 返回方向应该何时决定</w:t>
      </w:r>
    </w:p>
    <w:p w14:paraId="2CEF2357">
      <w:r>
        <w:t>如果某个出口选择会决定之后可从哪个方向返回，就应在驶出之前或前方合法分支处作出决定。不能等车辆已错过关键连接，再允许网络任意指定不可达入口。</w:t>
      </w:r>
    </w:p>
    <w:p w14:paraId="711680BD">
      <w:r>
        <w:t>首版可为每个可行出口—入口组合提供一条固定路线，策略选择目标，执行器沿路行驶。车道级主线也可以在外围各分支继续作出六动作字典中的选择。二者应作为不同决策粒度版本比较，不同时混成两套未经协调的控制命令。</w:t>
      </w:r>
    </w:p>
    <w:p w14:paraId="66089431">
      <w:pPr>
        <w:pStyle w:val="4"/>
      </w:pPr>
      <w:r>
        <w:t>9.4 选择返回入口所需的判断</w:t>
      </w:r>
    </w:p>
    <w:p w14:paraId="4FF42F0F">
      <w:r>
        <w:t>策略需要权衡当前信息缺失、预计到达时的信息价值、行程耗时和剩余预算。当前最不确定的方向不一定值得立刻前往：它可能需要很久才能到达，或者到达时关键交通事件已经过去。</w:t>
      </w:r>
    </w:p>
    <w:p w14:paraId="65C4B741">
      <w:r>
        <w:t>强化学习可以通过长期回报学习这种权衡，也可以先建立“预测不确定性下降与已知行程成本结合”的简单策略。基线不得使用未来真实队列或未来实现的返回时长。基于隐藏真值的规划可作为额外信息参考，须单列标签。</w:t>
      </w:r>
    </w:p>
    <w:p w14:paraId="7377A2C4">
      <w:pPr>
        <w:pStyle w:val="4"/>
      </w:pPr>
      <w:r>
        <w:t>9.5 固定步长和宏动作两种实现</w:t>
      </w:r>
    </w:p>
    <w:p w14:paraId="5CA1E1E9">
      <w:r>
        <w:t>固定步长方案每ΔT返回一次训练记录，长路线通过任务状态持续执行。它便于与标准PPO对接。宏动作方案在目标到达、任务中止或预算耗尽时返回一次记录，持续时间d_k不同，需要半马尔可夫处理。[R07]</w:t>
      </w:r>
    </w:p>
    <w:p w14:paraId="7BB8137F">
      <w:pPr>
        <w:pStyle w:val="167"/>
        <w:keepNext/>
      </w:pPr>
      <m:oMathPara>
        <m:oMath>
          <m:sSubSup>
            <m:sSubSupPr/>
            <m:e>
              <m:r>
                <m:rPr/>
                <w:rPr>
                  <w:rFonts w:ascii="Cambria Math" w:hAnsi="Cambria Math" w:eastAsia="Noto Sans CJK SC"/>
                </w:rPr>
                <m:t>R</m:t>
              </m:r>
            </m:e>
            <m:sub>
              <m:r>
                <m:rPr/>
                <w:rPr>
                  <w:rFonts w:ascii="Cambria Math" w:hAnsi="Cambria Math" w:eastAsia="Noto Sans CJK SC"/>
                </w:rPr>
                <m:t>k</m:t>
              </m:r>
            </m:sub>
            <m:sup>
              <m:r>
                <m:rPr/>
                <w:rPr>
                  <w:rFonts w:ascii="Cambria Math" w:hAnsi="Cambria Math" w:eastAsia="Noto Sans CJK SC"/>
                </w:rPr>
                <m:t>macro</m:t>
              </m:r>
            </m:sup>
          </m:sSubSup>
          <m:r>
            <m:rPr/>
            <w:rPr>
              <w:rFonts w:ascii="Cambria Math" w:hAnsi="Cambria Math" w:eastAsia="Noto Sans CJK SC"/>
            </w:rPr>
            <m:t xml:space="preserve"> = </m:t>
          </m:r>
          <m:nary>
            <m:naryPr>
              <m:chr m:val="∑"/>
              <m:limLoc m:val="undOvr"/>
            </m:naryPr>
            <m:sub>
              <m:r>
                <m:rPr/>
                <w:rPr>
                  <w:rFonts w:ascii="Cambria Math" w:hAnsi="Cambria Math" w:eastAsia="Noto Sans CJK SC"/>
                </w:rPr>
                <m:t>i=0</m:t>
              </m:r>
            </m:sub>
            <m:sup>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−1</m:t>
              </m:r>
            </m:sup>
            <m:e>
              <m:sSup>
                <m:sSupPr/>
                <m:e>
                  <m:r>
                    <m:rPr/>
                    <w:rPr>
                      <w:rFonts w:ascii="Cambria Math" w:hAnsi="Cambria Math" w:eastAsia="Noto Sans CJK SC"/>
                    </w:rPr>
                    <m:t>γ</m:t>
                  </m:r>
                </m:e>
                <m:sup>
                  <m:r>
                    <m:rPr/>
                    <w:rPr>
                      <w:rFonts w:ascii="Cambria Math" w:hAnsi="Cambria Math" w:eastAsia="Noto Sans CJK SC"/>
                    </w:rPr>
                    <m:t>i</m:t>
                  </m:r>
                </m:sup>
              </m:sSup>
              <m:sSub>
                <m:sSubPr/>
                <m:e>
                  <m:r>
                    <m:rPr/>
                    <w:rPr>
                      <w:rFonts w:ascii="Cambria Math" w:hAnsi="Cambria Math" w:eastAsia="Noto Sans CJK SC"/>
                    </w:rPr>
                    <m:t>r</m:t>
                  </m:r>
                </m:e>
                <m:sub>
                  <m:r>
                    <m:rPr/>
                    <w:rPr>
                      <w:rFonts w:ascii="Cambria Math" w:hAnsi="Cambria Math" w:eastAsia="Noto Sans CJK SC"/>
                    </w:rPr>
                    <m:t>k,i</m:t>
                  </m:r>
                </m:sub>
              </m:sSub>
            </m:e>
          </m:nary>
        </m:oMath>
      </m:oMathPara>
    </w:p>
    <w:p w14:paraId="7EB097D2">
      <w:pPr>
        <w:pStyle w:val="167"/>
      </w:pPr>
      <m:oMath>
        <m:sSubSup>
          <m:sSubSupPr/>
          <m:e>
            <m:r>
              <m:rPr/>
              <w:rPr>
                <w:rFonts w:ascii="Cambria Math" w:hAnsi="Cambria Math" w:eastAsia="Noto Sans CJK SC"/>
              </w:rPr>
              <m:t>G</m:t>
            </m:r>
          </m:e>
          <m:sub>
            <m:r>
              <m:rPr/>
              <w:rPr>
                <w:rFonts w:ascii="Cambria Math" w:hAnsi="Cambria Math" w:eastAsia="Noto Sans CJK SC"/>
              </w:rPr>
              <m:t>k</m:t>
            </m:r>
          </m:sub>
          <m:sup>
            <m:r>
              <m:rPr/>
              <w:rPr>
                <w:rFonts w:ascii="Cambria Math" w:hAnsi="Cambria Math" w:eastAsia="Noto Sans CJK SC"/>
              </w:rPr>
              <m:t>macro</m:t>
            </m:r>
          </m:sup>
        </m:sSubSup>
        <m:r>
          <m:rPr/>
          <w:rPr>
            <w:rFonts w:ascii="Cambria Math" w:hAnsi="Cambria Math" w:eastAsia="Noto Sans CJK SC"/>
          </w:rPr>
          <m:t xml:space="preserve"> = </m:t>
        </m:r>
        <m:sSubSup>
          <m:sSubSupPr/>
          <m:e>
            <m:r>
              <m:rPr/>
              <w:rPr>
                <w:rFonts w:ascii="Cambria Math" w:hAnsi="Cambria Math" w:eastAsia="Noto Sans CJK SC"/>
              </w:rPr>
              <m:t>R</m:t>
            </m:r>
          </m:e>
          <m:sub>
            <m:r>
              <m:rPr/>
              <w:rPr>
                <w:rFonts w:ascii="Cambria Math" w:hAnsi="Cambria Math" w:eastAsia="Noto Sans CJK SC"/>
              </w:rPr>
              <m:t>k</m:t>
            </m:r>
          </m:sub>
          <m:sup>
            <m:r>
              <m:rPr/>
              <w:rPr>
                <w:rFonts w:ascii="Cambria Math" w:hAnsi="Cambria Math" w:eastAsia="Noto Sans CJK SC"/>
              </w:rPr>
              <m:t>macro</m:t>
            </m:r>
          </m:sup>
        </m:sSubSup>
        <m:r>
          <m:rPr/>
          <w:rPr>
            <w:rFonts w:ascii="Cambria Math" w:hAnsi="Cambria Math" w:eastAsia="Noto Sans CJK SC"/>
          </w:rPr>
          <m:t xml:space="preserve"> + </m:t>
        </m:r>
        <m:sSup>
          <m:sSupPr/>
          <m:e>
            <m:r>
              <m:rPr/>
              <w:rPr>
                <w:rFonts w:ascii="Cambria Math" w:hAnsi="Cambria Math" w:eastAsia="Noto Sans CJK SC"/>
              </w:rPr>
              <m:t>γ</m:t>
            </m:r>
          </m:e>
          <m:sup>
            <m:sSub>
              <m:sSubPr/>
              <m:e>
                <m:r>
                  <m:rPr/>
                  <w:rPr>
                    <w:rFonts w:ascii="Cambria Math" w:hAnsi="Cambria Math" w:eastAsia="Noto Sans CJK SC"/>
                  </w:rPr>
                  <m:t>m</m:t>
                </m:r>
              </m:e>
              <m:sub>
                <m:r>
                  <m:rPr/>
                  <w:rPr>
                    <w:rFonts w:ascii="Cambria Math" w:hAnsi="Cambria Math" w:eastAsia="Noto Sans CJK SC"/>
                  </w:rPr>
                  <m:t>k</m:t>
                </m:r>
              </m:sub>
            </m:sSub>
          </m:sup>
        </m:sSup>
        <m:sSubSup>
          <m:sSubSupPr/>
          <m:e>
            <m:r>
              <m:rPr/>
              <w:rPr>
                <w:rFonts w:ascii="Cambria Math" w:hAnsi="Cambria Math" w:eastAsia="Noto Sans CJK SC"/>
              </w:rPr>
              <m:t>b</m:t>
            </m:r>
          </m:e>
          <m:sub>
            <m:r>
              <m:rPr/>
              <w:rPr>
                <w:rFonts w:ascii="Cambria Math" w:hAnsi="Cambria Math" w:eastAsia="Noto Sans CJK SC"/>
              </w:rPr>
              <m:t>k</m:t>
            </m:r>
          </m:sub>
          <m:sup>
            <m:r>
              <m:rPr/>
              <w:rPr>
                <w:rFonts w:ascii="Cambria Math" w:hAnsi="Cambria Math" w:eastAsia="Noto Sans CJK SC"/>
              </w:rPr>
              <m:t>boot</m:t>
            </m:r>
          </m:sup>
        </m:sSubSup>
        <m:sSub>
          <m:sSubPr/>
          <m:e>
            <m:r>
              <m:rPr/>
              <w:rPr>
                <w:rFonts w:ascii="Cambria Math" w:hAnsi="Cambria Math" w:eastAsia="Noto Sans CJK SC"/>
              </w:rPr>
              <m:t>V</m:t>
            </m:r>
          </m:e>
          <m:sub>
            <m:r>
              <m:rPr/>
              <w:rPr>
                <w:rFonts w:ascii="Cambria Math" w:hAnsi="Cambria Math" w:eastAsia="Noto Sans CJK SC"/>
              </w:rPr>
              <m:t>k+1</m:t>
            </m:r>
          </m:sub>
        </m:sSub>
      </m:oMath>
      <w:r>
        <w:t xml:space="preserve">   (9)</w:t>
      </w:r>
    </w:p>
    <w:p w14:paraId="5A808650">
      <w:r>
        <w:t>如果基础目标使用每δ时间的折扣γ，宏动作内的基础奖励也按同一物理时间折扣，其后继价值乘γ的m次方，其中m是持续的基础步数。若采用无折扣有限时域目标，则宏动作奖励直接累加全部内部奖励，但仍需保存时长和终止条件。</w:t>
      </w:r>
    </w:p>
    <w:p w14:paraId="686D16EA">
      <w:r>
        <w:t>不能把10秒和60秒的动作都扣一次相同时间成本，也不能只在返回时计算一次误差来代表整段等待。首版选择固定步长，是为了先避免这部分实现歧义。</w:t>
      </w:r>
    </w:p>
    <w:p w14:paraId="57C1A9CC">
      <w:pPr>
        <w:pStyle w:val="3"/>
        <w:pageBreakBefore/>
      </w:pPr>
      <w:bookmarkStart w:id="11" w:name="chapter_10"/>
      <w:r>
        <w:t>10 多时间尺度与一次完整交互算例</w:t>
      </w:r>
      <w:bookmarkEnd w:id="11"/>
    </w:p>
    <w:p w14:paraId="4C03D57E">
      <w:pPr>
        <w:pStyle w:val="4"/>
      </w:pPr>
      <w:r>
        <w:t>10.1 时间参数的含义</w:t>
      </w:r>
    </w:p>
    <w:p w14:paraId="2EEF9DA1">
      <w:pPr>
        <w:pStyle w:val="15"/>
        <w:keepNext/>
      </w:pPr>
      <w:r>
        <w:t>表 13  参数 / 含义</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394AE13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1495F2BE">
            <w:pPr>
              <w:pStyle w:val="164"/>
              <w:keepNext/>
            </w:pPr>
            <w:r>
              <w:rPr>
                <w:b/>
              </w:rPr>
              <w:t>参数</w:t>
            </w:r>
          </w:p>
        </w:tc>
        <w:tc>
          <w:tcPr>
            <w:tcW w:w="3600" w:type="dxa"/>
            <w:shd w:val="clear" w:color="auto" w:fill="E8EEF5"/>
            <w:tcMar>
              <w:top w:w="80" w:type="dxa"/>
              <w:left w:w="120" w:type="dxa"/>
              <w:bottom w:w="80" w:type="dxa"/>
              <w:right w:w="120" w:type="dxa"/>
            </w:tcMar>
            <w:vAlign w:val="center"/>
          </w:tcPr>
          <w:p w14:paraId="2A4EAF7C">
            <w:pPr>
              <w:pStyle w:val="164"/>
              <w:keepNext/>
            </w:pPr>
            <w:r>
              <w:rPr>
                <w:b/>
              </w:rPr>
              <w:t>含义</w:t>
            </w:r>
          </w:p>
        </w:tc>
        <w:tc>
          <w:tcPr>
            <w:tcW w:w="3560" w:type="dxa"/>
            <w:shd w:val="clear" w:color="auto" w:fill="E8EEF5"/>
            <w:tcMar>
              <w:top w:w="80" w:type="dxa"/>
              <w:left w:w="120" w:type="dxa"/>
              <w:bottom w:w="80" w:type="dxa"/>
              <w:right w:w="120" w:type="dxa"/>
            </w:tcMar>
            <w:vAlign w:val="center"/>
          </w:tcPr>
          <w:p w14:paraId="6E7C2712">
            <w:pPr>
              <w:pStyle w:val="164"/>
              <w:keepNext/>
            </w:pPr>
            <w:r>
              <w:rPr>
                <w:b/>
              </w:rPr>
              <w:t>解释用设置</w:t>
            </w:r>
          </w:p>
        </w:tc>
      </w:tr>
      <w:tr w14:paraId="47C5716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E367F7E">
            <w:pPr>
              <w:pStyle w:val="164"/>
            </w:pPr>
            <w:r>
              <w:t>δ_sim</w:t>
            </w:r>
          </w:p>
        </w:tc>
        <w:tc>
          <w:tcPr>
            <w:tcW w:w="3600" w:type="dxa"/>
            <w:tcMar>
              <w:top w:w="80" w:type="dxa"/>
              <w:left w:w="120" w:type="dxa"/>
              <w:bottom w:w="80" w:type="dxa"/>
              <w:right w:w="120" w:type="dxa"/>
            </w:tcMar>
            <w:vAlign w:val="center"/>
          </w:tcPr>
          <w:p w14:paraId="02D6F99C">
            <w:pPr>
              <w:pStyle w:val="164"/>
            </w:pPr>
            <w:r>
              <w:t>全体车辆与信号的数值推进间隔</w:t>
            </w:r>
          </w:p>
        </w:tc>
        <w:tc>
          <w:tcPr>
            <w:tcW w:w="3560" w:type="dxa"/>
            <w:tcMar>
              <w:top w:w="80" w:type="dxa"/>
              <w:left w:w="120" w:type="dxa"/>
              <w:bottom w:w="80" w:type="dxa"/>
              <w:right w:w="120" w:type="dxa"/>
            </w:tcMar>
            <w:vAlign w:val="center"/>
          </w:tcPr>
          <w:p w14:paraId="7818E185">
            <w:pPr>
              <w:pStyle w:val="164"/>
            </w:pPr>
            <w:r>
              <w:t>0.1秒</w:t>
            </w:r>
          </w:p>
        </w:tc>
      </w:tr>
      <w:tr w14:paraId="719217C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82DFC66">
            <w:pPr>
              <w:pStyle w:val="164"/>
            </w:pPr>
            <w:r>
              <w:t>δ_obs</w:t>
            </w:r>
          </w:p>
        </w:tc>
        <w:tc>
          <w:tcPr>
            <w:tcW w:w="3600" w:type="dxa"/>
            <w:tcMar>
              <w:top w:w="80" w:type="dxa"/>
              <w:left w:w="120" w:type="dxa"/>
              <w:bottom w:w="80" w:type="dxa"/>
              <w:right w:w="120" w:type="dxa"/>
            </w:tcMar>
            <w:vAlign w:val="center"/>
          </w:tcPr>
          <w:p w14:paraId="379EA9B6">
            <w:pPr>
              <w:pStyle w:val="164"/>
            </w:pPr>
            <w:r>
              <w:t>新传感器观测生成间隔</w:t>
            </w:r>
          </w:p>
        </w:tc>
        <w:tc>
          <w:tcPr>
            <w:tcW w:w="3560" w:type="dxa"/>
            <w:tcMar>
              <w:top w:w="80" w:type="dxa"/>
              <w:left w:w="120" w:type="dxa"/>
              <w:bottom w:w="80" w:type="dxa"/>
              <w:right w:w="120" w:type="dxa"/>
            </w:tcMar>
            <w:vAlign w:val="center"/>
          </w:tcPr>
          <w:p w14:paraId="16A4BB89">
            <w:pPr>
              <w:pStyle w:val="164"/>
            </w:pPr>
            <w:r>
              <w:t>0.5秒</w:t>
            </w:r>
          </w:p>
        </w:tc>
      </w:tr>
      <w:tr w14:paraId="1679CC3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79D68B2">
            <w:pPr>
              <w:pStyle w:val="164"/>
            </w:pPr>
            <w:r>
              <w:t>δ_est</w:t>
            </w:r>
          </w:p>
        </w:tc>
        <w:tc>
          <w:tcPr>
            <w:tcW w:w="3600" w:type="dxa"/>
            <w:tcMar>
              <w:top w:w="80" w:type="dxa"/>
              <w:left w:w="120" w:type="dxa"/>
              <w:bottom w:w="80" w:type="dxa"/>
              <w:right w:w="120" w:type="dxa"/>
            </w:tcMar>
            <w:vAlign w:val="center"/>
          </w:tcPr>
          <w:p w14:paraId="764CA5E2">
            <w:pPr>
              <w:pStyle w:val="164"/>
            </w:pPr>
            <w:r>
              <w:t>估计同化或读出评价间隔</w:t>
            </w:r>
          </w:p>
        </w:tc>
        <w:tc>
          <w:tcPr>
            <w:tcW w:w="3560" w:type="dxa"/>
            <w:tcMar>
              <w:top w:w="80" w:type="dxa"/>
              <w:left w:w="120" w:type="dxa"/>
              <w:bottom w:w="80" w:type="dxa"/>
              <w:right w:w="120" w:type="dxa"/>
            </w:tcMar>
            <w:vAlign w:val="center"/>
          </w:tcPr>
          <w:p w14:paraId="1F881EA4">
            <w:pPr>
              <w:pStyle w:val="164"/>
            </w:pPr>
            <w:r>
              <w:t>0.5秒</w:t>
            </w:r>
          </w:p>
        </w:tc>
      </w:tr>
      <w:tr w14:paraId="6BDE138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E81A6CB">
            <w:pPr>
              <w:pStyle w:val="164"/>
            </w:pPr>
            <w:r>
              <w:t>ΔT</w:t>
            </w:r>
          </w:p>
        </w:tc>
        <w:tc>
          <w:tcPr>
            <w:tcW w:w="3600" w:type="dxa"/>
            <w:tcMar>
              <w:top w:w="80" w:type="dxa"/>
              <w:left w:w="120" w:type="dxa"/>
              <w:bottom w:w="80" w:type="dxa"/>
              <w:right w:w="120" w:type="dxa"/>
            </w:tcMar>
            <w:vAlign w:val="center"/>
          </w:tcPr>
          <w:p w14:paraId="5AF3BAEF">
            <w:pPr>
              <w:pStyle w:val="164"/>
            </w:pPr>
            <w:r>
              <w:t>一次强化学习交互覆盖时间</w:t>
            </w:r>
          </w:p>
        </w:tc>
        <w:tc>
          <w:tcPr>
            <w:tcW w:w="3560" w:type="dxa"/>
            <w:tcMar>
              <w:top w:w="80" w:type="dxa"/>
              <w:left w:w="120" w:type="dxa"/>
              <w:bottom w:w="80" w:type="dxa"/>
              <w:right w:w="120" w:type="dxa"/>
            </w:tcMar>
            <w:vAlign w:val="center"/>
          </w:tcPr>
          <w:p w14:paraId="236C2519">
            <w:pPr>
              <w:pStyle w:val="164"/>
            </w:pPr>
            <w:r>
              <w:t>1秒</w:t>
            </w:r>
          </w:p>
        </w:tc>
      </w:tr>
      <w:tr w14:paraId="4B435B4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AF8854D">
            <w:pPr>
              <w:pStyle w:val="164"/>
            </w:pPr>
            <w:r>
              <w:t>B</w:t>
            </w:r>
          </w:p>
        </w:tc>
        <w:tc>
          <w:tcPr>
            <w:tcW w:w="3600" w:type="dxa"/>
            <w:tcMar>
              <w:top w:w="80" w:type="dxa"/>
              <w:left w:w="120" w:type="dxa"/>
              <w:bottom w:w="80" w:type="dxa"/>
              <w:right w:w="120" w:type="dxa"/>
            </w:tcMar>
            <w:vAlign w:val="center"/>
          </w:tcPr>
          <w:p w14:paraId="5FAB20D5">
            <w:pPr>
              <w:pStyle w:val="164"/>
            </w:pPr>
            <w:r>
              <w:t>一次探测任务的预算</w:t>
            </w:r>
          </w:p>
        </w:tc>
        <w:tc>
          <w:tcPr>
            <w:tcW w:w="3560" w:type="dxa"/>
            <w:tcMar>
              <w:top w:w="80" w:type="dxa"/>
              <w:left w:w="120" w:type="dxa"/>
              <w:bottom w:w="80" w:type="dxa"/>
              <w:right w:w="120" w:type="dxa"/>
            </w:tcMar>
            <w:vAlign w:val="center"/>
          </w:tcPr>
          <w:p w14:paraId="214CC896">
            <w:pPr>
              <w:pStyle w:val="164"/>
            </w:pPr>
            <w:r>
              <w:t>根据返回时间预实验确定</w:t>
            </w:r>
          </w:p>
        </w:tc>
      </w:tr>
      <w:tr w14:paraId="339AEE6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D768F1C">
            <w:pPr>
              <w:pStyle w:val="164"/>
            </w:pPr>
            <w:r>
              <w:t>n_steps</w:t>
            </w:r>
          </w:p>
        </w:tc>
        <w:tc>
          <w:tcPr>
            <w:tcW w:w="3600" w:type="dxa"/>
            <w:tcMar>
              <w:top w:w="80" w:type="dxa"/>
              <w:left w:w="120" w:type="dxa"/>
              <w:bottom w:w="80" w:type="dxa"/>
              <w:right w:w="120" w:type="dxa"/>
            </w:tcMar>
            <w:vAlign w:val="center"/>
          </w:tcPr>
          <w:p w14:paraId="0C53F72C">
            <w:pPr>
              <w:pStyle w:val="164"/>
            </w:pPr>
            <w:r>
              <w:t>每个环境每批收集的交互步数</w:t>
            </w:r>
          </w:p>
        </w:tc>
        <w:tc>
          <w:tcPr>
            <w:tcW w:w="3560" w:type="dxa"/>
            <w:tcMar>
              <w:top w:w="80" w:type="dxa"/>
              <w:left w:w="120" w:type="dxa"/>
              <w:bottom w:w="80" w:type="dxa"/>
              <w:right w:w="120" w:type="dxa"/>
            </w:tcMar>
            <w:vAlign w:val="center"/>
          </w:tcPr>
          <w:p w14:paraId="7CC92622">
            <w:pPr>
              <w:pStyle w:val="164"/>
            </w:pPr>
            <w:r>
              <w:t>与道路格数无关</w:t>
            </w:r>
          </w:p>
        </w:tc>
      </w:tr>
    </w:tbl>
    <w:p w14:paraId="2518DDB6">
      <w:pPr>
        <w:pStyle w:val="165"/>
      </w:pPr>
    </w:p>
    <w:p w14:paraId="0EA29A81">
      <w:r>
        <w:t>这些数字是示例 D08，正式实现应保存为配置。在首版零延迟条件下，可让观测和估计更新对齐；模型内部预测可以更频繁。若采样频率不同，必须规定同化、读出和奖励使用哪个时间戳。</w:t>
      </w:r>
    </w:p>
    <w:p w14:paraId="4F69FE57">
      <w:pPr>
        <w:keepNext/>
        <w:jc w:val="center"/>
      </w:pPr>
      <w:r>
        <w:drawing>
          <wp:inline distT="0" distB="0" distL="114300" distR="114300">
            <wp:extent cx="5943600" cy="2743200"/>
            <wp:effectExtent l="0" t="0" r="0" b="0"/>
            <wp:docPr id="4" name="Picture 4" descr="仿真、观测和策略的多时间尺度。图中数值仅为调试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仿真、观测和策略的多时间尺度。图中数值仅为调试示例。"/>
                    <pic:cNvPicPr>
                      <a:picLocks noChangeAspect="1"/>
                    </pic:cNvPicPr>
                  </pic:nvPicPr>
                  <pic:blipFill>
                    <a:blip r:embed="rId11"/>
                    <a:stretch>
                      <a:fillRect/>
                    </a:stretch>
                  </pic:blipFill>
                  <pic:spPr>
                    <a:xfrm>
                      <a:off x="0" y="0"/>
                      <a:ext cx="5943600" cy="2743200"/>
                    </a:xfrm>
                    <a:prstGeom prst="rect">
                      <a:avLst/>
                    </a:prstGeom>
                  </pic:spPr>
                </pic:pic>
              </a:graphicData>
            </a:graphic>
          </wp:inline>
        </w:drawing>
      </w:r>
    </w:p>
    <w:p w14:paraId="61031F80">
      <w:pPr>
        <w:pStyle w:val="15"/>
      </w:pPr>
      <w:r>
        <w:t>图 4  仿真、观测和策略的多时间尺度。图中数值仅为调试示例。</w:t>
      </w:r>
    </w:p>
    <w:p w14:paraId="6F77B9E6">
      <w:pPr>
        <w:pStyle w:val="4"/>
      </w:pPr>
      <w:r>
        <w:t>10.2 用整数仿真步管理调度</w:t>
      </w:r>
    </w:p>
    <w:p w14:paraId="0C5FCDC9">
      <w:r>
        <w:t>尽量用整数tick安排事件。例如0.1秒为基础tick，每5个tick观测一次，每10个tick结束一个强化学习步。避免反复对浮点秒数取模，导致应当发生的更新被数值误差漏掉。</w:t>
      </w:r>
    </w:p>
    <w:p w14:paraId="2087336D">
      <w:r>
        <w:t>预算最好在首版取基础tick的整数倍；若最后一步不足ΔT，按实际经过时间计算奖励。在失败或终点发生于正常观测时刻之间时，先把估计预测到该时刻，处理允许的新观测，再执行明确的末段评价规则。</w:t>
      </w:r>
    </w:p>
    <w:p w14:paraId="3BD239C6">
      <w:pPr>
        <w:pStyle w:val="4"/>
      </w:pPr>
      <w:r>
        <w:t>10.3 算例的初始条件</w:t>
      </w:r>
    </w:p>
    <w:p w14:paraId="619BA623">
      <w:r>
        <w:t>假设任务刚开始时，探测车在第17号20米单元的5米处，速度6米/秒，预算B=120秒。策略输入还包含全部目标单元的观测摘要、各车道队列估计与不确定性、当前路线和可行动作。120秒仅用于算术演示，不是实际场景推荐预算。</w:t>
      </w:r>
    </w:p>
    <w:p w14:paraId="3A555ED9">
      <w:r>
        <w:t>策略选择CONTINUE，继续前方合法片段。驾驶模块在这一秒内保持约6米/秒前进，其他车辆和信号正常演化。此例假设没有碰撞、特殊成本或终点附加项。</w:t>
      </w:r>
    </w:p>
    <w:p w14:paraId="746111C7">
      <w:pPr>
        <w:pStyle w:val="4"/>
      </w:pPr>
      <w:r>
        <w:t>10.4 这一秒发生的事情</w:t>
      </w:r>
    </w:p>
    <w:p w14:paraId="3995D460">
      <w:pPr>
        <w:pStyle w:val="15"/>
        <w:keepNext/>
      </w:pPr>
      <w:r>
        <w:t>表 14  任务时间 / 单元编号</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1650"/>
        <w:gridCol w:w="1510"/>
        <w:gridCol w:w="1750"/>
        <w:gridCol w:w="2810"/>
        <w:gridCol w:w="1640"/>
      </w:tblGrid>
      <w:tr w14:paraId="767B0EF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1650" w:type="dxa"/>
            <w:shd w:val="clear" w:color="auto" w:fill="E8EEF5"/>
            <w:tcMar>
              <w:top w:w="80" w:type="dxa"/>
              <w:left w:w="120" w:type="dxa"/>
              <w:bottom w:w="80" w:type="dxa"/>
              <w:right w:w="120" w:type="dxa"/>
            </w:tcMar>
            <w:vAlign w:val="center"/>
          </w:tcPr>
          <w:p w14:paraId="2DDD07CF">
            <w:pPr>
              <w:pStyle w:val="164"/>
              <w:keepNext/>
            </w:pPr>
            <w:r>
              <w:rPr>
                <w:b/>
              </w:rPr>
              <w:t>任务时间</w:t>
            </w:r>
          </w:p>
        </w:tc>
        <w:tc>
          <w:tcPr>
            <w:tcW w:w="1510" w:type="dxa"/>
            <w:shd w:val="clear" w:color="auto" w:fill="E8EEF5"/>
            <w:tcMar>
              <w:top w:w="80" w:type="dxa"/>
              <w:left w:w="120" w:type="dxa"/>
              <w:bottom w:w="80" w:type="dxa"/>
              <w:right w:w="120" w:type="dxa"/>
            </w:tcMar>
            <w:vAlign w:val="center"/>
          </w:tcPr>
          <w:p w14:paraId="62857CF9">
            <w:pPr>
              <w:pStyle w:val="164"/>
              <w:keepNext/>
              <w:jc w:val="center"/>
            </w:pPr>
            <w:r>
              <w:rPr>
                <w:b/>
              </w:rPr>
              <w:t>单元编号</w:t>
            </w:r>
          </w:p>
        </w:tc>
        <w:tc>
          <w:tcPr>
            <w:tcW w:w="1750" w:type="dxa"/>
            <w:shd w:val="clear" w:color="auto" w:fill="E8EEF5"/>
            <w:tcMar>
              <w:top w:w="80" w:type="dxa"/>
              <w:left w:w="120" w:type="dxa"/>
              <w:bottom w:w="80" w:type="dxa"/>
              <w:right w:w="120" w:type="dxa"/>
            </w:tcMar>
            <w:vAlign w:val="center"/>
          </w:tcPr>
          <w:p w14:paraId="190CA371">
            <w:pPr>
              <w:pStyle w:val="164"/>
              <w:keepNext/>
            </w:pPr>
            <w:r>
              <w:rPr>
                <w:b/>
              </w:rPr>
              <w:t>单元内位置</w:t>
            </w:r>
          </w:p>
        </w:tc>
        <w:tc>
          <w:tcPr>
            <w:tcW w:w="2810" w:type="dxa"/>
            <w:shd w:val="clear" w:color="auto" w:fill="E8EEF5"/>
            <w:tcMar>
              <w:top w:w="80" w:type="dxa"/>
              <w:left w:w="120" w:type="dxa"/>
              <w:bottom w:w="80" w:type="dxa"/>
              <w:right w:w="120" w:type="dxa"/>
            </w:tcMar>
            <w:vAlign w:val="center"/>
          </w:tcPr>
          <w:p w14:paraId="07F80AF6">
            <w:pPr>
              <w:pStyle w:val="164"/>
              <w:keepNext/>
            </w:pPr>
            <w:r>
              <w:rPr>
                <w:b/>
              </w:rPr>
              <w:t>观测与估计</w:t>
            </w:r>
          </w:p>
        </w:tc>
        <w:tc>
          <w:tcPr>
            <w:tcW w:w="1640" w:type="dxa"/>
            <w:shd w:val="clear" w:color="auto" w:fill="E8EEF5"/>
            <w:tcMar>
              <w:top w:w="80" w:type="dxa"/>
              <w:left w:w="120" w:type="dxa"/>
              <w:bottom w:w="80" w:type="dxa"/>
              <w:right w:w="120" w:type="dxa"/>
            </w:tcMar>
            <w:vAlign w:val="center"/>
          </w:tcPr>
          <w:p w14:paraId="7C68C675">
            <w:pPr>
              <w:pStyle w:val="164"/>
              <w:keepNext/>
              <w:jc w:val="center"/>
            </w:pPr>
            <w:r>
              <w:rPr>
                <w:b/>
              </w:rPr>
              <w:t>本时刻误差</w:t>
            </w:r>
          </w:p>
        </w:tc>
      </w:tr>
      <w:tr w14:paraId="37DEBFF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72BB42D1">
            <w:pPr>
              <w:pStyle w:val="164"/>
            </w:pPr>
            <w:r>
              <w:t>0秒</w:t>
            </w:r>
          </w:p>
        </w:tc>
        <w:tc>
          <w:tcPr>
            <w:tcW w:w="1510" w:type="dxa"/>
            <w:tcMar>
              <w:top w:w="80" w:type="dxa"/>
              <w:left w:w="120" w:type="dxa"/>
              <w:bottom w:w="80" w:type="dxa"/>
              <w:right w:w="120" w:type="dxa"/>
            </w:tcMar>
            <w:vAlign w:val="center"/>
          </w:tcPr>
          <w:p w14:paraId="6E487F63">
            <w:pPr>
              <w:pStyle w:val="164"/>
              <w:jc w:val="center"/>
            </w:pPr>
            <w:r>
              <w:t>17</w:t>
            </w:r>
          </w:p>
        </w:tc>
        <w:tc>
          <w:tcPr>
            <w:tcW w:w="1750" w:type="dxa"/>
            <w:tcMar>
              <w:top w:w="80" w:type="dxa"/>
              <w:left w:w="120" w:type="dxa"/>
              <w:bottom w:w="80" w:type="dxa"/>
              <w:right w:w="120" w:type="dxa"/>
            </w:tcMar>
            <w:vAlign w:val="center"/>
          </w:tcPr>
          <w:p w14:paraId="48E7D655">
            <w:pPr>
              <w:pStyle w:val="164"/>
            </w:pPr>
            <w:r>
              <w:t>5米</w:t>
            </w:r>
          </w:p>
        </w:tc>
        <w:tc>
          <w:tcPr>
            <w:tcW w:w="2810" w:type="dxa"/>
            <w:tcMar>
              <w:top w:w="80" w:type="dxa"/>
              <w:left w:w="120" w:type="dxa"/>
              <w:bottom w:w="80" w:type="dxa"/>
              <w:right w:w="120" w:type="dxa"/>
            </w:tcMar>
            <w:vAlign w:val="center"/>
          </w:tcPr>
          <w:p w14:paraId="538AE613">
            <w:pPr>
              <w:pStyle w:val="164"/>
            </w:pPr>
            <w:r>
              <w:t>初始输入已交给策略</w:t>
            </w:r>
          </w:p>
        </w:tc>
        <w:tc>
          <w:tcPr>
            <w:tcW w:w="1640" w:type="dxa"/>
            <w:tcMar>
              <w:top w:w="80" w:type="dxa"/>
              <w:left w:w="120" w:type="dxa"/>
              <w:bottom w:w="80" w:type="dxa"/>
              <w:right w:w="120" w:type="dxa"/>
            </w:tcMar>
            <w:vAlign w:val="center"/>
          </w:tcPr>
          <w:p w14:paraId="2D9D8417">
            <w:pPr>
              <w:pStyle w:val="164"/>
              <w:jc w:val="center"/>
            </w:pPr>
            <w:r>
              <w:t>不用于动作之后的奖励</w:t>
            </w:r>
          </w:p>
        </w:tc>
      </w:tr>
      <w:tr w14:paraId="06EABAD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320FCADC">
            <w:pPr>
              <w:pStyle w:val="164"/>
            </w:pPr>
            <w:r>
              <w:t>0.5秒</w:t>
            </w:r>
          </w:p>
        </w:tc>
        <w:tc>
          <w:tcPr>
            <w:tcW w:w="1510" w:type="dxa"/>
            <w:tcMar>
              <w:top w:w="80" w:type="dxa"/>
              <w:left w:w="120" w:type="dxa"/>
              <w:bottom w:w="80" w:type="dxa"/>
              <w:right w:w="120" w:type="dxa"/>
            </w:tcMar>
            <w:vAlign w:val="center"/>
          </w:tcPr>
          <w:p w14:paraId="3AB49176">
            <w:pPr>
              <w:pStyle w:val="164"/>
              <w:jc w:val="center"/>
            </w:pPr>
            <w:r>
              <w:t>17</w:t>
            </w:r>
          </w:p>
        </w:tc>
        <w:tc>
          <w:tcPr>
            <w:tcW w:w="1750" w:type="dxa"/>
            <w:tcMar>
              <w:top w:w="80" w:type="dxa"/>
              <w:left w:w="120" w:type="dxa"/>
              <w:bottom w:w="80" w:type="dxa"/>
              <w:right w:w="120" w:type="dxa"/>
            </w:tcMar>
            <w:vAlign w:val="center"/>
          </w:tcPr>
          <w:p w14:paraId="3A483D17">
            <w:pPr>
              <w:pStyle w:val="164"/>
            </w:pPr>
            <w:r>
              <w:t>8米</w:t>
            </w:r>
          </w:p>
        </w:tc>
        <w:tc>
          <w:tcPr>
            <w:tcW w:w="2810" w:type="dxa"/>
            <w:tcMar>
              <w:top w:w="80" w:type="dxa"/>
              <w:left w:w="120" w:type="dxa"/>
              <w:bottom w:w="80" w:type="dxa"/>
              <w:right w:w="120" w:type="dxa"/>
            </w:tcMar>
            <w:vAlign w:val="center"/>
          </w:tcPr>
          <w:p w14:paraId="3F253ACB">
            <w:pPr>
              <w:pStyle w:val="164"/>
            </w:pPr>
            <w:r>
              <w:t>新观测并更新当前估计</w:t>
            </w:r>
          </w:p>
        </w:tc>
        <w:tc>
          <w:tcPr>
            <w:tcW w:w="1640" w:type="dxa"/>
            <w:tcMar>
              <w:top w:w="80" w:type="dxa"/>
              <w:left w:w="120" w:type="dxa"/>
              <w:bottom w:w="80" w:type="dxa"/>
              <w:right w:w="120" w:type="dxa"/>
            </w:tcMar>
            <w:vAlign w:val="center"/>
          </w:tcPr>
          <w:p w14:paraId="31DFB0E5">
            <w:pPr>
              <w:pStyle w:val="164"/>
              <w:jc w:val="center"/>
            </w:pPr>
            <w:r>
              <w:t>4.25米</w:t>
            </w:r>
          </w:p>
        </w:tc>
      </w:tr>
      <w:tr w14:paraId="38AA4FA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0FC5638C">
            <w:pPr>
              <w:pStyle w:val="164"/>
            </w:pPr>
            <w:r>
              <w:t>1.0秒</w:t>
            </w:r>
          </w:p>
        </w:tc>
        <w:tc>
          <w:tcPr>
            <w:tcW w:w="1510" w:type="dxa"/>
            <w:tcMar>
              <w:top w:w="80" w:type="dxa"/>
              <w:left w:w="120" w:type="dxa"/>
              <w:bottom w:w="80" w:type="dxa"/>
              <w:right w:w="120" w:type="dxa"/>
            </w:tcMar>
            <w:vAlign w:val="center"/>
          </w:tcPr>
          <w:p w14:paraId="5B92955A">
            <w:pPr>
              <w:pStyle w:val="164"/>
              <w:jc w:val="center"/>
            </w:pPr>
            <w:r>
              <w:t>17</w:t>
            </w:r>
          </w:p>
        </w:tc>
        <w:tc>
          <w:tcPr>
            <w:tcW w:w="1750" w:type="dxa"/>
            <w:tcMar>
              <w:top w:w="80" w:type="dxa"/>
              <w:left w:w="120" w:type="dxa"/>
              <w:bottom w:w="80" w:type="dxa"/>
              <w:right w:w="120" w:type="dxa"/>
            </w:tcMar>
            <w:vAlign w:val="center"/>
          </w:tcPr>
          <w:p w14:paraId="28D43638">
            <w:pPr>
              <w:pStyle w:val="164"/>
            </w:pPr>
            <w:r>
              <w:t>11米</w:t>
            </w:r>
          </w:p>
        </w:tc>
        <w:tc>
          <w:tcPr>
            <w:tcW w:w="2810" w:type="dxa"/>
            <w:tcMar>
              <w:top w:w="80" w:type="dxa"/>
              <w:left w:w="120" w:type="dxa"/>
              <w:bottom w:w="80" w:type="dxa"/>
              <w:right w:w="120" w:type="dxa"/>
            </w:tcMar>
            <w:vAlign w:val="center"/>
          </w:tcPr>
          <w:p w14:paraId="2F936ADF">
            <w:pPr>
              <w:pStyle w:val="164"/>
            </w:pPr>
            <w:r>
              <w:t>再次更新并形成下一输入</w:t>
            </w:r>
          </w:p>
        </w:tc>
        <w:tc>
          <w:tcPr>
            <w:tcW w:w="1640" w:type="dxa"/>
            <w:tcMar>
              <w:top w:w="80" w:type="dxa"/>
              <w:left w:w="120" w:type="dxa"/>
              <w:bottom w:w="80" w:type="dxa"/>
              <w:right w:w="120" w:type="dxa"/>
            </w:tcMar>
            <w:vAlign w:val="center"/>
          </w:tcPr>
          <w:p w14:paraId="5D0B7C8E">
            <w:pPr>
              <w:pStyle w:val="164"/>
              <w:jc w:val="center"/>
            </w:pPr>
            <w:r>
              <w:t>3.75米</w:t>
            </w:r>
          </w:p>
        </w:tc>
      </w:tr>
    </w:tbl>
    <w:p w14:paraId="1D855202">
      <w:pPr>
        <w:pStyle w:val="165"/>
      </w:pPr>
    </w:p>
    <w:p w14:paraId="08758E04">
      <w:r>
        <w:t>奖励使用动作执行后的评价时刻。两个半秒区间的误差积分近似为0.5×4.25+0.5×3.75=4.00米·秒。按第11章的标准化任务奖励，L_ref=100米，r_k=−4/(120×100)=−0.0003333。</w:t>
      </w:r>
    </w:p>
    <w:p w14:paraId="1710237F">
      <w:r>
        <w:t>如果采用另一种便于解释的写法，可得到−0.04，它等于这一秒平均误差除以100米后取负。本手册正式目标额外除以固定预算120秒。预算固定且其他奖励权重同步缩放时，两种整体常数缩放不改变回报排序；比较不同预算或混合其他项时不能随意混用。</w:t>
      </w:r>
    </w:p>
    <w:p w14:paraId="34826465">
      <w:pPr>
        <w:pStyle w:val="4"/>
      </w:pPr>
      <w:r>
        <w:t>10.5 样本里保存什么</w:t>
      </w:r>
    </w:p>
    <w:p w14:paraId="4847D74A">
      <w:r>
        <w:t>这一秒结束形成(o_k,a_k,r_k,o_{k+1},terminated,truncated)。位置编号仍为17，但单元内位置、信息表、预测和剩余预算已变化。PPO还保存旧动作对数概率、价值预测、动作掩码、候选快照，以及需要时的循环状态。</w:t>
      </w:r>
    </w:p>
    <w:p w14:paraId="13814D3B">
      <w:r>
        <w:t>仿真微步轨迹和传感器包可以另外保存为研究日志。它们不是每一条都必须变成PPO决策样本。原始测量频率、估计更新频率和策略采样频率应通过时间戳关联，而不通过文件行号默认对应。</w:t>
      </w:r>
    </w:p>
    <w:p w14:paraId="1CF737B3">
      <w:pPr>
        <w:pStyle w:val="4"/>
      </w:pPr>
      <w:r>
        <w:t>10.6 原地等待也可能获取信息</w:t>
      </w:r>
    </w:p>
    <w:p w14:paraId="32D971A8">
      <w:r>
        <w:t>红灯等待时，周围车辆会到达、离开或改变遮挡。只要传感器生成有效观测，估计器就能更新。静止不自动意味着没有信息，也不自动意味着应当奖励等待。实际价值由任务估计和成本共同评价。</w:t>
      </w:r>
    </w:p>
    <w:p w14:paraId="71A7789E">
      <w:r>
        <w:t>反复停留或慢行可能扰动交通，甚至使目标状态更容易预测。需要限制不合理驾驶、固定首版纵向控制，并在评测中报告扰动。观察收益和主动改变交通的效果应尽可能区分。</w:t>
      </w:r>
    </w:p>
    <w:p w14:paraId="437B657A">
      <w:pPr>
        <w:pStyle w:val="3"/>
        <w:pageBreakBefore/>
      </w:pPr>
      <w:bookmarkStart w:id="12" w:name="chapter_11"/>
      <w:r>
        <w:t>11 目标函数、逐步奖励与信息价值</w:t>
      </w:r>
      <w:bookmarkEnd w:id="12"/>
    </w:p>
    <w:p w14:paraId="42FB3675">
      <w:pPr>
        <w:pStyle w:val="4"/>
      </w:pPr>
      <w:r>
        <w:t>11.1 先定义可解释的误差</w:t>
      </w:r>
    </w:p>
    <w:p w14:paraId="1FE564C4">
      <w:r>
        <w:t>主误差采用M条目标车道排队长度的平均绝对误差，单位为米。权重若不相同，需明确是否强调主路、关键进口或最差方向。零排队时的百分比误差容易不稳定，首版不建议把MAPE作为主指标。</w:t>
      </w:r>
    </w:p>
    <w:p w14:paraId="0D75ADEC">
      <w:pPr>
        <w:pStyle w:val="167"/>
        <w:keepNext/>
      </w:pPr>
      <m:oMathPara>
        <m:oMath>
          <m:r>
            <m:rPr/>
            <w:rPr>
              <w:rFonts w:ascii="Cambria Math" w:hAnsi="Cambria Math" w:eastAsia="Noto Sans CJK SC"/>
            </w:rPr>
            <m:t xml:space="preserve">E(t) = </m:t>
          </m:r>
          <m:f>
            <m:fPr/>
            <m:num>
              <m:r>
                <m:rPr/>
                <w:rPr>
                  <w:rFonts w:ascii="Cambria Math" w:hAnsi="Cambria Math" w:eastAsia="Noto Sans CJK SC"/>
                </w:rPr>
                <m:t>1</m:t>
              </m:r>
            </m:num>
            <m:den>
              <m:r>
                <m:rPr/>
                <w:rPr>
                  <w:rFonts w:ascii="Cambria Math" w:hAnsi="Cambria Math" w:eastAsia="Noto Sans CJK SC"/>
                </w:rPr>
                <m:t>M</m:t>
              </m:r>
            </m:den>
          </m:f>
          <m:nary>
            <m:naryPr>
              <m:chr m:val="∑"/>
              <m:limLoc m:val="undOvr"/>
            </m:naryPr>
            <m:sub>
              <m:r>
                <m:rPr/>
                <w:rPr>
                  <w:rFonts w:ascii="Cambria Math" w:hAnsi="Cambria Math" w:eastAsia="Noto Sans CJK SC"/>
                </w:rPr>
                <m:t>ℓ=1</m:t>
              </m:r>
            </m:sub>
            <m:sup>
              <m:r>
                <m:rPr/>
                <w:rPr>
                  <w:rFonts w:ascii="Cambria Math" w:hAnsi="Cambria Math" w:eastAsia="Noto Sans CJK SC"/>
                </w:rPr>
                <m:t>M</m:t>
              </m:r>
            </m:sup>
            <m:e>
              <m:r>
                <m:rPr/>
                <w:rPr>
                  <w:rFonts w:ascii="Cambria Math" w:hAnsi="Cambria Math" w:eastAsia="Noto Sans CJK SC"/>
                </w:rPr>
                <m:t>|</m:t>
              </m:r>
              <m:acc>
                <m:accPr/>
                <m:e>
                  <m:sSub>
                    <m:sSubPr/>
                    <m:e>
                      <m:r>
                        <m:rPr/>
                        <w:rPr>
                          <w:rFonts w:ascii="Cambria Math" w:hAnsi="Cambria Math" w:eastAsia="Noto Sans CJK SC"/>
                        </w:rPr>
                        <m:t>L</m:t>
                      </m:r>
                    </m:e>
                    <m:sub>
                      <m:r>
                        <m:rPr/>
                        <w:rPr>
                          <w:rFonts w:ascii="Cambria Math" w:hAnsi="Cambria Math" w:eastAsia="Noto Sans CJK SC"/>
                        </w:rPr>
                        <m:t>ℓ</m:t>
                      </m:r>
                    </m:sub>
                  </m:sSub>
                </m:e>
              </m:acc>
              <m:r>
                <m:rPr/>
                <w:rPr>
                  <w:rFonts w:ascii="Cambria Math" w:hAnsi="Cambria Math" w:eastAsia="Noto Sans CJK SC"/>
                </w:rPr>
                <m:t xml:space="preserve">(t) − </m:t>
              </m:r>
              <m:sSub>
                <m:sSubPr/>
                <m:e>
                  <m:r>
                    <m:rPr/>
                    <w:rPr>
                      <w:rFonts w:ascii="Cambria Math" w:hAnsi="Cambria Math" w:eastAsia="Noto Sans CJK SC"/>
                    </w:rPr>
                    <m:t>L</m:t>
                  </m:r>
                </m:e>
                <m:sub>
                  <m:r>
                    <m:rPr/>
                    <w:rPr>
                      <w:rFonts w:ascii="Cambria Math" w:hAnsi="Cambria Math" w:eastAsia="Noto Sans CJK SC"/>
                    </w:rPr>
                    <m:t>ℓ</m:t>
                  </m:r>
                </m:sub>
              </m:sSub>
              <m:r>
                <m:rPr/>
                <w:rPr>
                  <w:rFonts w:ascii="Cambria Math" w:hAnsi="Cambria Math" w:eastAsia="Noto Sans CJK SC"/>
                </w:rPr>
                <m:t>(t)|</m:t>
              </m:r>
            </m:e>
          </m:nary>
        </m:oMath>
      </m:oMathPara>
    </w:p>
    <w:p w14:paraId="31689F04">
      <w:pPr>
        <w:pStyle w:val="167"/>
      </w:pPr>
      <m:oMath>
        <m:r>
          <m:rPr/>
          <w:rPr>
            <w:rFonts w:ascii="Cambria Math" w:hAnsi="Cambria Math" w:eastAsia="Noto Sans CJK SC"/>
          </w:rPr>
          <m:t xml:space="preserve">e(t) = </m:t>
        </m:r>
        <m:f>
          <m:fPr/>
          <m:num>
            <m:r>
              <m:rPr/>
              <w:rPr>
                <w:rFonts w:ascii="Cambria Math" w:hAnsi="Cambria Math" w:eastAsia="Noto Sans CJK SC"/>
              </w:rPr>
              <m:t>E(t)</m:t>
            </m:r>
          </m:num>
          <m:den>
            <m:sSub>
              <m:sSubPr/>
              <m:e>
                <m:r>
                  <m:rPr/>
                  <w:rPr>
                    <w:rFonts w:ascii="Cambria Math" w:hAnsi="Cambria Math" w:eastAsia="Noto Sans CJK SC"/>
                  </w:rPr>
                  <m:t>L</m:t>
                </m:r>
              </m:e>
              <m:sub>
                <m:r>
                  <m:rPr/>
                  <w:rPr>
                    <w:rFonts w:ascii="Cambria Math" w:hAnsi="Cambria Math" w:eastAsia="Noto Sans CJK SC"/>
                  </w:rPr>
                  <m:t>ref</m:t>
                </m:r>
              </m:sub>
            </m:sSub>
          </m:den>
        </m:f>
      </m:oMath>
      <w:r>
        <w:t xml:space="preserve">   (10)</w:t>
      </w:r>
    </w:p>
    <w:p w14:paraId="4C6350D0">
      <w:r>
        <w:t>以固定物理参考长度L_ref归一化，得到无量纲误差e(t)=E(t)/L_ref。训练误差、评测误差、阈值停止的可靠性指标分开记录。单个标量奖励可以用于优化，但不能替代完整指标报告。</w:t>
      </w:r>
    </w:p>
    <w:p w14:paraId="495DE7D7">
      <w:pPr>
        <w:pStyle w:val="4"/>
      </w:pPr>
      <w:r>
        <w:t>11.2 推荐的有限预算跟踪目标</w:t>
      </w:r>
    </w:p>
    <w:p w14:paraId="077DA176">
      <w:pPr>
        <w:pStyle w:val="167"/>
      </w:pPr>
      <m:oMath>
        <m:r>
          <m:rPr/>
          <w:rPr>
            <w:rFonts w:ascii="Cambria Math" w:hAnsi="Cambria Math" w:eastAsia="Noto Sans CJK SC"/>
          </w:rPr>
          <m:t xml:space="preserve">J(π) = </m:t>
        </m:r>
        <m:sSub>
          <m:sSubPr/>
          <m:e>
            <m:r>
              <m:rPr/>
              <w:rPr>
                <w:rFonts w:ascii="Cambria Math" w:hAnsi="Cambria Math" w:eastAsia="Noto Sans CJK SC"/>
              </w:rPr>
              <m:t>E</m:t>
            </m:r>
          </m:e>
          <m:sub>
            <m:r>
              <m:rPr/>
              <w:rPr>
                <w:rFonts w:ascii="Cambria Math" w:hAnsi="Cambria Math" w:eastAsia="Noto Sans CJK SC"/>
              </w:rPr>
              <m:t>π</m:t>
            </m:r>
          </m:sub>
        </m:sSub>
        <m:r>
          <m:rPr/>
          <w:rPr>
            <w:rFonts w:ascii="Cambria Math" w:hAnsi="Cambria Math" w:eastAsia="Noto Sans CJK SC"/>
          </w:rPr>
          <m:t>[</m:t>
        </m:r>
        <m:f>
          <m:fPr/>
          <m:num>
            <m:r>
              <m:rPr/>
              <w:rPr>
                <w:rFonts w:ascii="Cambria Math" w:hAnsi="Cambria Math" w:eastAsia="Noto Sans CJK SC"/>
              </w:rPr>
              <m:t>1</m:t>
            </m:r>
          </m:num>
          <m:den>
            <m:r>
              <m:rPr/>
              <w:rPr>
                <w:rFonts w:ascii="Cambria Math" w:hAnsi="Cambria Math" w:eastAsia="Noto Sans CJK SC"/>
              </w:rPr>
              <m:t>B</m:t>
            </m:r>
          </m:den>
        </m:f>
        <m:nary>
          <m:naryPr>
            <m:limLoc m:val="undOvr"/>
          </m:naryPr>
          <m:sub>
            <m:r>
              <m:rPr/>
              <w:rPr>
                <w:rFonts w:ascii="Cambria Math" w:hAnsi="Cambria Math" w:eastAsia="Noto Sans CJK SC"/>
              </w:rPr>
              <m:t>0</m:t>
            </m:r>
          </m:sub>
          <m:sup>
            <m:r>
              <m:rPr/>
              <w:rPr>
                <w:rFonts w:ascii="Cambria Math" w:hAnsi="Cambria Math" w:eastAsia="Noto Sans CJK SC"/>
              </w:rPr>
              <m:t>B</m:t>
            </m:r>
          </m:sup>
          <m:e>
            <m:r>
              <m:rPr/>
              <w:rPr>
                <w:rFonts w:ascii="Cambria Math" w:hAnsi="Cambria Math" w:eastAsia="Noto Sans CJK SC"/>
              </w:rPr>
              <m:t>e(t) dt</m:t>
            </m:r>
          </m:e>
        </m:nary>
        <m:r>
          <m:rPr/>
          <w:rPr>
            <w:rFonts w:ascii="Cambria Math" w:hAnsi="Cambria Math" w:eastAsia="Noto Sans CJK SC"/>
          </w:rPr>
          <m:t xml:space="preserve"> + βe(B) + </m:t>
        </m:r>
        <m:sSub>
          <m:sSubPr/>
          <m:e>
            <m:r>
              <m:rPr/>
              <w:rPr>
                <w:rFonts w:ascii="Cambria Math" w:hAnsi="Cambria Math" w:eastAsia="Noto Sans CJK SC"/>
              </w:rPr>
              <m:t>λ</m:t>
            </m:r>
          </m:e>
          <m:sub>
            <m:r>
              <m:rPr/>
              <w:rPr>
                <w:rFonts w:ascii="Cambria Math" w:hAnsi="Cambria Math" w:eastAsia="Noto Sans CJK SC"/>
              </w:rPr>
              <m:t>C</m:t>
            </m:r>
          </m:sub>
        </m:sSub>
        <m:r>
          <m:rPr/>
          <w:rPr>
            <w:rFonts w:ascii="Cambria Math" w:hAnsi="Cambria Math" w:eastAsia="Noto Sans CJK SC"/>
          </w:rPr>
          <m:t xml:space="preserve">C + </m:t>
        </m:r>
        <m:sSub>
          <m:sSubPr/>
          <m:e>
            <m:r>
              <m:rPr/>
              <w:rPr>
                <w:rFonts w:ascii="Cambria Math" w:hAnsi="Cambria Math" w:eastAsia="Noto Sans CJK SC"/>
              </w:rPr>
              <m:t>λ</m:t>
            </m:r>
          </m:e>
          <m:sub>
            <m:r>
              <m:rPr/>
              <w:rPr>
                <w:rFonts w:ascii="Cambria Math" w:hAnsi="Cambria Math" w:eastAsia="Noto Sans CJK SC"/>
              </w:rPr>
              <m:t>D</m:t>
            </m:r>
          </m:sub>
        </m:sSub>
        <m:r>
          <m:rPr/>
          <w:rPr>
            <w:rFonts w:ascii="Cambria Math" w:hAnsi="Cambria Math" w:eastAsia="Noto Sans CJK SC"/>
          </w:rPr>
          <m:t>D]</m:t>
        </m:r>
      </m:oMath>
      <w:r>
        <w:t xml:space="preserve">   (11)</w:t>
      </w:r>
    </w:p>
    <w:p w14:paraId="6A91BDCF">
      <w:r>
        <w:t>J包含整个预算内的平均归一化误差、终点误差、行驶成本C和交通扰动D。β、λ_C和λ_D需在验证集上决定并固定。成本与扰动先分别定义和归一化，避免仅由数值量级决定哪一项支配训练。</w:t>
      </w:r>
    </w:p>
    <w:p w14:paraId="4E3E149F">
      <w:pPr>
        <w:pStyle w:val="170"/>
      </w:pPr>
      <w:r>
        <w:t>【待定 D01、D10、D19】首版可以先固定底层驾驶，优化估计误差并记录成本与扰动；随后再加入明确的约束或权重。不能为了“公式完整”给尚未定义的扰动项随意赋值。</w:t>
      </w:r>
    </w:p>
    <w:p w14:paraId="07694398">
      <w:pPr>
        <w:pStyle w:val="4"/>
      </w:pPr>
      <w:r>
        <w:t>11.3 与目标一致的逐步奖励</w:t>
      </w:r>
    </w:p>
    <w:p w14:paraId="40DA019C">
      <w:r>
        <w:t>每次强化学习步覆盖区间[t_k,t_{k+1}]。内部各评价区间按实际时长δt_j加权。成本C和扰动D如果可分解，就以增量进入本步；仅能在回合末计算的量放在终点。</w:t>
      </w:r>
    </w:p>
    <w:p w14:paraId="4B722ED7">
      <w:pPr>
        <w:pStyle w:val="167"/>
        <w:keepNext/>
      </w:pPr>
      <m:oMathPara>
        <m:oMath>
          <m:sSub>
            <m:sSubPr/>
            <m:e>
              <m:r>
                <m:rPr/>
                <w:rPr>
                  <w:rFonts w:ascii="Cambria Math" w:hAnsi="Cambria Math" w:eastAsia="Noto Sans CJK SC"/>
                </w:rPr>
                <m:t>r</m:t>
              </m:r>
            </m:e>
            <m:sub>
              <m:r>
                <m:rPr/>
                <w:rPr>
                  <w:rFonts w:ascii="Cambria Math" w:hAnsi="Cambria Math" w:eastAsia="Noto Sans CJK SC"/>
                </w:rPr>
                <m:t>k</m:t>
              </m:r>
            </m:sub>
          </m:sSub>
          <m:r>
            <m:rPr/>
            <w:rPr>
              <w:rFonts w:ascii="Cambria Math" w:hAnsi="Cambria Math" w:eastAsia="Noto Sans CJK SC"/>
            </w:rPr>
            <m:t xml:space="preserve"> = −</m:t>
          </m:r>
          <m:f>
            <m:fPr/>
            <m:num>
              <m:r>
                <m:rPr/>
                <w:rPr>
                  <w:rFonts w:ascii="Cambria Math" w:hAnsi="Cambria Math" w:eastAsia="Noto Sans CJK SC"/>
                </w:rPr>
                <m:t>1</m:t>
              </m:r>
            </m:num>
            <m:den>
              <m:r>
                <m:rPr/>
                <w:rPr>
                  <w:rFonts w:ascii="Cambria Math" w:hAnsi="Cambria Math" w:eastAsia="Noto Sans CJK SC"/>
                </w:rPr>
                <m:t>B</m:t>
              </m:r>
            </m:den>
          </m:f>
          <m:nary>
            <m:naryPr>
              <m:chr m:val="∑"/>
              <m:limLoc m:val="undOvr"/>
              <m:supHide m:val="1"/>
            </m:naryPr>
            <m:sub>
              <m:r>
                <m:rPr/>
                <w:rPr>
                  <w:rFonts w:ascii="Cambria Math" w:hAnsi="Cambria Math" w:eastAsia="Noto Sans CJK SC"/>
                </w:rPr>
                <m:t>j∈</m:t>
              </m:r>
              <m:sSub>
                <m:sSubPr/>
                <m:e>
                  <m:r>
                    <m:rPr/>
                    <w:rPr>
                      <w:rFonts w:ascii="Cambria Math" w:hAnsi="Cambria Math" w:eastAsia="Noto Sans CJK SC"/>
                    </w:rPr>
                    <m:t>I</m:t>
                  </m:r>
                </m:e>
                <m:sub>
                  <m:r>
                    <m:rPr/>
                    <w:rPr>
                      <w:rFonts w:ascii="Cambria Math" w:hAnsi="Cambria Math" w:eastAsia="Noto Sans CJK SC"/>
                    </w:rPr>
                    <m:t>k</m:t>
                  </m:r>
                </m:sub>
              </m:sSub>
            </m:sub>
            <m:sup/>
            <m:e>
              <m:r>
                <m:rPr/>
                <w:rPr>
                  <w:rFonts w:ascii="Cambria Math" w:hAnsi="Cambria Math" w:eastAsia="Noto Sans CJK SC"/>
                </w:rPr>
                <m:t>e(</m:t>
              </m:r>
              <m:sSub>
                <m:sSubPr/>
                <m:e>
                  <m:r>
                    <m:rPr/>
                    <w:rPr>
                      <w:rFonts w:ascii="Cambria Math" w:hAnsi="Cambria Math" w:eastAsia="Noto Sans CJK SC"/>
                    </w:rPr>
                    <m:t>t</m:t>
                  </m:r>
                </m:e>
                <m:sub>
                  <m:r>
                    <m:rPr/>
                    <w:rPr>
                      <w:rFonts w:ascii="Cambria Math" w:hAnsi="Cambria Math" w:eastAsia="Noto Sans CJK SC"/>
                    </w:rPr>
                    <m:t>j</m:t>
                  </m:r>
                </m:sub>
              </m:sSub>
              <m:r>
                <m:rPr/>
                <w:rPr>
                  <w:rFonts w:ascii="Cambria Math" w:hAnsi="Cambria Math" w:eastAsia="Noto Sans CJK SC"/>
                </w:rPr>
                <m:t>) δ</m:t>
              </m:r>
              <m:sSub>
                <m:sSubPr/>
                <m:e>
                  <m:r>
                    <m:rPr/>
                    <w:rPr>
                      <w:rFonts w:ascii="Cambria Math" w:hAnsi="Cambria Math" w:eastAsia="Noto Sans CJK SC"/>
                    </w:rPr>
                    <m:t>t</m:t>
                  </m:r>
                </m:e>
                <m:sub>
                  <m:r>
                    <m:rPr/>
                    <w:rPr>
                      <w:rFonts w:ascii="Cambria Math" w:hAnsi="Cambria Math" w:eastAsia="Noto Sans CJK SC"/>
                    </w:rPr>
                    <m:t>j</m:t>
                  </m:r>
                </m:sub>
              </m:sSub>
            </m:e>
          </m:nary>
          <m:r>
            <m:rPr/>
            <w:rPr>
              <w:rFonts w:ascii="Cambria Math" w:hAnsi="Cambria Math" w:eastAsia="Noto Sans CJK SC"/>
            </w:rPr>
            <m:t xml:space="preserve"> − </m:t>
          </m:r>
          <m:sSub>
            <m:sSubPr/>
            <m:e>
              <m:r>
                <m:rPr/>
                <w:rPr>
                  <w:rFonts w:ascii="Cambria Math" w:hAnsi="Cambria Math" w:eastAsia="Noto Sans CJK SC"/>
                </w:rPr>
                <m:t>λ</m:t>
              </m:r>
            </m:e>
            <m:sub>
              <m:r>
                <m:rPr/>
                <w:rPr>
                  <w:rFonts w:ascii="Cambria Math" w:hAnsi="Cambria Math" w:eastAsia="Noto Sans CJK SC"/>
                </w:rPr>
                <m:t>C</m:t>
              </m:r>
            </m:sub>
          </m:sSub>
          <m:r>
            <m:rPr/>
            <w:rPr>
              <w:rFonts w:ascii="Cambria Math" w:hAnsi="Cambria Math" w:eastAsia="Noto Sans CJK SC"/>
            </w:rPr>
            <m:t>Δ</m:t>
          </m:r>
          <m:sSub>
            <m:sSubPr/>
            <m:e>
              <m:r>
                <m:rPr/>
                <w:rPr>
                  <w:rFonts w:ascii="Cambria Math" w:hAnsi="Cambria Math" w:eastAsia="Noto Sans CJK SC"/>
                </w:rPr>
                <m:t>C</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λ</m:t>
              </m:r>
            </m:e>
            <m:sub>
              <m:r>
                <m:rPr/>
                <w:rPr>
                  <w:rFonts w:ascii="Cambria Math" w:hAnsi="Cambria Math" w:eastAsia="Noto Sans CJK SC"/>
                </w:rPr>
                <m:t>D</m:t>
              </m:r>
            </m:sub>
          </m:sSub>
          <m:r>
            <m:rPr/>
            <w:rPr>
              <w:rFonts w:ascii="Cambria Math" w:hAnsi="Cambria Math" w:eastAsia="Noto Sans CJK SC"/>
            </w:rPr>
            <m:t>Δ</m:t>
          </m:r>
          <m:sSub>
            <m:sSubPr/>
            <m:e>
              <m:r>
                <m:rPr/>
                <w:rPr>
                  <w:rFonts w:ascii="Cambria Math" w:hAnsi="Cambria Math" w:eastAsia="Noto Sans CJK SC"/>
                </w:rPr>
                <m:t>D</m:t>
              </m:r>
            </m:e>
            <m:sub>
              <m:r>
                <m:rPr/>
                <w:rPr>
                  <w:rFonts w:ascii="Cambria Math" w:hAnsi="Cambria Math" w:eastAsia="Noto Sans CJK SC"/>
                </w:rPr>
                <m:t>k</m:t>
              </m:r>
            </m:sub>
          </m:sSub>
        </m:oMath>
      </m:oMathPara>
    </w:p>
    <w:p w14:paraId="42940138">
      <w:pPr>
        <w:pStyle w:val="167"/>
      </w:pPr>
      <m:oMath>
        <m:sSub>
          <m:sSubPr/>
          <m:e>
            <m:r>
              <m:rPr/>
              <w:rPr>
                <w:rFonts w:ascii="Cambria Math" w:hAnsi="Cambria Math" w:eastAsia="Noto Sans CJK SC"/>
              </w:rPr>
              <m:t>r</m:t>
            </m:r>
          </m:e>
          <m:sub>
            <m:r>
              <m:rPr/>
              <w:rPr>
                <w:rFonts w:ascii="Cambria Math" w:hAnsi="Cambria Math" w:eastAsia="Noto Sans CJK SC"/>
              </w:rPr>
              <m:t>terminal</m:t>
            </m:r>
          </m:sub>
        </m:sSub>
        <m:r>
          <m:rPr/>
          <w:rPr>
            <w:rFonts w:ascii="Cambria Math" w:hAnsi="Cambria Math" w:eastAsia="Noto Sans CJK SC"/>
          </w:rPr>
          <m:t xml:space="preserve"> = −βe(B)</m:t>
        </m:r>
      </m:oMath>
      <w:r>
        <w:t xml:space="preserve">   (12)</w:t>
      </w:r>
    </w:p>
    <w:p w14:paraId="4A65AC1B">
      <w:r>
        <w:t>终点增加−βe(B)。对有限预算任务，使用γ=1时，正常完整回合累计奖励的期望，对应离散积分近似下的−J。单次回报是这一目标的一次随机样本。若加其他奖励或采用γ小于1，就要重新解释目标，而不是仍声称严格优化同一个无折扣J。</w:t>
      </w:r>
    </w:p>
    <w:p w14:paraId="4B4E9339">
      <w:r>
        <w:t>在长绕行问题中，折扣选择尤其重要。例如以1秒为一步时，γ=0.99对180秒后的奖励权重约为0.164；若把基础步改成0.1秒却仍用0.99，同样物理时长的权重会极小。时间步改变必须连同折扣一起考虑。</w:t>
      </w:r>
    </w:p>
    <w:p w14:paraId="2FC05FDA">
      <w:pPr>
        <w:pStyle w:val="4"/>
      </w:pPr>
      <w:r>
        <w:t>11.4 只有终点奖励的分支</w:t>
      </w:r>
    </w:p>
    <w:p w14:paraId="6F733F86">
      <w:r>
        <w:t>如果目标是作业结束时的交通估计，可以将主误差项设为e(B)，中途只累计必要成本。这是一个有效强化学习任务，但长期归因更困难。连续驾驶或连续观测不强制要求终点稀疏奖励。</w:t>
      </w:r>
    </w:p>
    <w:p w14:paraId="16CFEAC1">
      <w:r>
        <w:t>为了学习便利加入过程误差，意味着任务开始同时关注过程中表现。若希望增加辅助反馈且保留原任务最优策略，需要满足相应奖励塑形条件及终点处理，不能任意加入“新格奖励”就声称目标不变。首版可直接比较两种明确任务，不必先引入复杂塑形。</w:t>
      </w:r>
    </w:p>
    <w:p w14:paraId="56435F27">
      <w:pPr>
        <w:pStyle w:val="4"/>
      </w:pPr>
      <w:r>
        <w:t>11.5 同一时刻的信息增益</w:t>
      </w:r>
    </w:p>
    <w:p w14:paraId="21340A62">
      <w:r>
        <w:t>新增观测的效果应在同一目标时刻比较先验预测与观测后的后验估计。用昨天的误差减今天的误差，混合了交通变化、模型预测和新观测贡献，不能全部称为信息增益。</w:t>
      </w:r>
    </w:p>
    <w:p w14:paraId="67EBC123">
      <w:pPr>
        <w:pStyle w:val="167"/>
      </w:pPr>
      <m:oMath>
        <m:sSub>
          <m:sSubPr/>
          <m:e>
            <m:r>
              <m:rPr/>
              <w:rPr>
                <w:rFonts w:ascii="Cambria Math" w:hAnsi="Cambria Math" w:eastAsia="Noto Sans CJK SC"/>
              </w:rPr>
              <m:t>g</m:t>
            </m:r>
          </m:e>
          <m:sub>
            <m:r>
              <m:rPr/>
              <w:rPr>
                <w:rFonts w:ascii="Cambria Math" w:hAnsi="Cambria Math" w:eastAsia="Noto Sans CJK SC"/>
              </w:rPr>
              <m:t>j</m:t>
            </m:r>
          </m:sub>
        </m:sSub>
        <m:r>
          <m:rPr/>
          <w:rPr>
            <w:rFonts w:ascii="Cambria Math" w:hAnsi="Cambria Math" w:eastAsia="Noto Sans CJK SC"/>
          </w:rPr>
          <m:t xml:space="preserve"> = ℓ(</m:t>
        </m:r>
        <m:sSubSup>
          <m:sSubSupPr/>
          <m:e>
            <m:acc>
              <m:accPr/>
              <m:e>
                <m:r>
                  <m:rPr/>
                  <w:rPr>
                    <w:rFonts w:ascii="Cambria Math" w:hAnsi="Cambria Math" w:eastAsia="Noto Sans CJK SC"/>
                  </w:rPr>
                  <m:t>Y</m:t>
                </m:r>
              </m:e>
            </m:acc>
          </m:e>
          <m:sub>
            <m:r>
              <m:rPr/>
              <w:rPr>
                <w:rFonts w:ascii="Cambria Math" w:hAnsi="Cambria Math" w:eastAsia="Noto Sans CJK SC"/>
              </w:rPr>
              <m:t>j</m:t>
            </m:r>
          </m:sub>
          <m:sup>
            <m:r>
              <m:rPr/>
              <w:rPr>
                <w:rFonts w:ascii="Cambria Math" w:hAnsi="Cambria Math" w:eastAsia="Noto Sans CJK SC"/>
              </w:rPr>
              <m:t>−</m:t>
            </m:r>
          </m:sup>
        </m:sSubSup>
        <m:r>
          <m:rPr/>
          <w:rPr>
            <w:rFonts w:ascii="Cambria Math" w:hAnsi="Cambria Math" w:eastAsia="Noto Sans CJK SC"/>
          </w:rPr>
          <m:t xml:space="preserve">, </m:t>
        </m:r>
        <m:sSub>
          <m:sSubPr/>
          <m:e>
            <m:r>
              <m:rPr/>
              <w:rPr>
                <w:rFonts w:ascii="Cambria Math" w:hAnsi="Cambria Math" w:eastAsia="Noto Sans CJK SC"/>
              </w:rPr>
              <m:t>Y</m:t>
            </m:r>
          </m:e>
          <m:sub>
            <m:r>
              <m:rPr/>
              <w:rPr>
                <w:rFonts w:ascii="Cambria Math" w:hAnsi="Cambria Math" w:eastAsia="Noto Sans CJK SC"/>
              </w:rPr>
              <m:t>j</m:t>
            </m:r>
          </m:sub>
        </m:sSub>
        <m:r>
          <m:rPr/>
          <w:rPr>
            <w:rFonts w:ascii="Cambria Math" w:hAnsi="Cambria Math" w:eastAsia="Noto Sans CJK SC"/>
          </w:rPr>
          <m:t>) − ℓ(</m:t>
        </m:r>
        <m:sSubSup>
          <m:sSubSupPr/>
          <m:e>
            <m:acc>
              <m:accPr/>
              <m:e>
                <m:r>
                  <m:rPr/>
                  <w:rPr>
                    <w:rFonts w:ascii="Cambria Math" w:hAnsi="Cambria Math" w:eastAsia="Noto Sans CJK SC"/>
                  </w:rPr>
                  <m:t>Y</m:t>
                </m:r>
              </m:e>
            </m:acc>
          </m:e>
          <m:sub>
            <m:r>
              <m:rPr/>
              <w:rPr>
                <w:rFonts w:ascii="Cambria Math" w:hAnsi="Cambria Math" w:eastAsia="Noto Sans CJK SC"/>
              </w:rPr>
              <m:t>j</m:t>
            </m:r>
          </m:sub>
          <m:sup>
            <m:r>
              <m:rPr/>
              <w:rPr>
                <w:rFonts w:ascii="Cambria Math" w:hAnsi="Cambria Math" w:eastAsia="Noto Sans CJK SC"/>
              </w:rPr>
              <m:t>+</m:t>
            </m:r>
          </m:sup>
        </m:sSubSup>
        <m:r>
          <m:rPr/>
          <w:rPr>
            <w:rFonts w:ascii="Cambria Math" w:hAnsi="Cambria Math" w:eastAsia="Noto Sans CJK SC"/>
          </w:rPr>
          <m:t xml:space="preserve">, </m:t>
        </m:r>
        <m:sSub>
          <m:sSubPr/>
          <m:e>
            <m:r>
              <m:rPr/>
              <w:rPr>
                <w:rFonts w:ascii="Cambria Math" w:hAnsi="Cambria Math" w:eastAsia="Noto Sans CJK SC"/>
              </w:rPr>
              <m:t>Y</m:t>
            </m:r>
          </m:e>
          <m:sub>
            <m:r>
              <m:rPr/>
              <w:rPr>
                <w:rFonts w:ascii="Cambria Math" w:hAnsi="Cambria Math" w:eastAsia="Noto Sans CJK SC"/>
              </w:rPr>
              <m:t>j</m:t>
            </m:r>
          </m:sub>
        </m:sSub>
        <m:r>
          <m:rPr/>
          <w:rPr>
            <w:rFonts w:ascii="Cambria Math" w:hAnsi="Cambria Math" w:eastAsia="Noto Sans CJK SC"/>
          </w:rPr>
          <m:t>)</m:t>
        </m:r>
      </m:oMath>
      <w:r>
        <w:t xml:space="preserve">   (13)</w:t>
      </w:r>
    </w:p>
    <w:p w14:paraId="1DDD8174">
      <w:r>
        <w:t>上式给出一种用同一时刻真值误差比较的训练诊断量。它的单次值可能为负，特别是在测量噪声或模型偏差存在时。不确定性下降也不保证每次单调发生。若使用熵或互信息，需要明确随机变量、条件信息和概率模型；行为复杂度与速度方差不自动等价于目标信息价值。</w:t>
      </w:r>
    </w:p>
    <w:p w14:paraId="3BCDD42E">
      <w:r>
        <w:t>用真实误差构造的信息增益可以用于仿真研究，但无法直接成为真实车辆在线停止判据。用预测不确定性作为代理时，必须检查策略是否通过模型的过度自信取得高代理奖励。</w:t>
      </w:r>
    </w:p>
    <w:p w14:paraId="07F872AA">
      <w:pPr>
        <w:pStyle w:val="4"/>
      </w:pPr>
      <w:r>
        <w:t>11.6 访问次数、覆盖率与时间成本</w:t>
      </w:r>
    </w:p>
    <w:p w14:paraId="407DD9C2">
      <w:r>
        <w:t>访问次数可以作为特征或对照指标。频繁重复观察短时间内可能冗余，但长期动态交通可能需要重访。单调降低同一格奖励会抑制必要的再观察，需结合信息年龄和动态模型验证。</w:t>
      </w:r>
    </w:p>
    <w:p w14:paraId="417ADC42">
      <w:r>
        <w:t>覆盖率表示观察过多少空间，不等于恢复了多少状态。一个关键队尾观测可能比大量无关空区域更有价值。若使用“恢复百分比”，必须先定义对应误差归一化、达标车道比例或其他确切指标，不把多个含义混成一个百分数。</w:t>
      </w:r>
    </w:p>
    <w:p w14:paraId="46403A0E">
      <w:r>
        <w:t>预算固定时，每秒相同的时间罚项对所有正常完整回合的总额相同，不能单独区分路线。长绕行的代价已经通过估计误差随时间累计、信息过时和无法及时获得后续观测体现，也可增加里程等不同策略之间有差异的成本。</w:t>
      </w:r>
    </w:p>
    <w:p w14:paraId="4499E41C">
      <w:pPr>
        <w:pStyle w:val="4"/>
      </w:pPr>
      <w:r>
        <w:t>11.7 交通扰动与任务操纵</w:t>
      </w:r>
    </w:p>
    <w:p w14:paraId="3BA8ABA4">
      <w:r>
        <w:t>探测车是交通系统的一部分，它的路线与速度可能改变被估计的交通状态。只优化估计误差，可能鼓励制造容易预测的排队。首版通过正常驾驶约束减少自由度，同时记录周围车辆延误、急减速和通行变化。</w:t>
      </w:r>
    </w:p>
    <w:p w14:paraId="639DC12C">
      <w:r>
        <w:t>相对于“无探测车”的对照，衡量新增车辆的总影响；相对于“同一辆车正常巡回”的对照，衡量主动策略的额外影响。这两个问题不同。用相同外生到达需求做配对模拟有帮助，但干预后背景车辆实际轨迹不可能仍完全一致。</w:t>
      </w:r>
    </w:p>
    <w:p w14:paraId="33D38342">
      <w:r>
        <w:t>只统计预算内已经到达终点车辆的旅行时间可能产生删失偏差。应明确评价队列、未完成行程和车辆集合。简单局部急减速指标可以作为代理成本，不能未经验证就称为全路网因果扰动。</w:t>
      </w:r>
    </w:p>
    <w:p w14:paraId="28643454">
      <w:pPr>
        <w:pStyle w:val="3"/>
        <w:pageBreakBefore/>
      </w:pPr>
      <w:bookmarkStart w:id="13" w:name="chapter_12"/>
      <w:r>
        <w:t>12 Episode、停止条件与任务失败</w:t>
      </w:r>
      <w:bookmarkEnd w:id="13"/>
    </w:p>
    <w:p w14:paraId="43FF9263">
      <w:pPr>
        <w:pStyle w:val="4"/>
      </w:pPr>
      <w:r>
        <w:t>12.1 一个episode的含义</w:t>
      </w:r>
    </w:p>
    <w:p w14:paraId="2500A6F1">
      <w:r>
        <w:t>一次episode是一辆探测车在一个初始化交通场景中完成一项探测任务。期间交通持续演化，可发生多次通过目标路口与外围返回。其轨迹包含观测、动作、时间和估计变化，不能视为某个静态交通状态下的一条固定最优路线。</w:t>
      </w:r>
    </w:p>
    <w:p w14:paraId="5741B115">
      <w:r>
        <w:t>reset重新生成或选择场景，step推进当前场景。PPO一次参数更新可以使用多个episode片段；episode结束也不意味着必须立即更新参数。训练数据量、更新次数和完整探测次数要分别统计。</w:t>
      </w:r>
    </w:p>
    <w:p w14:paraId="3570A478">
      <w:pPr>
        <w:pStyle w:val="4"/>
      </w:pPr>
      <w:r>
        <w:t>12.2 任务终止和外部截断</w:t>
      </w:r>
    </w:p>
    <w:p w14:paraId="17B39767">
      <w:pPr>
        <w:pStyle w:val="15"/>
        <w:keepNext/>
      </w:pPr>
      <w:r>
        <w:t>表 15  情况 / 建议语义</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540BD65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532E674A">
            <w:pPr>
              <w:pStyle w:val="164"/>
              <w:keepNext/>
            </w:pPr>
            <w:r>
              <w:rPr>
                <w:b/>
              </w:rPr>
              <w:t>情况</w:t>
            </w:r>
          </w:p>
        </w:tc>
        <w:tc>
          <w:tcPr>
            <w:tcW w:w="3600" w:type="dxa"/>
            <w:shd w:val="clear" w:color="auto" w:fill="E8EEF5"/>
            <w:tcMar>
              <w:top w:w="80" w:type="dxa"/>
              <w:left w:w="120" w:type="dxa"/>
              <w:bottom w:w="80" w:type="dxa"/>
              <w:right w:w="120" w:type="dxa"/>
            </w:tcMar>
            <w:vAlign w:val="center"/>
          </w:tcPr>
          <w:p w14:paraId="72FAB70E">
            <w:pPr>
              <w:pStyle w:val="164"/>
              <w:keepNext/>
            </w:pPr>
            <w:r>
              <w:rPr>
                <w:b/>
              </w:rPr>
              <w:t>建议语义</w:t>
            </w:r>
          </w:p>
        </w:tc>
        <w:tc>
          <w:tcPr>
            <w:tcW w:w="3560" w:type="dxa"/>
            <w:shd w:val="clear" w:color="auto" w:fill="E8EEF5"/>
            <w:tcMar>
              <w:top w:w="80" w:type="dxa"/>
              <w:left w:w="120" w:type="dxa"/>
              <w:bottom w:w="80" w:type="dxa"/>
              <w:right w:w="120" w:type="dxa"/>
            </w:tcMar>
            <w:vAlign w:val="center"/>
          </w:tcPr>
          <w:p w14:paraId="0A3A67C7">
            <w:pPr>
              <w:pStyle w:val="164"/>
              <w:keepNext/>
            </w:pPr>
            <w:r>
              <w:rPr>
                <w:b/>
              </w:rPr>
              <w:t>是否对终点后价值自举</w:t>
            </w:r>
          </w:p>
        </w:tc>
      </w:tr>
      <w:tr w14:paraId="08C9BB7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328D681">
            <w:pPr>
              <w:pStyle w:val="164"/>
            </w:pPr>
            <w:r>
              <w:t>研究定义的预算B耗尽</w:t>
            </w:r>
          </w:p>
        </w:tc>
        <w:tc>
          <w:tcPr>
            <w:tcW w:w="3600" w:type="dxa"/>
            <w:tcMar>
              <w:top w:w="80" w:type="dxa"/>
              <w:left w:w="120" w:type="dxa"/>
              <w:bottom w:w="80" w:type="dxa"/>
              <w:right w:w="120" w:type="dxa"/>
            </w:tcMar>
            <w:vAlign w:val="center"/>
          </w:tcPr>
          <w:p w14:paraId="5A04C370">
            <w:pPr>
              <w:pStyle w:val="164"/>
            </w:pPr>
            <w:r>
              <w:t>terminated</w:t>
            </w:r>
          </w:p>
        </w:tc>
        <w:tc>
          <w:tcPr>
            <w:tcW w:w="3560" w:type="dxa"/>
            <w:tcMar>
              <w:top w:w="80" w:type="dxa"/>
              <w:left w:w="120" w:type="dxa"/>
              <w:bottom w:w="80" w:type="dxa"/>
              <w:right w:w="120" w:type="dxa"/>
            </w:tcMar>
            <w:vAlign w:val="center"/>
          </w:tcPr>
          <w:p w14:paraId="5B5CAD81">
            <w:pPr>
              <w:pStyle w:val="164"/>
            </w:pPr>
            <w:r>
              <w:t>不自举</w:t>
            </w:r>
          </w:p>
        </w:tc>
      </w:tr>
      <w:tr w14:paraId="6022D30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EA06488">
            <w:pPr>
              <w:pStyle w:val="164"/>
            </w:pPr>
            <w:r>
              <w:t>定义的成功停止或物理失败</w:t>
            </w:r>
          </w:p>
        </w:tc>
        <w:tc>
          <w:tcPr>
            <w:tcW w:w="3600" w:type="dxa"/>
            <w:tcMar>
              <w:top w:w="80" w:type="dxa"/>
              <w:left w:w="120" w:type="dxa"/>
              <w:bottom w:w="80" w:type="dxa"/>
              <w:right w:w="120" w:type="dxa"/>
            </w:tcMar>
            <w:vAlign w:val="center"/>
          </w:tcPr>
          <w:p w14:paraId="2AF7C37C">
            <w:pPr>
              <w:pStyle w:val="164"/>
            </w:pPr>
            <w:r>
              <w:t>terminated</w:t>
            </w:r>
          </w:p>
        </w:tc>
        <w:tc>
          <w:tcPr>
            <w:tcW w:w="3560" w:type="dxa"/>
            <w:tcMar>
              <w:top w:w="80" w:type="dxa"/>
              <w:left w:w="120" w:type="dxa"/>
              <w:bottom w:w="80" w:type="dxa"/>
              <w:right w:w="120" w:type="dxa"/>
            </w:tcMar>
            <w:vAlign w:val="center"/>
          </w:tcPr>
          <w:p w14:paraId="49CAC0DF">
            <w:pPr>
              <w:pStyle w:val="164"/>
            </w:pPr>
            <w:r>
              <w:t>不自举</w:t>
            </w:r>
          </w:p>
        </w:tc>
      </w:tr>
      <w:tr w14:paraId="1D5BBDF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1B5B355">
            <w:pPr>
              <w:pStyle w:val="164"/>
            </w:pPr>
            <w:r>
              <w:t>持续任务被外部采样时限切断</w:t>
            </w:r>
          </w:p>
        </w:tc>
        <w:tc>
          <w:tcPr>
            <w:tcW w:w="3600" w:type="dxa"/>
            <w:tcMar>
              <w:top w:w="80" w:type="dxa"/>
              <w:left w:w="120" w:type="dxa"/>
              <w:bottom w:w="80" w:type="dxa"/>
              <w:right w:w="120" w:type="dxa"/>
            </w:tcMar>
            <w:vAlign w:val="center"/>
          </w:tcPr>
          <w:p w14:paraId="367DB4BC">
            <w:pPr>
              <w:pStyle w:val="164"/>
            </w:pPr>
            <w:r>
              <w:t>truncated</w:t>
            </w:r>
          </w:p>
        </w:tc>
        <w:tc>
          <w:tcPr>
            <w:tcW w:w="3560" w:type="dxa"/>
            <w:tcMar>
              <w:top w:w="80" w:type="dxa"/>
              <w:left w:w="120" w:type="dxa"/>
              <w:bottom w:w="80" w:type="dxa"/>
              <w:right w:w="120" w:type="dxa"/>
            </w:tcMar>
            <w:vAlign w:val="center"/>
          </w:tcPr>
          <w:p w14:paraId="5E9F1ED3">
            <w:pPr>
              <w:pStyle w:val="164"/>
            </w:pPr>
            <w:r>
              <w:t>对有效最终观测自举</w:t>
            </w:r>
          </w:p>
        </w:tc>
      </w:tr>
      <w:tr w14:paraId="3789BFD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74FD76F">
            <w:pPr>
              <w:pStyle w:val="164"/>
            </w:pPr>
            <w:r>
              <w:t>rollout缓冲区达到长度</w:t>
            </w:r>
          </w:p>
        </w:tc>
        <w:tc>
          <w:tcPr>
            <w:tcW w:w="3600" w:type="dxa"/>
            <w:tcMar>
              <w:top w:w="80" w:type="dxa"/>
              <w:left w:w="120" w:type="dxa"/>
              <w:bottom w:w="80" w:type="dxa"/>
              <w:right w:w="120" w:type="dxa"/>
            </w:tcMar>
            <w:vAlign w:val="center"/>
          </w:tcPr>
          <w:p w14:paraId="778B44AF">
            <w:pPr>
              <w:pStyle w:val="164"/>
            </w:pPr>
            <w:r>
              <w:t>采样边界，通常不重置环境</w:t>
            </w:r>
          </w:p>
        </w:tc>
        <w:tc>
          <w:tcPr>
            <w:tcW w:w="3560" w:type="dxa"/>
            <w:tcMar>
              <w:top w:w="80" w:type="dxa"/>
              <w:left w:w="120" w:type="dxa"/>
              <w:bottom w:w="80" w:type="dxa"/>
              <w:right w:w="120" w:type="dxa"/>
            </w:tcMar>
            <w:vAlign w:val="center"/>
          </w:tcPr>
          <w:p w14:paraId="6E5654B1">
            <w:pPr>
              <w:pStyle w:val="164"/>
            </w:pPr>
            <w:r>
              <w:t>使用后继价值</w:t>
            </w:r>
          </w:p>
        </w:tc>
      </w:tr>
      <w:tr w14:paraId="50A4A02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7864DD5">
            <w:pPr>
              <w:pStyle w:val="164"/>
            </w:pPr>
            <w:r>
              <w:t>仿真连接或基础设施损坏</w:t>
            </w:r>
          </w:p>
        </w:tc>
        <w:tc>
          <w:tcPr>
            <w:tcW w:w="3600" w:type="dxa"/>
            <w:tcMar>
              <w:top w:w="80" w:type="dxa"/>
              <w:left w:w="120" w:type="dxa"/>
              <w:bottom w:w="80" w:type="dxa"/>
              <w:right w:w="120" w:type="dxa"/>
            </w:tcMar>
            <w:vAlign w:val="center"/>
          </w:tcPr>
          <w:p w14:paraId="4311FE11">
            <w:pPr>
              <w:pStyle w:val="164"/>
            </w:pPr>
            <w:r>
              <w:t>无效运行，诊断与恢复</w:t>
            </w:r>
          </w:p>
        </w:tc>
        <w:tc>
          <w:tcPr>
            <w:tcW w:w="3560" w:type="dxa"/>
            <w:tcMar>
              <w:top w:w="80" w:type="dxa"/>
              <w:left w:w="120" w:type="dxa"/>
              <w:bottom w:w="80" w:type="dxa"/>
              <w:right w:w="120" w:type="dxa"/>
            </w:tcMar>
            <w:vAlign w:val="center"/>
          </w:tcPr>
          <w:p w14:paraId="58180F19">
            <w:pPr>
              <w:pStyle w:val="164"/>
            </w:pPr>
            <w:r>
              <w:t>不用损坏观测伪造自举</w:t>
            </w:r>
          </w:p>
        </w:tc>
      </w:tr>
    </w:tbl>
    <w:p w14:paraId="5CE3EE5F">
      <w:pPr>
        <w:pStyle w:val="165"/>
      </w:pPr>
    </w:p>
    <w:p w14:paraId="3B6B6391">
      <w:r>
        <w:t>预算若属于有限时域任务本身，应把剩余时间放入观测。Gymnasium明确区分任务内终止与任务外截断，这影响价值目标，不能把所有“超时”统一处理成同一种标志。[R15]</w:t>
      </w:r>
    </w:p>
    <w:p w14:paraId="26094A59">
      <w:pPr>
        <w:pStyle w:val="4"/>
      </w:pPr>
      <w:r>
        <w:t>12.3 失败不能通过少算负奖励获利</w:t>
      </w:r>
    </w:p>
    <w:p w14:paraId="7C4D80E2">
      <w:r>
        <w:t>若正常任务一直累计负误差，碰撞后立即结束并把剩余奖励当零，可能让失败更划算。需预先定义失败评分，例如对剩余预算按规定的最差误差补齐，并加失败代价；报告失败率且不把失败回合计为成功达标。</w:t>
      </w:r>
    </w:p>
    <w:p w14:paraId="4E9995E9">
      <w:r>
        <w:t>最差误差应有可解释上界，例如目标定义在有界监测长度内、预测也限制在声明范围内。若某些成本无界，不能轻易声称一个固定罚值理论上杜绝全部投机。安全首先依赖允许行为和执行约束，失败奖励负责评分一致性。</w:t>
      </w:r>
    </w:p>
    <w:p w14:paraId="452634CD">
      <w:r>
        <w:t>由策略动作导致的真实任务失败必须进入训练与评测统计，不能当作程序错误删掉。由仿真器崩溃等基础设施错误产生的无效样本则应记录、隔离和恢复，避免把错误数值作为正常交通结果。</w:t>
      </w:r>
    </w:p>
    <w:p w14:paraId="767C7F05">
      <w:pPr>
        <w:pStyle w:val="4"/>
      </w:pPr>
      <w:r>
        <w:t>12.4 质量阈值停止的扩展</w:t>
      </w:r>
    </w:p>
    <w:p w14:paraId="4E898C6A">
      <w:pPr>
        <w:pStyle w:val="170"/>
      </w:pPr>
      <w:r>
        <w:t>【待定 D12】真实运行时无法直接检测“全局真实误差已经低于阈值”，因为真值正是待估计对象。可部署停止需要基于经过校准的预测区间、风险估计或其他可计算指标，同时设置最长预算。</w:t>
      </w:r>
    </w:p>
    <w:p w14:paraId="12003924">
      <w:r>
        <w:t>一个候选规则是：所有关键目标车道的预测区间宽度或估计风险均满足条件，持续若干次更新，且没有明显失效或未覆盖的重要变量。区间变窄只表示模型表达的置信程度，需要在独立数据上验证误停率。</w:t>
      </w:r>
    </w:p>
    <w:p w14:paraId="2007AE2D">
      <w:pPr>
        <w:pStyle w:val="167"/>
      </w:pPr>
      <m:oMath>
        <m:sSub>
          <m:sSubPr/>
          <m:e>
            <m:r>
              <m:rPr/>
              <w:rPr>
                <w:rFonts w:ascii="Cambria Math" w:hAnsi="Cambria Math" w:eastAsia="Noto Sans CJK SC"/>
              </w:rPr>
              <m:t>Stop</m:t>
            </m:r>
          </m:e>
          <m:sub>
            <m:r>
              <m:rPr/>
              <w:rPr>
                <w:rFonts w:ascii="Cambria Math" w:hAnsi="Cambria Math" w:eastAsia="Noto Sans CJK SC"/>
              </w:rPr>
              <m:t>k</m:t>
            </m:r>
          </m:sub>
        </m:sSub>
        <m:r>
          <m:rPr/>
          <w:rPr>
            <w:rFonts w:ascii="Cambria Math" w:hAnsi="Cambria Math" w:eastAsia="Noto Sans CJK SC"/>
          </w:rPr>
          <m:t xml:space="preserve"> = 1{</m:t>
        </m:r>
        <m:sSub>
          <m:sSubPr/>
          <m:e>
            <m:r>
              <m:rPr/>
              <w:rPr>
                <w:rFonts w:ascii="Cambria Math" w:hAnsi="Cambria Math" w:eastAsia="Noto Sans CJK SC"/>
              </w:rPr>
              <m:t>valid</m:t>
            </m:r>
          </m:e>
          <m:sub>
            <m:r>
              <m:rPr/>
              <w:rPr>
                <w:rFonts w:ascii="Cambria Math" w:hAnsi="Cambria Math" w:eastAsia="Noto Sans CJK SC"/>
              </w:rPr>
              <m:t>k−m+1:k</m:t>
            </m:r>
          </m:sub>
        </m:sSub>
        <m:r>
          <m:rPr/>
          <w:rPr>
            <w:rFonts w:ascii="Cambria Math" w:hAnsi="Cambria Math" w:eastAsia="Noto Sans CJK SC"/>
          </w:rPr>
          <m:t xml:space="preserve"> = 1 and </m:t>
        </m:r>
        <m:sSub>
          <m:sSubPr/>
          <m:e>
            <m:r>
              <m:rPr/>
              <w:rPr>
                <w:rFonts w:ascii="Cambria Math" w:hAnsi="Cambria Math" w:eastAsia="Noto Sans CJK SC"/>
              </w:rPr>
              <m:t>max</m:t>
            </m:r>
          </m:e>
          <m:sub>
            <m:r>
              <m:rPr/>
              <w:rPr>
                <w:rFonts w:ascii="Cambria Math" w:hAnsi="Cambria Math" w:eastAsia="Noto Sans CJK SC"/>
              </w:rPr>
              <m:t>q=0,…,m−1</m:t>
            </m:r>
          </m:sub>
        </m:sSub>
        <m:sSub>
          <m:sSubPr/>
          <m:e>
            <m:r>
              <m:rPr/>
              <w:rPr>
                <w:rFonts w:ascii="Cambria Math" w:hAnsi="Cambria Math" w:eastAsia="Noto Sans CJK SC"/>
              </w:rPr>
              <m:t>max</m:t>
            </m:r>
          </m:e>
          <m:sub>
            <m:r>
              <m:rPr/>
              <w:rPr>
                <w:rFonts w:ascii="Cambria Math" w:hAnsi="Cambria Math" w:eastAsia="Noto Sans CJK SC"/>
              </w:rPr>
              <m:t>ℓ</m:t>
            </m:r>
          </m:sub>
        </m:sSub>
        <m:sSub>
          <m:sSubPr/>
          <m:e>
            <m:r>
              <m:rPr/>
              <w:rPr>
                <w:rFonts w:ascii="Cambria Math" w:hAnsi="Cambria Math" w:eastAsia="Noto Sans CJK SC"/>
              </w:rPr>
              <m:t>U</m:t>
            </m:r>
          </m:e>
          <m:sub>
            <m:r>
              <m:rPr/>
              <w:rPr>
                <w:rFonts w:ascii="Cambria Math" w:hAnsi="Cambria Math" w:eastAsia="Noto Sans CJK SC"/>
              </w:rPr>
              <m:t>ℓ,k−q</m:t>
            </m:r>
          </m:sub>
        </m:sSub>
        <m:r>
          <m:rPr/>
          <w:rPr>
            <w:rFonts w:ascii="Cambria Math" w:hAnsi="Cambria Math" w:eastAsia="Noto Sans CJK SC"/>
          </w:rPr>
          <m:t xml:space="preserve"> ≤ η}</m:t>
        </m:r>
      </m:oMath>
      <w:r>
        <w:t xml:space="preserve">   (14)</w:t>
      </w:r>
    </w:p>
    <w:p w14:paraId="37EB2266">
      <w:r>
        <w:t>这里的U不是用当时真实误差反算出来的量。多个车道同时达标涉及联合可靠性；单个车道95%覆盖不自动意味着全路口同时95%可靠。时间上的反复检查与分布变化也影响停止可靠性，应直接评价整个停止程序。</w:t>
      </w:r>
    </w:p>
    <w:p w14:paraId="0EFA0933">
      <w:pPr>
        <w:pStyle w:val="4"/>
      </w:pPr>
      <w:r>
        <w:t>12.5 固定预算与阈值任务的比较</w:t>
      </w:r>
    </w:p>
    <w:p w14:paraId="0F940CDF">
      <w:r>
        <w:t>固定预算比较同等资源下的误差；阈值任务比较达到同一质量要求的时间、达标概率与误停率。将失败和超时剔除后只比较成功任务平均时间，会夸大策略效果。两种任务都要明确探测结束与车辆后续安全行驶的关系，结束采集不等于立即停车。</w:t>
      </w:r>
    </w:p>
    <w:p w14:paraId="68231E1C">
      <w:pPr>
        <w:pStyle w:val="3"/>
        <w:pageBreakBefore/>
      </w:pPr>
      <w:bookmarkStart w:id="14" w:name="chapter_13"/>
      <w:r>
        <w:t>13 SUMO交通仿真环境的建设</w:t>
      </w:r>
      <w:bookmarkEnd w:id="14"/>
    </w:p>
    <w:p w14:paraId="22D5A754">
      <w:pPr>
        <w:pStyle w:val="4"/>
      </w:pPr>
      <w:r>
        <w:t>13.1 首版环境的组成</w:t>
      </w:r>
    </w:p>
    <w:p w14:paraId="59E559D7">
      <w:r>
        <w:t>建议采用SUMO完成交通行为交互，Python通过TraCI管理探测车、读取仿真状态并组织研究模块。先用对象级几何传感器模型，再根据研究需要接入三维传感器仿真。本文不把SUMO中的高层行为实验视为完整自动驾驶实车验证。[R10]</w:t>
      </w:r>
    </w:p>
    <w:p w14:paraId="57B397A1">
      <w:pPr>
        <w:pStyle w:val="15"/>
        <w:keepNext/>
      </w:pPr>
      <w:r>
        <w:t>表 16  组成 / 主要文件或对象</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050"/>
        <w:gridCol w:w="3300"/>
        <w:gridCol w:w="4010"/>
      </w:tblGrid>
      <w:tr w14:paraId="58C6715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050" w:type="dxa"/>
            <w:shd w:val="clear" w:color="auto" w:fill="E8EEF5"/>
            <w:tcMar>
              <w:top w:w="80" w:type="dxa"/>
              <w:left w:w="120" w:type="dxa"/>
              <w:bottom w:w="80" w:type="dxa"/>
              <w:right w:w="120" w:type="dxa"/>
            </w:tcMar>
            <w:vAlign w:val="center"/>
          </w:tcPr>
          <w:p w14:paraId="34BC50B0">
            <w:pPr>
              <w:pStyle w:val="164"/>
              <w:keepNext/>
            </w:pPr>
            <w:r>
              <w:rPr>
                <w:b/>
              </w:rPr>
              <w:t>组成</w:t>
            </w:r>
          </w:p>
        </w:tc>
        <w:tc>
          <w:tcPr>
            <w:tcW w:w="3300" w:type="dxa"/>
            <w:shd w:val="clear" w:color="auto" w:fill="E8EEF5"/>
            <w:tcMar>
              <w:top w:w="80" w:type="dxa"/>
              <w:left w:w="120" w:type="dxa"/>
              <w:bottom w:w="80" w:type="dxa"/>
              <w:right w:w="120" w:type="dxa"/>
            </w:tcMar>
            <w:vAlign w:val="center"/>
          </w:tcPr>
          <w:p w14:paraId="411CD616">
            <w:pPr>
              <w:pStyle w:val="164"/>
              <w:keepNext/>
            </w:pPr>
            <w:r>
              <w:rPr>
                <w:b/>
              </w:rPr>
              <w:t>主要文件或对象</w:t>
            </w:r>
          </w:p>
        </w:tc>
        <w:tc>
          <w:tcPr>
            <w:tcW w:w="4010" w:type="dxa"/>
            <w:shd w:val="clear" w:color="auto" w:fill="E8EEF5"/>
            <w:tcMar>
              <w:top w:w="80" w:type="dxa"/>
              <w:left w:w="120" w:type="dxa"/>
              <w:bottom w:w="80" w:type="dxa"/>
              <w:right w:w="120" w:type="dxa"/>
            </w:tcMar>
            <w:vAlign w:val="center"/>
          </w:tcPr>
          <w:p w14:paraId="0FF07B50">
            <w:pPr>
              <w:pStyle w:val="164"/>
              <w:keepNext/>
            </w:pPr>
            <w:r>
              <w:rPr>
                <w:b/>
              </w:rPr>
              <w:t>建设内容</w:t>
            </w:r>
          </w:p>
        </w:tc>
      </w:tr>
      <w:tr w14:paraId="244A9E8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E7AC5C3">
            <w:pPr>
              <w:pStyle w:val="164"/>
            </w:pPr>
            <w:r>
              <w:t>道路网络</w:t>
            </w:r>
          </w:p>
        </w:tc>
        <w:tc>
          <w:tcPr>
            <w:tcW w:w="3300" w:type="dxa"/>
            <w:tcMar>
              <w:top w:w="80" w:type="dxa"/>
              <w:left w:w="120" w:type="dxa"/>
              <w:bottom w:w="80" w:type="dxa"/>
              <w:right w:w="120" w:type="dxa"/>
            </w:tcMar>
            <w:vAlign w:val="center"/>
          </w:tcPr>
          <w:p w14:paraId="7BB6197A">
            <w:pPr>
              <w:pStyle w:val="164"/>
            </w:pPr>
            <w:r>
              <w:t>network.net.xml</w:t>
            </w:r>
          </w:p>
        </w:tc>
        <w:tc>
          <w:tcPr>
            <w:tcW w:w="4010" w:type="dxa"/>
            <w:tcMar>
              <w:top w:w="80" w:type="dxa"/>
              <w:left w:w="120" w:type="dxa"/>
              <w:bottom w:w="80" w:type="dxa"/>
              <w:right w:w="120" w:type="dxa"/>
            </w:tcMar>
            <w:vAlign w:val="center"/>
          </w:tcPr>
          <w:p w14:paraId="2EDD4A00">
            <w:pPr>
              <w:pStyle w:val="164"/>
            </w:pPr>
            <w:r>
              <w:t>车道、连接、外围返回、限速</w:t>
            </w:r>
          </w:p>
        </w:tc>
      </w:tr>
      <w:tr w14:paraId="54A5331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2D7B470F">
            <w:pPr>
              <w:pStyle w:val="164"/>
            </w:pPr>
            <w:r>
              <w:t>交通需求</w:t>
            </w:r>
          </w:p>
        </w:tc>
        <w:tc>
          <w:tcPr>
            <w:tcW w:w="3300" w:type="dxa"/>
            <w:tcMar>
              <w:top w:w="80" w:type="dxa"/>
              <w:left w:w="120" w:type="dxa"/>
              <w:bottom w:w="80" w:type="dxa"/>
              <w:right w:w="120" w:type="dxa"/>
            </w:tcMar>
            <w:vAlign w:val="center"/>
          </w:tcPr>
          <w:p w14:paraId="4DD9A915">
            <w:pPr>
              <w:pStyle w:val="164"/>
            </w:pPr>
            <w:r>
              <w:t>demand.rou.xml</w:t>
            </w:r>
          </w:p>
        </w:tc>
        <w:tc>
          <w:tcPr>
            <w:tcW w:w="4010" w:type="dxa"/>
            <w:tcMar>
              <w:top w:w="80" w:type="dxa"/>
              <w:left w:w="120" w:type="dxa"/>
              <w:bottom w:w="80" w:type="dxa"/>
              <w:right w:w="120" w:type="dxa"/>
            </w:tcMar>
            <w:vAlign w:val="center"/>
          </w:tcPr>
          <w:p w14:paraId="2A49000E">
            <w:pPr>
              <w:pStyle w:val="164"/>
            </w:pPr>
            <w:r>
              <w:t>到达、路线、转向、车辆类型</w:t>
            </w:r>
          </w:p>
        </w:tc>
      </w:tr>
      <w:tr w14:paraId="520329D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60362BA5">
            <w:pPr>
              <w:pStyle w:val="164"/>
            </w:pPr>
            <w:r>
              <w:t>信号与检测配置</w:t>
            </w:r>
          </w:p>
        </w:tc>
        <w:tc>
          <w:tcPr>
            <w:tcW w:w="3300" w:type="dxa"/>
            <w:tcMar>
              <w:top w:w="80" w:type="dxa"/>
              <w:left w:w="120" w:type="dxa"/>
              <w:bottom w:w="80" w:type="dxa"/>
              <w:right w:w="120" w:type="dxa"/>
            </w:tcMar>
            <w:vAlign w:val="center"/>
          </w:tcPr>
          <w:p w14:paraId="65F4F78B">
            <w:pPr>
              <w:pStyle w:val="164"/>
            </w:pPr>
            <w:r>
              <w:t>additional.xml等</w:t>
            </w:r>
          </w:p>
        </w:tc>
        <w:tc>
          <w:tcPr>
            <w:tcW w:w="4010" w:type="dxa"/>
            <w:tcMar>
              <w:top w:w="80" w:type="dxa"/>
              <w:left w:w="120" w:type="dxa"/>
              <w:bottom w:w="80" w:type="dxa"/>
              <w:right w:w="120" w:type="dxa"/>
            </w:tcMar>
            <w:vAlign w:val="center"/>
          </w:tcPr>
          <w:p w14:paraId="296CA10E">
            <w:pPr>
              <w:pStyle w:val="164"/>
            </w:pPr>
            <w:r>
              <w:t>配时、参考检测器、标签辅助</w:t>
            </w:r>
          </w:p>
        </w:tc>
      </w:tr>
      <w:tr w14:paraId="006555A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0B14A84">
            <w:pPr>
              <w:pStyle w:val="164"/>
            </w:pPr>
            <w:r>
              <w:t>仿真配置</w:t>
            </w:r>
          </w:p>
        </w:tc>
        <w:tc>
          <w:tcPr>
            <w:tcW w:w="3300" w:type="dxa"/>
            <w:tcMar>
              <w:top w:w="80" w:type="dxa"/>
              <w:left w:w="120" w:type="dxa"/>
              <w:bottom w:w="80" w:type="dxa"/>
              <w:right w:w="120" w:type="dxa"/>
            </w:tcMar>
            <w:vAlign w:val="center"/>
          </w:tcPr>
          <w:p w14:paraId="0859FEF1">
            <w:pPr>
              <w:pStyle w:val="164"/>
            </w:pPr>
            <w:r>
              <w:t>scenario.sumocfg</w:t>
            </w:r>
          </w:p>
        </w:tc>
        <w:tc>
          <w:tcPr>
            <w:tcW w:w="4010" w:type="dxa"/>
            <w:tcMar>
              <w:top w:w="80" w:type="dxa"/>
              <w:left w:w="120" w:type="dxa"/>
              <w:bottom w:w="80" w:type="dxa"/>
              <w:right w:w="120" w:type="dxa"/>
            </w:tcMar>
            <w:vAlign w:val="center"/>
          </w:tcPr>
          <w:p w14:paraId="32E5D201">
            <w:pPr>
              <w:pStyle w:val="164"/>
            </w:pPr>
            <w:r>
              <w:t>时间步、输入输出、仿真选项</w:t>
            </w:r>
          </w:p>
        </w:tc>
      </w:tr>
      <w:tr w14:paraId="2CB481E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70A103D9">
            <w:pPr>
              <w:pStyle w:val="164"/>
            </w:pPr>
            <w:r>
              <w:t>探测任务配置</w:t>
            </w:r>
          </w:p>
        </w:tc>
        <w:tc>
          <w:tcPr>
            <w:tcW w:w="3300" w:type="dxa"/>
            <w:tcMar>
              <w:top w:w="80" w:type="dxa"/>
              <w:left w:w="120" w:type="dxa"/>
              <w:bottom w:w="80" w:type="dxa"/>
              <w:right w:w="120" w:type="dxa"/>
            </w:tcMar>
            <w:vAlign w:val="center"/>
          </w:tcPr>
          <w:p w14:paraId="5622D2C2">
            <w:pPr>
              <w:pStyle w:val="164"/>
            </w:pPr>
            <w:r>
              <w:t>research_config</w:t>
            </w:r>
          </w:p>
        </w:tc>
        <w:tc>
          <w:tcPr>
            <w:tcW w:w="4010" w:type="dxa"/>
            <w:tcMar>
              <w:top w:w="80" w:type="dxa"/>
              <w:left w:w="120" w:type="dxa"/>
              <w:bottom w:w="80" w:type="dxa"/>
              <w:right w:w="120" w:type="dxa"/>
            </w:tcMar>
            <w:vAlign w:val="center"/>
          </w:tcPr>
          <w:p w14:paraId="1C6D0D1F">
            <w:pPr>
              <w:pStyle w:val="164"/>
            </w:pPr>
            <w:r>
              <w:t>目标车道、传感器、预算和动作规则</w:t>
            </w:r>
          </w:p>
        </w:tc>
      </w:tr>
    </w:tbl>
    <w:p w14:paraId="73F99214">
      <w:pPr>
        <w:pStyle w:val="165"/>
      </w:pPr>
    </w:p>
    <w:p w14:paraId="793B1218">
      <w:r>
        <w:t>这些文件名仅为约定示例。道路规则、信号程序和传感模型需要分别版本化。参考检测器若提供全局标签，应仅连接评价支路。</w:t>
      </w:r>
    </w:p>
    <w:p w14:paraId="5735C04C">
      <w:pPr>
        <w:pStyle w:val="4"/>
      </w:pPr>
      <w:r>
        <w:t>13.2 先验证地图可以完成任务</w:t>
      </w:r>
    </w:p>
    <w:p w14:paraId="4324EBC0">
      <w:r>
        <w:t>在训练之前，逐条回放合法探测路线，检查转向、提前选道、返回入口以及预算内可完成的观察机会。至少保留若干对后续可见区域有实际差别的选择。无可选择性的路网无法支持有意义的路径优化实验。</w:t>
      </w:r>
    </w:p>
    <w:p w14:paraId="2C7A6A8D">
      <w:r>
        <w:t>外围道路长度不能只为让探测车方便返回而任意缩短。应先测量不同需求下的返回耗时分布，再决定B和任务难度。预算太短可能没有可执行选择，预算很长则涉及长期交通演化和多次重访，研究问题会发生变化。</w:t>
      </w:r>
    </w:p>
    <w:p w14:paraId="4B0528F0">
      <w:pPr>
        <w:pStyle w:val="4"/>
      </w:pPr>
      <w:r>
        <w:t>13.3 交通需求和背景驾驶</w:t>
      </w:r>
    </w:p>
    <w:p w14:paraId="5D6D2834">
      <w:r>
        <w:t>正式训练从场景分布抽取到达需求、转向比例、车辆组成、信号条件和驾驶行为参数。随机化应围绕合理场景范围，不把所有参数独立任意乱采。车流参数相关性和约束要保留，例如各转向比例之和、信号冲突规则和容量合理性。</w:t>
      </w:r>
    </w:p>
    <w:p w14:paraId="3EA169BA">
      <w:r>
        <w:t>调试阶段可用固定随机种子和需求文件；正式训练使用不同种子并记录。固定种子支持复现外生随机条件，不要求在不同探测动作下背景车辆的实际轨迹保持相同。SUMO提供多类随机过程及种子控制。[R13]</w:t>
      </w:r>
    </w:p>
    <w:p w14:paraId="562869CA">
      <w:pPr>
        <w:pStyle w:val="4"/>
      </w:pPr>
      <w:r>
        <w:t>13.4 预热与探测车插入</w:t>
      </w:r>
    </w:p>
    <w:p w14:paraId="2976F4D9">
      <w:r>
        <w:t>预热用于形成任务所需的车流和队列分布，不应每次从空路网立刻探测。预热长度与初始化方式需要检查是否稳定覆盖目标交通条件。预热本身不计入探测预算，除非应用场景另有定义。</w:t>
      </w:r>
    </w:p>
    <w:p w14:paraId="7B888E16">
      <w:r>
        <w:t>在允许位置插入探测车，记录实际插入时刻和初始路线。若拥堵使插入推迟，应说明是等待成功后启动任务还是把等待作为成本。不能悄悄按不同场景采用不同预算起点。禁止从当前全域真值初始化交通估计器的“完美先验”。</w:t>
      </w:r>
    </w:p>
    <w:p w14:paraId="7A814157">
      <w:pPr>
        <w:pStyle w:val="4"/>
      </w:pPr>
      <w:r>
        <w:t>13.5 连续运动与驾驶配置</w:t>
      </w:r>
    </w:p>
    <w:p w14:paraId="6BE0CCFB">
      <w:r>
        <w:t>SUMO通过离散时间推进连续数值位置和速度。默认换道是瞬时的；若视角随横向运动变化是研究内容，应启用持续换道或子车道模型，并验证横向运动与遮挡更新。更精细横向模型也会增加计算成本。[R12]</w:t>
      </w:r>
    </w:p>
    <w:p w14:paraId="3533FAC9">
      <w:r>
        <w:t>TraCI的速度和换道请求受到驾驶模式设置影响。应保留正常跟车、红灯、路权和加减速约束，并用回放检查实际执行。不能通过关闭约束，让网络用不符合研究假设的动作获得高奖励。[R11]</w:t>
      </w:r>
    </w:p>
    <w:p w14:paraId="7730F5EC">
      <w:r>
        <w:t>自动车辆移除、拥堵teleport及路线结束都应显式处理。研究中的探测车应通过有效路线持续存在到任务结束；意外位置重置或teleport不能当作正常探测轨迹。是否将背景车辆teleport场景视为无效场景，需要预先规定并报告。</w:t>
      </w:r>
    </w:p>
    <w:p w14:paraId="3BBCE8AC">
      <w:pPr>
        <w:pStyle w:val="4"/>
      </w:pPr>
      <w:r>
        <w:t>13.6 观测和标签的接口边界</w:t>
      </w:r>
    </w:p>
    <w:p w14:paraId="3DEC85A9">
      <w:r>
        <w:t>仿真可以同时生成局部检测与完整标签，但应由不同模块对外提供。策略侧只得到SensorPacket和估计结果；评价器读取完整交通真值。读取API便利性不能成为扩大策略信息范围的依据。</w:t>
      </w:r>
    </w:p>
    <w:p w14:paraId="00556738">
      <w:r>
        <w:t>标签按同一个物理时刻计算。队列检测器的统计周期输出不能直接与瞬时估计比较；若输出是区间平均，就应采用同样时间窗的目标。E2检测器有速度、时间与车辆间距参数，多个拥堵段及最长拥堵段等输出口径不同。[R18]</w:t>
      </w:r>
    </w:p>
    <w:p w14:paraId="25C2E45C">
      <w:pPr>
        <w:pStyle w:val="3"/>
        <w:pageBreakBefore/>
      </w:pPr>
      <w:bookmarkStart w:id="15" w:name="chapter_14"/>
      <w:r>
        <w:t>14 Gymnasium封装与环境交互规范</w:t>
      </w:r>
      <w:bookmarkEnd w:id="15"/>
    </w:p>
    <w:p w14:paraId="658934B0">
      <w:pPr>
        <w:pStyle w:val="4"/>
      </w:pPr>
      <w:r>
        <w:t>14.1 模块依赖和公开接口</w:t>
      </w:r>
    </w:p>
    <w:p w14:paraId="7669A8AF">
      <w:r>
        <w:t>建议由ProbeEnv统一管理ScenarioSampler、SimulatorAdapter、SensorModel、TrafficEstimator、ActionCompiler、Executor和Evaluator。模块之间通过字段明确的数据对象传递，不让Actor直接持有仿真连接对象。</w:t>
      </w:r>
    </w:p>
    <w:p w14:paraId="4946D3D8">
      <w:pPr>
        <w:pStyle w:val="15"/>
        <w:keepNext/>
      </w:pPr>
      <w:r>
        <w:t>表 17  模块 / 公开输入</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1F58D83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71C1E343">
            <w:pPr>
              <w:pStyle w:val="164"/>
              <w:keepNext/>
            </w:pPr>
            <w:r>
              <w:rPr>
                <w:b/>
              </w:rPr>
              <w:t>模块</w:t>
            </w:r>
          </w:p>
        </w:tc>
        <w:tc>
          <w:tcPr>
            <w:tcW w:w="3600" w:type="dxa"/>
            <w:shd w:val="clear" w:color="auto" w:fill="E8EEF5"/>
            <w:tcMar>
              <w:top w:w="80" w:type="dxa"/>
              <w:left w:w="120" w:type="dxa"/>
              <w:bottom w:w="80" w:type="dxa"/>
              <w:right w:w="120" w:type="dxa"/>
            </w:tcMar>
            <w:vAlign w:val="center"/>
          </w:tcPr>
          <w:p w14:paraId="4F516945">
            <w:pPr>
              <w:pStyle w:val="164"/>
              <w:keepNext/>
            </w:pPr>
            <w:r>
              <w:rPr>
                <w:b/>
              </w:rPr>
              <w:t>公开输入</w:t>
            </w:r>
          </w:p>
        </w:tc>
        <w:tc>
          <w:tcPr>
            <w:tcW w:w="3560" w:type="dxa"/>
            <w:shd w:val="clear" w:color="auto" w:fill="E8EEF5"/>
            <w:tcMar>
              <w:top w:w="80" w:type="dxa"/>
              <w:left w:w="120" w:type="dxa"/>
              <w:bottom w:w="80" w:type="dxa"/>
              <w:right w:w="120" w:type="dxa"/>
            </w:tcMar>
            <w:vAlign w:val="center"/>
          </w:tcPr>
          <w:p w14:paraId="1E2EAE22">
            <w:pPr>
              <w:pStyle w:val="164"/>
              <w:keepNext/>
            </w:pPr>
            <w:r>
              <w:rPr>
                <w:b/>
              </w:rPr>
              <w:t>公开输出</w:t>
            </w:r>
          </w:p>
        </w:tc>
      </w:tr>
      <w:tr w14:paraId="583A422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19EF93F">
            <w:pPr>
              <w:pStyle w:val="164"/>
            </w:pPr>
            <w:r>
              <w:t>ScenarioSampler</w:t>
            </w:r>
          </w:p>
        </w:tc>
        <w:tc>
          <w:tcPr>
            <w:tcW w:w="3600" w:type="dxa"/>
            <w:tcMar>
              <w:top w:w="80" w:type="dxa"/>
              <w:left w:w="120" w:type="dxa"/>
              <w:bottom w:w="80" w:type="dxa"/>
              <w:right w:w="120" w:type="dxa"/>
            </w:tcMar>
            <w:vAlign w:val="center"/>
          </w:tcPr>
          <w:p w14:paraId="0B56B5E6">
            <w:pPr>
              <w:pStyle w:val="164"/>
            </w:pPr>
            <w:r>
              <w:t>seed、split、配置</w:t>
            </w:r>
          </w:p>
        </w:tc>
        <w:tc>
          <w:tcPr>
            <w:tcW w:w="3560" w:type="dxa"/>
            <w:tcMar>
              <w:top w:w="80" w:type="dxa"/>
              <w:left w:w="120" w:type="dxa"/>
              <w:bottom w:w="80" w:type="dxa"/>
              <w:right w:w="120" w:type="dxa"/>
            </w:tcMar>
            <w:vAlign w:val="center"/>
          </w:tcPr>
          <w:p w14:paraId="39A05CB6">
            <w:pPr>
              <w:pStyle w:val="164"/>
            </w:pPr>
            <w:r>
              <w:t>场景参数与可复现标识</w:t>
            </w:r>
          </w:p>
        </w:tc>
      </w:tr>
      <w:tr w14:paraId="600206E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0DB60E0">
            <w:pPr>
              <w:pStyle w:val="164"/>
            </w:pPr>
            <w:r>
              <w:t>SimulatorAdapter</w:t>
            </w:r>
          </w:p>
        </w:tc>
        <w:tc>
          <w:tcPr>
            <w:tcW w:w="3600" w:type="dxa"/>
            <w:tcMar>
              <w:top w:w="80" w:type="dxa"/>
              <w:left w:w="120" w:type="dxa"/>
              <w:bottom w:w="80" w:type="dxa"/>
              <w:right w:w="120" w:type="dxa"/>
            </w:tcMar>
            <w:vAlign w:val="center"/>
          </w:tcPr>
          <w:p w14:paraId="7DB9C8E0">
            <w:pPr>
              <w:pStyle w:val="164"/>
            </w:pPr>
            <w:r>
              <w:t>执行命令、推进请求</w:t>
            </w:r>
          </w:p>
        </w:tc>
        <w:tc>
          <w:tcPr>
            <w:tcW w:w="3560" w:type="dxa"/>
            <w:tcMar>
              <w:top w:w="80" w:type="dxa"/>
              <w:left w:w="120" w:type="dxa"/>
              <w:bottom w:w="80" w:type="dxa"/>
              <w:right w:w="120" w:type="dxa"/>
            </w:tcMar>
            <w:vAlign w:val="center"/>
          </w:tcPr>
          <w:p w14:paraId="66B88F64">
            <w:pPr>
              <w:pStyle w:val="164"/>
            </w:pPr>
            <w:r>
              <w:t>仿真内部状态</w:t>
            </w:r>
          </w:p>
        </w:tc>
      </w:tr>
      <w:tr w14:paraId="0CF974C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F3BE132">
            <w:pPr>
              <w:pStyle w:val="164"/>
            </w:pPr>
            <w:r>
              <w:t>SensorModel</w:t>
            </w:r>
          </w:p>
        </w:tc>
        <w:tc>
          <w:tcPr>
            <w:tcW w:w="3600" w:type="dxa"/>
            <w:tcMar>
              <w:top w:w="80" w:type="dxa"/>
              <w:left w:w="120" w:type="dxa"/>
              <w:bottom w:w="80" w:type="dxa"/>
              <w:right w:w="120" w:type="dxa"/>
            </w:tcMar>
            <w:vAlign w:val="center"/>
          </w:tcPr>
          <w:p w14:paraId="7E52E472">
            <w:pPr>
              <w:pStyle w:val="164"/>
            </w:pPr>
            <w:r>
              <w:t>当前仿真与传感器配置</w:t>
            </w:r>
          </w:p>
        </w:tc>
        <w:tc>
          <w:tcPr>
            <w:tcW w:w="3560" w:type="dxa"/>
            <w:tcMar>
              <w:top w:w="80" w:type="dxa"/>
              <w:left w:w="120" w:type="dxa"/>
              <w:bottom w:w="80" w:type="dxa"/>
              <w:right w:w="120" w:type="dxa"/>
            </w:tcMar>
            <w:vAlign w:val="center"/>
          </w:tcPr>
          <w:p w14:paraId="593331CF">
            <w:pPr>
              <w:pStyle w:val="164"/>
            </w:pPr>
            <w:r>
              <w:t>局部SensorPacket</w:t>
            </w:r>
          </w:p>
        </w:tc>
      </w:tr>
      <w:tr w14:paraId="11113E6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93075D4">
            <w:pPr>
              <w:pStyle w:val="164"/>
            </w:pPr>
            <w:r>
              <w:t>TrafficEstimator</w:t>
            </w:r>
          </w:p>
        </w:tc>
        <w:tc>
          <w:tcPr>
            <w:tcW w:w="3600" w:type="dxa"/>
            <w:tcMar>
              <w:top w:w="80" w:type="dxa"/>
              <w:left w:w="120" w:type="dxa"/>
              <w:bottom w:w="80" w:type="dxa"/>
              <w:right w:w="120" w:type="dxa"/>
            </w:tcMar>
            <w:vAlign w:val="center"/>
          </w:tcPr>
          <w:p w14:paraId="67C95BF8">
            <w:pPr>
              <w:pStyle w:val="164"/>
            </w:pPr>
            <w:r>
              <w:t>观测包、已知信息、时间</w:t>
            </w:r>
          </w:p>
        </w:tc>
        <w:tc>
          <w:tcPr>
            <w:tcW w:w="3560" w:type="dxa"/>
            <w:tcMar>
              <w:top w:w="80" w:type="dxa"/>
              <w:left w:w="120" w:type="dxa"/>
              <w:bottom w:w="80" w:type="dxa"/>
              <w:right w:w="120" w:type="dxa"/>
            </w:tcMar>
            <w:vAlign w:val="center"/>
          </w:tcPr>
          <w:p w14:paraId="483199E1">
            <w:pPr>
              <w:pStyle w:val="164"/>
            </w:pPr>
            <w:r>
              <w:t>估计、可靠性和历史摘要</w:t>
            </w:r>
          </w:p>
        </w:tc>
      </w:tr>
      <w:tr w14:paraId="3D9014C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80C3F84">
            <w:pPr>
              <w:pStyle w:val="164"/>
            </w:pPr>
            <w:r>
              <w:t>ActionCompiler</w:t>
            </w:r>
          </w:p>
        </w:tc>
        <w:tc>
          <w:tcPr>
            <w:tcW w:w="3600" w:type="dxa"/>
            <w:tcMar>
              <w:top w:w="80" w:type="dxa"/>
              <w:left w:w="120" w:type="dxa"/>
              <w:bottom w:w="80" w:type="dxa"/>
              <w:right w:w="120" w:type="dxa"/>
            </w:tcMar>
            <w:vAlign w:val="center"/>
          </w:tcPr>
          <w:p w14:paraId="1E1E4EF6">
            <w:pPr>
              <w:pStyle w:val="164"/>
            </w:pPr>
            <w:r>
              <w:t>当前允许输入、动作编号</w:t>
            </w:r>
          </w:p>
        </w:tc>
        <w:tc>
          <w:tcPr>
            <w:tcW w:w="3560" w:type="dxa"/>
            <w:tcMar>
              <w:top w:w="80" w:type="dxa"/>
              <w:left w:w="120" w:type="dxa"/>
              <w:bottom w:w="80" w:type="dxa"/>
              <w:right w:w="120" w:type="dxa"/>
            </w:tcMar>
            <w:vAlign w:val="center"/>
          </w:tcPr>
          <w:p w14:paraId="3F54572F">
            <w:pPr>
              <w:pStyle w:val="164"/>
            </w:pPr>
            <w:r>
              <w:t>固定身份的执行请求</w:t>
            </w:r>
          </w:p>
        </w:tc>
      </w:tr>
      <w:tr w14:paraId="3631A91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E08A15">
            <w:pPr>
              <w:pStyle w:val="164"/>
            </w:pPr>
            <w:r>
              <w:t>Executor</w:t>
            </w:r>
          </w:p>
        </w:tc>
        <w:tc>
          <w:tcPr>
            <w:tcW w:w="3600" w:type="dxa"/>
            <w:tcMar>
              <w:top w:w="80" w:type="dxa"/>
              <w:left w:w="120" w:type="dxa"/>
              <w:bottom w:w="80" w:type="dxa"/>
              <w:right w:w="120" w:type="dxa"/>
            </w:tcMar>
            <w:vAlign w:val="center"/>
          </w:tcPr>
          <w:p w14:paraId="6DE0783B">
            <w:pPr>
              <w:pStyle w:val="164"/>
            </w:pPr>
            <w:r>
              <w:t>请求、局部驾驶条件</w:t>
            </w:r>
          </w:p>
        </w:tc>
        <w:tc>
          <w:tcPr>
            <w:tcW w:w="3560" w:type="dxa"/>
            <w:tcMar>
              <w:top w:w="80" w:type="dxa"/>
              <w:left w:w="120" w:type="dxa"/>
              <w:bottom w:w="80" w:type="dxa"/>
              <w:right w:w="120" w:type="dxa"/>
            </w:tcMar>
            <w:vAlign w:val="center"/>
          </w:tcPr>
          <w:p w14:paraId="6B8E8242">
            <w:pPr>
              <w:pStyle w:val="164"/>
            </w:pPr>
            <w:r>
              <w:t>控制命令与执行状态</w:t>
            </w:r>
          </w:p>
        </w:tc>
      </w:tr>
      <w:tr w14:paraId="03A3B96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AFA630F">
            <w:pPr>
              <w:pStyle w:val="164"/>
            </w:pPr>
            <w:r>
              <w:t>Evaluator</w:t>
            </w:r>
          </w:p>
        </w:tc>
        <w:tc>
          <w:tcPr>
            <w:tcW w:w="3600" w:type="dxa"/>
            <w:tcMar>
              <w:top w:w="80" w:type="dxa"/>
              <w:left w:w="120" w:type="dxa"/>
              <w:bottom w:w="80" w:type="dxa"/>
              <w:right w:w="120" w:type="dxa"/>
            </w:tcMar>
            <w:vAlign w:val="center"/>
          </w:tcPr>
          <w:p w14:paraId="43A4CB74">
            <w:pPr>
              <w:pStyle w:val="164"/>
            </w:pPr>
            <w:r>
              <w:t>估计、标签、成本、时间</w:t>
            </w:r>
          </w:p>
        </w:tc>
        <w:tc>
          <w:tcPr>
            <w:tcW w:w="3560" w:type="dxa"/>
            <w:tcMar>
              <w:top w:w="80" w:type="dxa"/>
              <w:left w:w="120" w:type="dxa"/>
              <w:bottom w:w="80" w:type="dxa"/>
              <w:right w:w="120" w:type="dxa"/>
            </w:tcMar>
            <w:vAlign w:val="center"/>
          </w:tcPr>
          <w:p w14:paraId="131E7F9E">
            <w:pPr>
              <w:pStyle w:val="164"/>
            </w:pPr>
            <w:r>
              <w:t>奖励组成与指标</w:t>
            </w:r>
          </w:p>
        </w:tc>
      </w:tr>
    </w:tbl>
    <w:p w14:paraId="44D2587A">
      <w:pPr>
        <w:pStyle w:val="165"/>
      </w:pPr>
    </w:p>
    <w:p w14:paraId="5FEE7616">
      <w:pPr>
        <w:pStyle w:val="4"/>
      </w:pPr>
      <w:r>
        <w:t>14.2 reset的严格顺序</w:t>
      </w:r>
    </w:p>
    <w:p w14:paraId="42E8CA09">
      <w:pPr>
        <w:pStyle w:val="176"/>
        <w:numPr>
          <w:ilvl w:val="0"/>
          <w:numId w:val="7"/>
        </w:numPr>
      </w:pPr>
      <w:r>
        <w:t>初始化或使用传入的随机种子，记录场景split与配置版本。</w:t>
      </w:r>
    </w:p>
    <w:p w14:paraId="785CF35E">
      <w:pPr>
        <w:pStyle w:val="176"/>
        <w:numPr>
          <w:ilvl w:val="0"/>
          <w:numId w:val="7"/>
        </w:numPr>
      </w:pPr>
      <w:r>
        <w:t>选择道路、需求和信号配置，启动独立仿真实例。</w:t>
      </w:r>
    </w:p>
    <w:p w14:paraId="67200662">
      <w:pPr>
        <w:pStyle w:val="176"/>
        <w:numPr>
          <w:ilvl w:val="0"/>
          <w:numId w:val="7"/>
        </w:numPr>
      </w:pPr>
      <w:r>
        <w:t>执行预热，完成合法插入与初始路线设置。</w:t>
      </w:r>
    </w:p>
    <w:p w14:paraId="5B197E87">
      <w:pPr>
        <w:pStyle w:val="176"/>
        <w:numPr>
          <w:ilvl w:val="0"/>
          <w:numId w:val="7"/>
        </w:numPr>
      </w:pPr>
      <w:r>
        <w:t>清空任务计时、奖励累计、单元观测历史和估计器状态。</w:t>
      </w:r>
    </w:p>
    <w:p w14:paraId="1718B908">
      <w:pPr>
        <w:pStyle w:val="176"/>
        <w:numPr>
          <w:ilvl w:val="0"/>
          <w:numId w:val="7"/>
        </w:numPr>
      </w:pPr>
      <w:r>
        <w:t>以允许先验初始化估计器，并生成t=0时刻的有效初始观测。</w:t>
      </w:r>
    </w:p>
    <w:p w14:paraId="48C6AEDD">
      <w:pPr>
        <w:pStyle w:val="176"/>
        <w:numPr>
          <w:ilvl w:val="0"/>
          <w:numId w:val="7"/>
        </w:numPr>
      </w:pPr>
      <w:r>
        <w:t>更新估计，生成候选行为与掩码，构造首个策略输入。</w:t>
      </w:r>
    </w:p>
    <w:p w14:paraId="687246F8">
      <w:pPr>
        <w:pStyle w:val="176"/>
        <w:numPr>
          <w:ilvl w:val="0"/>
          <w:numId w:val="7"/>
        </w:numPr>
      </w:pPr>
      <w:r>
        <w:t>返回obs和必要的诊断信息；循环策略的episode_start由训练适配器维护。</w:t>
      </w:r>
    </w:p>
    <w:p w14:paraId="54A3033F">
      <w:r>
        <w:t>reset不应该把上一回合隐藏状态、归一化回报累积器或候选索引错误地带入新回合。对于观测归一化的训练统计，应按所选训练方案维护，而非每个episode重新以当前真值拟合。</w:t>
      </w:r>
    </w:p>
    <w:p w14:paraId="4A1F12C9">
      <w:pPr>
        <w:pStyle w:val="4"/>
      </w:pPr>
      <w:r>
        <w:t>14.3 step的严格顺序</w:t>
      </w:r>
    </w:p>
    <w:p w14:paraId="3F80985C">
      <w:pPr>
        <w:pStyle w:val="176"/>
        <w:numPr>
          <w:ilvl w:val="0"/>
          <w:numId w:val="8"/>
        </w:numPr>
        <w:tabs>
          <w:tab w:val="left" w:pos="540"/>
        </w:tabs>
      </w:pPr>
      <w:r>
        <w:t>使用上次返回观测对应的候选快照，解释本次采样动作。</w:t>
      </w:r>
    </w:p>
    <w:p w14:paraId="5DCBF0B2">
      <w:pPr>
        <w:pStyle w:val="176"/>
        <w:numPr>
          <w:ilvl w:val="0"/>
          <w:numId w:val="8"/>
        </w:numPr>
        <w:tabs>
          <w:tab w:val="left" w:pos="540"/>
        </w:tabs>
      </w:pPr>
      <w:r>
        <w:t>将请求提交执行器；对无效请求执行预先定义的后备处理并记录原因。</w:t>
      </w:r>
    </w:p>
    <w:p w14:paraId="11BB164F">
      <w:pPr>
        <w:pStyle w:val="176"/>
        <w:numPr>
          <w:ilvl w:val="0"/>
          <w:numId w:val="8"/>
        </w:numPr>
        <w:tabs>
          <w:tab w:val="left" w:pos="540"/>
        </w:tabs>
      </w:pPr>
      <w:r>
        <w:t>逐个基础tick更新驾驶命令并推进全体车辆与信号。</w:t>
      </w:r>
    </w:p>
    <w:p w14:paraId="06BEFA28">
      <w:pPr>
        <w:pStyle w:val="176"/>
        <w:numPr>
          <w:ilvl w:val="0"/>
          <w:numId w:val="8"/>
        </w:numPr>
        <w:tabs>
          <w:tab w:val="left" w:pos="540"/>
        </w:tabs>
      </w:pPr>
      <w:r>
        <w:t>到达观测时刻时生成观测包，按时间更新估计器和信息记录。</w:t>
      </w:r>
    </w:p>
    <w:p w14:paraId="78FC1762">
      <w:pPr>
        <w:pStyle w:val="176"/>
        <w:numPr>
          <w:ilvl w:val="0"/>
          <w:numId w:val="8"/>
        </w:numPr>
        <w:tabs>
          <w:tab w:val="left" w:pos="540"/>
        </w:tabs>
      </w:pPr>
      <w:r>
        <w:t>在评价时刻对齐估计与真值，按实际区间长度累计误差和可分解成本。</w:t>
      </w:r>
    </w:p>
    <w:p w14:paraId="7D673093">
      <w:pPr>
        <w:pStyle w:val="176"/>
        <w:numPr>
          <w:ilvl w:val="0"/>
          <w:numId w:val="8"/>
        </w:numPr>
        <w:tabs>
          <w:tab w:val="left" w:pos="540"/>
        </w:tabs>
      </w:pPr>
      <w:r>
        <w:t>检查任务终止；不足完整交互间隔的尾段也按实际时间处理。</w:t>
      </w:r>
    </w:p>
    <w:p w14:paraId="2A6EFB38">
      <w:pPr>
        <w:pStyle w:val="176"/>
        <w:numPr>
          <w:ilvl w:val="0"/>
          <w:numId w:val="8"/>
        </w:numPr>
        <w:tabs>
          <w:tab w:val="left" w:pos="540"/>
        </w:tabs>
      </w:pPr>
      <w:r>
        <w:t>构造真实后继观测与新候选，返回奖励及terminated、truncated。</w:t>
      </w:r>
    </w:p>
    <w:p w14:paraId="59C374E4">
      <w:r>
        <w:t>Gymnasium的五项step返回值与部分向量环境库的四项封装不同。适配层要明确转换，不通过猜测元组长度混用接口。[R14]</w:t>
      </w:r>
    </w:p>
    <w:p w14:paraId="71876A00">
      <w:pPr>
        <w:pStyle w:val="4"/>
      </w:pPr>
      <w:r>
        <w:t>14.4 从控制时序防止未来信息进入输入</w:t>
      </w:r>
    </w:p>
    <w:p w14:paraId="492A5D5E">
      <w:r>
        <w:t>动作必须在新的仿真演化之前确定。策略不能先读取t+1的全局队列，再把该动作记录为t时刻选择。离线构造o_k时也要遵守相同因果顺序，特别是双向Transformer、整段窗口归一化和离线平滑结果。</w:t>
      </w:r>
    </w:p>
    <w:p w14:paraId="4B3F2E49">
      <w:r>
        <w:t>传感器捕获时间、处理完成时间和任务目标时间可以不同。首版零延迟假设简化了同步，后续加入延迟时必须保留原始捕获时间，避免把延迟测量造成的信息错误归因到路线选择。</w:t>
      </w:r>
    </w:p>
    <w:p w14:paraId="5238AA28">
      <w:pPr>
        <w:pStyle w:val="4"/>
      </w:pPr>
      <w:r>
        <w:t>14.5 终点观测与自动reset</w:t>
      </w:r>
    </w:p>
    <w:p w14:paraId="6981172E">
      <w:r>
        <w:t>向量环境可能在episode结束后自动reset。训练缓冲区需要的是结束转移的真实最终观测，不能把下一回合的初始观测当成它的后继状态。具体终点字段名随库和wrapper不同，应在适配器中统一为明确的数据结构。</w:t>
      </w:r>
    </w:p>
    <w:p w14:paraId="6C7990BA">
      <w:r>
        <w:t>真实终止不自举；外部截断在有效最终观测上自举，但优势递推不能跨入新回合。隐藏状态也在reset边界更新。第15章给出自举掩码与序列继续掩码分离的公式。</w:t>
      </w:r>
    </w:p>
    <w:p w14:paraId="00893952">
      <w:pPr>
        <w:pStyle w:val="4"/>
      </w:pPr>
      <w:r>
        <w:t>14.6 日志与错误处理</w:t>
      </w:r>
    </w:p>
    <w:p w14:paraId="564B61B2">
      <w:r>
        <w:t>每步保存episode_id、场景seed、物理时间、动作请求、执行状态、观测覆盖、估计误差和奖励分项。全局真值可放入独立的监督/评测字段，但不通过普通特征拼接或历史奖励输入回流到Actor。</w:t>
      </w:r>
    </w:p>
    <w:p w14:paraId="6D8E2F1C">
      <w:r>
        <w:t>非法候选、全零掩码、探测车消失、时钟不同步和NaN应报告具体原因。不要用全零观测和零奖励掩盖错误。基础设施故障与任务失败分开统计，重试也保留原始场景标识，避免只留下容易成功的场景。</w:t>
      </w:r>
    </w:p>
    <w:p w14:paraId="395A43B4">
      <w:pPr>
        <w:pStyle w:val="3"/>
        <w:pageBreakBefore/>
      </w:pPr>
      <w:bookmarkStart w:id="16" w:name="chapter_15"/>
      <w:r>
        <w:t>15 Actor–Critic、A2C与PPO的学习原理</w:t>
      </w:r>
      <w:bookmarkEnd w:id="16"/>
    </w:p>
    <w:p w14:paraId="162F08EA">
      <w:pPr>
        <w:pStyle w:val="4"/>
      </w:pPr>
      <w:r>
        <w:t>15.1 策略究竟学习什么</w:t>
      </w:r>
    </w:p>
    <w:p w14:paraId="4AC1AC86">
      <w:r>
        <w:t>策略学习的是“在这种可用信息和预算条件下，哪些行动序列通常带来较好任务结果”。它不是记住每条道路的固定奖励，也不需要每个精确交通状态各训练一套模型。通过多个场景交互，共享参数逐步形成条件决策规律。</w:t>
      </w:r>
    </w:p>
    <w:p w14:paraId="560882D1">
      <w:r>
        <w:t>交通仿真决定动作之后实际发生什么，评价器给出任务反馈。奖励只是一个标量，不能直接告诉Actor所有未尝试动作的真实效果。学习依靠采样、价值估计与多次参数更新，存在方差、局部最优和样本效率限制。</w:t>
      </w:r>
    </w:p>
    <w:p w14:paraId="06206998">
      <w:pPr>
        <w:pStyle w:val="4"/>
      </w:pPr>
      <w:r>
        <w:t>15.2 回报与价值函数</w:t>
      </w:r>
    </w:p>
    <w:p w14:paraId="6DB4CF78">
      <w:pPr>
        <w:pStyle w:val="167"/>
        <w:keepNext/>
      </w:pPr>
      <m:oMathPara>
        <m:oMath>
          <m:sSub>
            <m:sSubPr/>
            <m:e>
              <m:r>
                <m:rPr/>
                <w:rPr>
                  <w:rFonts w:ascii="Cambria Math" w:hAnsi="Cambria Math" w:eastAsia="Noto Sans CJK SC"/>
                </w:rPr>
                <m:t>G</m:t>
              </m:r>
            </m:e>
            <m:sub>
              <m:r>
                <m:rPr/>
                <w:rPr>
                  <w:rFonts w:ascii="Cambria Math" w:hAnsi="Cambria Math" w:eastAsia="Noto Sans CJK SC"/>
                </w:rPr>
                <m:t>k</m:t>
              </m:r>
            </m:sub>
          </m:sSub>
          <m:r>
            <m:rPr/>
            <w:rPr>
              <w:rFonts w:ascii="Cambria Math" w:hAnsi="Cambria Math" w:eastAsia="Noto Sans CJK SC"/>
            </w:rPr>
            <m:t xml:space="preserve"> = </m:t>
          </m:r>
          <m:nary>
            <m:naryPr>
              <m:chr m:val="∑"/>
              <m:limLoc m:val="undOvr"/>
            </m:naryPr>
            <m:sub>
              <m:r>
                <m:rPr/>
                <w:rPr>
                  <w:rFonts w:ascii="Cambria Math" w:hAnsi="Cambria Math" w:eastAsia="Noto Sans CJK SC"/>
                </w:rPr>
                <m:t>i=k</m:t>
              </m:r>
            </m:sub>
            <m:sup>
              <m:r>
                <m:rPr/>
                <w:rPr>
                  <w:rFonts w:ascii="Cambria Math" w:hAnsi="Cambria Math" w:eastAsia="Noto Sans CJK SC"/>
                </w:rPr>
                <m:t>T−1</m:t>
              </m:r>
            </m:sup>
            <m:e>
              <m:sSup>
                <m:sSupPr/>
                <m:e>
                  <m:r>
                    <m:rPr/>
                    <w:rPr>
                      <w:rFonts w:ascii="Cambria Math" w:hAnsi="Cambria Math" w:eastAsia="Noto Sans CJK SC"/>
                    </w:rPr>
                    <m:t>γ</m:t>
                  </m:r>
                </m:e>
                <m:sup>
                  <m:r>
                    <m:rPr/>
                    <w:rPr>
                      <w:rFonts w:ascii="Cambria Math" w:hAnsi="Cambria Math" w:eastAsia="Noto Sans CJK SC"/>
                    </w:rPr>
                    <m:t>i−k</m:t>
                  </m:r>
                </m:sup>
              </m:sSup>
              <m:sSub>
                <m:sSubPr/>
                <m:e>
                  <m:r>
                    <m:rPr/>
                    <w:rPr>
                      <w:rFonts w:ascii="Cambria Math" w:hAnsi="Cambria Math" w:eastAsia="Noto Sans CJK SC"/>
                    </w:rPr>
                    <m:t>r</m:t>
                  </m:r>
                </m:e>
                <m:sub>
                  <m:r>
                    <m:rPr/>
                    <w:rPr>
                      <w:rFonts w:ascii="Cambria Math" w:hAnsi="Cambria Math" w:eastAsia="Noto Sans CJK SC"/>
                    </w:rPr>
                    <m:t>i</m:t>
                  </m:r>
                </m:sub>
              </m:sSub>
            </m:e>
          </m:nary>
        </m:oMath>
      </m:oMathPara>
    </w:p>
    <w:p w14:paraId="5EE374C3">
      <w:pPr>
        <w:pStyle w:val="167"/>
      </w:pPr>
      <m:oMath>
        <m:sSup>
          <m:sSupPr/>
          <m:e>
            <m:r>
              <m:rPr/>
              <w:rPr>
                <w:rFonts w:ascii="Cambria Math" w:hAnsi="Cambria Math" w:eastAsia="Noto Sans CJK SC"/>
              </w:rPr>
              <m:t>V</m:t>
            </m:r>
          </m:e>
          <m:sup>
            <m:r>
              <m:rPr/>
              <w:rPr>
                <w:rFonts w:ascii="Cambria Math" w:hAnsi="Cambria Math" w:eastAsia="Noto Sans CJK SC"/>
              </w:rPr>
              <m:t>π</m:t>
            </m:r>
          </m:sup>
        </m:sSup>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E</m:t>
            </m:r>
          </m:e>
          <m:sub>
            <m:r>
              <m:rPr/>
              <w:rPr>
                <w:rFonts w:ascii="Cambria Math" w:hAnsi="Cambria Math" w:eastAsia="Noto Sans CJK SC"/>
              </w:rPr>
              <m:t>π</m:t>
            </m:r>
          </m:sub>
        </m:sSub>
        <m:r>
          <m:rPr/>
          <w:rPr>
            <w:rFonts w:ascii="Cambria Math" w:hAnsi="Cambria Math" w:eastAsia="Noto Sans CJK SC"/>
          </w:rPr>
          <m:t>[</m:t>
        </m:r>
        <m:sSub>
          <m:sSubPr/>
          <m:e>
            <m:r>
              <m:rPr/>
              <w:rPr>
                <w:rFonts w:ascii="Cambria Math" w:hAnsi="Cambria Math" w:eastAsia="Noto Sans CJK SC"/>
              </w:rPr>
              <m:t>G</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m:t>
        </m:r>
      </m:oMath>
      <w:r>
        <w:t xml:space="preserve">   (15)</w:t>
      </w:r>
    </w:p>
    <w:p w14:paraId="4868A3AA">
      <w:r>
        <w:t>回报G_k描述从当前时刻开始的累计奖励。价值函数V估计在当前可用历史条件下继续执行策略时的期望回报。对于有限预算问题，剩余时间属于输入，因为相同交通信息在剩余10秒和100秒时的未来机会不同。</w:t>
      </w:r>
    </w:p>
    <w:p w14:paraId="1D411A7D">
      <w:r>
        <w:t>这里的“平均水平”是条件期望，不是最初5次奖励的算术平均，也不是同一位置所有动作简单取平均。价值网络通过大量不同输入和回报目标学习这个映射。[R04、R21]</w:t>
      </w:r>
    </w:p>
    <w:p w14:paraId="112AE89B">
      <w:pPr>
        <w:pStyle w:val="4"/>
      </w:pPr>
      <w:r>
        <w:t>15.3 n步自举与n_steps的区别</w:t>
      </w:r>
    </w:p>
    <w:p w14:paraId="28319260">
      <w:pPr>
        <w:pStyle w:val="167"/>
      </w:pPr>
      <m:oMath>
        <m:sSubSup>
          <m:sSubSupPr/>
          <m:e>
            <m:r>
              <m:rPr/>
              <w:rPr>
                <w:rFonts w:ascii="Cambria Math" w:hAnsi="Cambria Math" w:eastAsia="Noto Sans CJK SC"/>
              </w:rPr>
              <m:t>G</m:t>
            </m:r>
          </m:e>
          <m:sub>
            <m:r>
              <m:rPr/>
              <w:rPr>
                <w:rFonts w:ascii="Cambria Math" w:hAnsi="Cambria Math" w:eastAsia="Noto Sans CJK SC"/>
              </w:rPr>
              <m:t>k</m:t>
            </m:r>
          </m:sub>
          <m:sup>
            <m:r>
              <m:rPr/>
              <w:rPr>
                <w:rFonts w:ascii="Cambria Math" w:hAnsi="Cambria Math" w:eastAsia="Noto Sans CJK SC"/>
              </w:rPr>
              <m:t>(n)</m:t>
            </m:r>
          </m:sup>
        </m:sSubSup>
        <m:r>
          <m:rPr/>
          <w:rPr>
            <w:rFonts w:ascii="Cambria Math" w:hAnsi="Cambria Math" w:eastAsia="Noto Sans CJK SC"/>
          </w:rPr>
          <m:t xml:space="preserve"> = </m:t>
        </m:r>
        <m:nary>
          <m:naryPr>
            <m:chr m:val="∑"/>
            <m:limLoc m:val="undOvr"/>
          </m:naryPr>
          <m:sub>
            <m:r>
              <m:rPr/>
              <w:rPr>
                <w:rFonts w:ascii="Cambria Math" w:hAnsi="Cambria Math" w:eastAsia="Noto Sans CJK SC"/>
              </w:rPr>
              <m:t>i=0</m:t>
            </m:r>
          </m:sub>
          <m:sup>
            <m:r>
              <m:rPr/>
              <w:rPr>
                <w:rFonts w:ascii="Cambria Math" w:hAnsi="Cambria Math" w:eastAsia="Noto Sans CJK SC"/>
              </w:rPr>
              <m:t>n−1</m:t>
            </m:r>
          </m:sup>
          <m:e>
            <m:sSup>
              <m:sSupPr/>
              <m:e>
                <m:r>
                  <m:rPr/>
                  <w:rPr>
                    <w:rFonts w:ascii="Cambria Math" w:hAnsi="Cambria Math" w:eastAsia="Noto Sans CJK SC"/>
                  </w:rPr>
                  <m:t>γ</m:t>
                </m:r>
              </m:e>
              <m:sup>
                <m:r>
                  <m:rPr/>
                  <w:rPr>
                    <w:rFonts w:ascii="Cambria Math" w:hAnsi="Cambria Math" w:eastAsia="Noto Sans CJK SC"/>
                  </w:rPr>
                  <m:t>i</m:t>
                </m:r>
              </m:sup>
            </m:sSup>
            <m:sSub>
              <m:sSubPr/>
              <m:e>
                <m:r>
                  <m:rPr/>
                  <w:rPr>
                    <w:rFonts w:ascii="Cambria Math" w:hAnsi="Cambria Math" w:eastAsia="Noto Sans CJK SC"/>
                  </w:rPr>
                  <m:t>r</m:t>
                </m:r>
              </m:e>
              <m:sub>
                <m:r>
                  <m:rPr/>
                  <w:rPr>
                    <w:rFonts w:ascii="Cambria Math" w:hAnsi="Cambria Math" w:eastAsia="Noto Sans CJK SC"/>
                  </w:rPr>
                  <m:t>k+i</m:t>
                </m:r>
              </m:sub>
            </m:sSub>
          </m:e>
        </m:nary>
        <m:r>
          <m:rPr/>
          <w:rPr>
            <w:rFonts w:ascii="Cambria Math" w:hAnsi="Cambria Math" w:eastAsia="Noto Sans CJK SC"/>
          </w:rPr>
          <m:t xml:space="preserve"> + </m:t>
        </m:r>
        <m:sSup>
          <m:sSupPr/>
          <m:e>
            <m:r>
              <m:rPr/>
              <w:rPr>
                <w:rFonts w:ascii="Cambria Math" w:hAnsi="Cambria Math" w:eastAsia="Noto Sans CJK SC"/>
              </w:rPr>
              <m:t>γ</m:t>
            </m:r>
          </m:e>
          <m:sup>
            <m:r>
              <m:rPr/>
              <w:rPr>
                <w:rFonts w:ascii="Cambria Math" w:hAnsi="Cambria Math" w:eastAsia="Noto Sans CJK SC"/>
              </w:rPr>
              <m:t>n</m:t>
            </m:r>
          </m:sup>
        </m:sSup>
        <m:sSubSup>
          <m:sSubSupPr/>
          <m:e>
            <m:r>
              <m:rPr/>
              <w:rPr>
                <w:rFonts w:ascii="Cambria Math" w:hAnsi="Cambria Math" w:eastAsia="Noto Sans CJK SC"/>
              </w:rPr>
              <m:t>b</m:t>
            </m:r>
          </m:e>
          <m:sub>
            <m:r>
              <m:rPr/>
              <w:rPr>
                <w:rFonts w:ascii="Cambria Math" w:hAnsi="Cambria Math" w:eastAsia="Noto Sans CJK SC"/>
              </w:rPr>
              <m:t>k,n</m:t>
            </m:r>
          </m:sub>
          <m:sup>
            <m:r>
              <m:rPr/>
              <w:rPr>
                <w:rFonts w:ascii="Cambria Math" w:hAnsi="Cambria Math" w:eastAsia="Noto Sans CJK SC"/>
              </w:rPr>
              <m:t>boot</m:t>
            </m:r>
          </m:sup>
        </m:sSubSup>
        <m:sSub>
          <m:sSubPr/>
          <m:e>
            <m:r>
              <m:rPr/>
              <w:rPr>
                <w:rFonts w:ascii="Cambria Math" w:hAnsi="Cambria Math" w:eastAsia="Noto Sans CJK SC"/>
              </w:rPr>
              <m:t>V</m:t>
            </m:r>
          </m:e>
          <m:sub>
            <m:r>
              <m:rPr/>
              <w:rPr>
                <w:rFonts w:ascii="Cambria Math" w:hAnsi="Cambria Math" w:eastAsia="Noto Sans CJK SC"/>
              </w:rPr>
              <m:t>old</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k+n</m:t>
            </m:r>
          </m:sub>
        </m:sSub>
        <m:r>
          <m:rPr/>
          <w:rPr>
            <w:rFonts w:ascii="Cambria Math" w:hAnsi="Cambria Math" w:eastAsia="Noto Sans CJK SC"/>
          </w:rPr>
          <m:t>)</m:t>
        </m:r>
      </m:oMath>
      <w:r>
        <w:t xml:space="preserve">   (16)</w:t>
      </w:r>
    </w:p>
    <w:p w14:paraId="7A913784">
      <w:r>
        <w:t>n步目标使用实际采样的n个奖励，加上第n步后继价值来估计更远收益。n取当前回合内实际可用的采样长度，不跨入下一回合。真正任务终止时后继价值项为零。如果只因采样缓冲区或外部截断而停止，在有效后继信息上自举。</w:t>
      </w:r>
    </w:p>
    <w:p w14:paraId="29BED734">
      <w:r>
        <w:t>较短n更多依赖价值网络，较长n使用更多实际奖励但通常有更大采样方差。n=3或5都不是由物理道路单元决定的。A2C中常把每次更新的采样长度与n步目标直接联系；PPO中的n_steps通常表示每个环境每批rollout长度，优势还可通过GAE计算，不能把两者完全等同。</w:t>
      </w:r>
    </w:p>
    <w:p w14:paraId="54650E2B">
      <w:pPr>
        <w:pStyle w:val="4"/>
      </w:pPr>
      <w:r>
        <w:t>15.4 Advantage与Critic目标</w:t>
      </w:r>
    </w:p>
    <w:p w14:paraId="5903430C">
      <w:pPr>
        <w:pStyle w:val="167"/>
      </w:pPr>
      <m:oMath>
        <m:acc>
          <m:accPr/>
          <m:e>
            <m:sSub>
              <m:sSubPr/>
              <m:e>
                <m:r>
                  <m:rPr/>
                  <w:rPr>
                    <w:rFonts w:ascii="Cambria Math" w:hAnsi="Cambria Math" w:eastAsia="Noto Sans CJK SC"/>
                  </w:rPr>
                  <m:t>A</m:t>
                </m:r>
              </m:e>
              <m:sub>
                <m:r>
                  <m:rPr/>
                  <w:rPr>
                    <w:rFonts w:ascii="Cambria Math" w:hAnsi="Cambria Math" w:eastAsia="Noto Sans CJK SC"/>
                  </w:rPr>
                  <m:t>k</m:t>
                </m:r>
              </m:sub>
            </m:sSub>
          </m:e>
        </m:acc>
        <m:r>
          <m:rPr/>
          <w:rPr>
            <w:rFonts w:ascii="Cambria Math" w:hAnsi="Cambria Math" w:eastAsia="Noto Sans CJK SC"/>
          </w:rPr>
          <m:t xml:space="preserve"> = </m:t>
        </m:r>
        <m:sSubSup>
          <m:sSubSupPr/>
          <m:e>
            <m:r>
              <m:rPr/>
              <w:rPr>
                <w:rFonts w:ascii="Cambria Math" w:hAnsi="Cambria Math" w:eastAsia="Noto Sans CJK SC"/>
              </w:rPr>
              <m:t>G</m:t>
            </m:r>
          </m:e>
          <m:sub>
            <m:r>
              <m:rPr/>
              <w:rPr>
                <w:rFonts w:ascii="Cambria Math" w:hAnsi="Cambria Math" w:eastAsia="Noto Sans CJK SC"/>
              </w:rPr>
              <m:t>k</m:t>
            </m:r>
          </m:sub>
          <m:sup>
            <m:r>
              <m:rPr/>
              <w:rPr>
                <w:rFonts w:ascii="Cambria Math" w:hAnsi="Cambria Math" w:eastAsia="Noto Sans CJK SC"/>
              </w:rPr>
              <m:t>target</m:t>
            </m:r>
          </m:sup>
        </m:sSubSup>
        <m:r>
          <m:rPr/>
          <w:rPr>
            <w:rFonts w:ascii="Cambria Math" w:hAnsi="Cambria Math" w:eastAsia="Noto Sans CJK SC"/>
          </w:rPr>
          <m:t xml:space="preserve"> − </m:t>
        </m:r>
        <m:sSub>
          <m:sSubPr/>
          <m:e>
            <m:r>
              <m:rPr/>
              <w:rPr>
                <w:rFonts w:ascii="Cambria Math" w:hAnsi="Cambria Math" w:eastAsia="Noto Sans CJK SC"/>
              </w:rPr>
              <m:t>V</m:t>
            </m:r>
          </m:e>
          <m:sub>
            <m:r>
              <m:rPr/>
              <w:rPr>
                <w:rFonts w:ascii="Cambria Math" w:hAnsi="Cambria Math" w:eastAsia="Noto Sans CJK SC"/>
              </w:rPr>
              <m:t>old</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m:t>
        </m:r>
      </m:oMath>
      <w:r>
        <w:t xml:space="preserve">   (17)</w:t>
      </w:r>
    </w:p>
    <w:p w14:paraId="1E10D8C3">
      <w:r>
        <w:t>如果采样回报比V预测的更高，优势为正，说明这个动作及之后经历的结果比原有预期更好。即时奖励为负时，优势仍可能为正，因为“没那么差”也可以优于预期。</w:t>
      </w:r>
    </w:p>
    <w:p w14:paraId="3B81A904">
      <w:r>
        <w:t>Critic以回报目标为监督，通过平方误差等损失学习。Actor使用优势调整动作概率。Actor损失中的优势通常停止梯度，避免Actor通过修改价值预测来降低自身损失。若Actor和Critic共享特征编码器，共享部分仍可分别接收两类损失的梯度；这不等于允许梯度经优势值任意回流。</w:t>
      </w:r>
    </w:p>
    <w:p w14:paraId="0C54E246">
      <w:pPr>
        <w:pStyle w:val="167"/>
        <w:keepNext/>
      </w:pPr>
      <m:oMathPara>
        <m:oMath>
          <m:sSub>
            <m:sSubPr/>
            <m:e>
              <m:r>
                <m:rPr/>
                <w:rPr>
                  <w:rFonts w:ascii="Cambria Math" w:hAnsi="Cambria Math" w:eastAsia="Noto Sans CJK SC"/>
                </w:rPr>
                <m:t>L</m:t>
              </m:r>
            </m:e>
            <m:sub>
              <m:r>
                <m:rPr/>
                <w:rPr>
                  <w:rFonts w:ascii="Cambria Math" w:hAnsi="Cambria Math" w:eastAsia="Noto Sans CJK SC"/>
                </w:rPr>
                <m:t>actor</m:t>
              </m:r>
            </m:sub>
          </m:sSub>
          <m:r>
            <m:rPr/>
            <w:rPr>
              <w:rFonts w:ascii="Cambria Math" w:hAnsi="Cambria Math" w:eastAsia="Noto Sans CJK SC"/>
            </w:rPr>
            <m:t xml:space="preserve"> = −E[log </m:t>
          </m:r>
          <m:sSub>
            <m:sSubPr/>
            <m:e>
              <m:r>
                <m:rPr/>
                <w:rPr>
                  <w:rFonts w:ascii="Cambria Math" w:hAnsi="Cambria Math" w:eastAsia="Noto Sans CJK SC"/>
                </w:rPr>
                <m:t>π</m:t>
              </m:r>
            </m:e>
            <m:sub>
              <m:r>
                <m:rPr/>
                <w:rPr>
                  <w:rFonts w:ascii="Cambria Math" w:hAnsi="Cambria Math" w:eastAsia="Noto Sans CJK SC"/>
                </w:rPr>
                <m:t>θ</m:t>
              </m:r>
            </m:sub>
          </m:sSub>
          <m:r>
            <m:rPr/>
            <w:rPr>
              <w:rFonts w:ascii="Cambria Math" w:hAnsi="Cambria Math" w:eastAsia="Noto Sans CJK SC"/>
            </w:rPr>
            <m:t>(</m:t>
          </m:r>
          <m:sSub>
            <m:sSubPr/>
            <m:e>
              <m:r>
                <m:rPr/>
                <w:rPr>
                  <w:rFonts w:ascii="Cambria Math" w:hAnsi="Cambria Math" w:eastAsia="Noto Sans CJK SC"/>
                </w:rPr>
                <m:t>a</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stopgrad(</m:t>
          </m:r>
          <m:acc>
            <m:accPr/>
            <m:e>
              <m:sSub>
                <m:sSubPr/>
                <m:e>
                  <m:r>
                    <m:rPr/>
                    <w:rPr>
                      <w:rFonts w:ascii="Cambria Math" w:hAnsi="Cambria Math" w:eastAsia="Noto Sans CJK SC"/>
                    </w:rPr>
                    <m:t>A</m:t>
                  </m:r>
                </m:e>
                <m:sub>
                  <m:r>
                    <m:rPr/>
                    <w:rPr>
                      <w:rFonts w:ascii="Cambria Math" w:hAnsi="Cambria Math" w:eastAsia="Noto Sans CJK SC"/>
                    </w:rPr>
                    <m:t>k</m:t>
                  </m:r>
                </m:sub>
              </m:sSub>
            </m:e>
          </m:acc>
          <m:r>
            <m:rPr/>
            <w:rPr>
              <w:rFonts w:ascii="Cambria Math" w:hAnsi="Cambria Math" w:eastAsia="Noto Sans CJK SC"/>
            </w:rPr>
            <m:t>)]</m:t>
          </m:r>
        </m:oMath>
      </m:oMathPara>
    </w:p>
    <w:p w14:paraId="466A38EA">
      <w:pPr>
        <w:pStyle w:val="167"/>
      </w:pPr>
      <m:oMath>
        <m:sSub>
          <m:sSubPr/>
          <m:e>
            <m:r>
              <m:rPr/>
              <w:rPr>
                <w:rFonts w:ascii="Cambria Math" w:hAnsi="Cambria Math" w:eastAsia="Noto Sans CJK SC"/>
              </w:rPr>
              <m:t>L</m:t>
            </m:r>
          </m:e>
          <m:sub>
            <m:r>
              <m:rPr/>
              <w:rPr>
                <w:rFonts w:ascii="Cambria Math" w:hAnsi="Cambria Math" w:eastAsia="Noto Sans CJK SC"/>
              </w:rPr>
              <m:t>critic</m:t>
            </m:r>
          </m:sub>
        </m:sSub>
        <m:r>
          <m:rPr/>
          <w:rPr>
            <w:rFonts w:ascii="Cambria Math" w:hAnsi="Cambria Math" w:eastAsia="Noto Sans CJK SC"/>
          </w:rPr>
          <m:t xml:space="preserve"> = E[</m:t>
        </m:r>
        <m:sSup>
          <m:sSupPr/>
          <m:e>
            <m:r>
              <m:rPr/>
              <w:rPr>
                <w:rFonts w:ascii="Cambria Math" w:hAnsi="Cambria Math" w:eastAsia="Noto Sans CJK SC"/>
              </w:rPr>
              <m:t>(</m:t>
            </m:r>
            <m:sSub>
              <m:sSubPr/>
              <m:e>
                <m:r>
                  <m:rPr/>
                  <w:rPr>
                    <w:rFonts w:ascii="Cambria Math" w:hAnsi="Cambria Math" w:eastAsia="Noto Sans CJK SC"/>
                  </w:rPr>
                  <m:t>V</m:t>
                </m:r>
              </m:e>
              <m:sub>
                <m:r>
                  <m:rPr/>
                  <w:rPr>
                    <w:rFonts w:ascii="Cambria Math" w:hAnsi="Cambria Math" w:eastAsia="Noto Sans CJK SC"/>
                  </w:rPr>
                  <m:t>ψ</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 stopgrad(</m:t>
            </m:r>
            <m:sSubSup>
              <m:sSubSupPr/>
              <m:e>
                <m:r>
                  <m:rPr/>
                  <w:rPr>
                    <w:rFonts w:ascii="Cambria Math" w:hAnsi="Cambria Math" w:eastAsia="Noto Sans CJK SC"/>
                  </w:rPr>
                  <m:t>G</m:t>
                </m:r>
              </m:e>
              <m:sub>
                <m:r>
                  <m:rPr/>
                  <w:rPr>
                    <w:rFonts w:ascii="Cambria Math" w:hAnsi="Cambria Math" w:eastAsia="Noto Sans CJK SC"/>
                  </w:rPr>
                  <m:t>k</m:t>
                </m:r>
              </m:sub>
              <m:sup>
                <m:r>
                  <m:rPr/>
                  <w:rPr>
                    <w:rFonts w:ascii="Cambria Math" w:hAnsi="Cambria Math" w:eastAsia="Noto Sans CJK SC"/>
                  </w:rPr>
                  <m:t>target</m:t>
                </m:r>
              </m:sup>
            </m:sSubSup>
            <m:r>
              <m:rPr/>
              <w:rPr>
                <w:rFonts w:ascii="Cambria Math" w:hAnsi="Cambria Math" w:eastAsia="Noto Sans CJK SC"/>
              </w:rPr>
              <m:t>))</m:t>
            </m:r>
          </m:e>
          <m:sup>
            <m:r>
              <m:rPr/>
              <w:rPr>
                <w:rFonts w:ascii="Cambria Math" w:hAnsi="Cambria Math" w:eastAsia="Noto Sans CJK SC"/>
              </w:rPr>
              <m:t>2</m:t>
            </m:r>
          </m:sup>
        </m:sSup>
        <m:r>
          <m:rPr/>
          <w:rPr>
            <w:rFonts w:ascii="Cambria Math" w:hAnsi="Cambria Math" w:eastAsia="Noto Sans CJK SC"/>
          </w:rPr>
          <m:t>]</m:t>
        </m:r>
      </m:oMath>
      <w:r>
        <w:t xml:space="preserve">   (18)</w:t>
      </w:r>
    </w:p>
    <w:p w14:paraId="6F8BB543">
      <w:pPr>
        <w:pStyle w:val="4"/>
      </w:pPr>
      <w:r>
        <w:t>15.5 一个三步数值例子</w:t>
      </w:r>
    </w:p>
    <w:p w14:paraId="54562359">
      <w:r>
        <w:t>设γ=1，三步后真实任务结束，采样奖励为−0.02、−0.03、−0.01；旧价值预测为−0.08、−0.06、−0.02。此处仅说明算法计算，奖励不是已训练项目结果。</w:t>
      </w:r>
    </w:p>
    <w:p w14:paraId="66B79202">
      <w:pPr>
        <w:pStyle w:val="15"/>
        <w:keepNext/>
      </w:pPr>
      <w:r>
        <w:t>表 18  时刻 / 即时奖励</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1650"/>
        <w:gridCol w:w="1510"/>
        <w:gridCol w:w="1750"/>
        <w:gridCol w:w="2810"/>
        <w:gridCol w:w="1640"/>
      </w:tblGrid>
      <w:tr w14:paraId="2BB35F0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1650" w:type="dxa"/>
            <w:shd w:val="clear" w:color="auto" w:fill="E8EEF5"/>
            <w:tcMar>
              <w:top w:w="80" w:type="dxa"/>
              <w:left w:w="120" w:type="dxa"/>
              <w:bottom w:w="80" w:type="dxa"/>
              <w:right w:w="120" w:type="dxa"/>
            </w:tcMar>
            <w:vAlign w:val="center"/>
          </w:tcPr>
          <w:p w14:paraId="18A5A33D">
            <w:pPr>
              <w:pStyle w:val="164"/>
              <w:keepNext/>
            </w:pPr>
            <w:r>
              <w:rPr>
                <w:b/>
              </w:rPr>
              <w:t>时刻</w:t>
            </w:r>
          </w:p>
        </w:tc>
        <w:tc>
          <w:tcPr>
            <w:tcW w:w="1510" w:type="dxa"/>
            <w:shd w:val="clear" w:color="auto" w:fill="E8EEF5"/>
            <w:tcMar>
              <w:top w:w="80" w:type="dxa"/>
              <w:left w:w="120" w:type="dxa"/>
              <w:bottom w:w="80" w:type="dxa"/>
              <w:right w:w="120" w:type="dxa"/>
            </w:tcMar>
            <w:vAlign w:val="center"/>
          </w:tcPr>
          <w:p w14:paraId="167E378F">
            <w:pPr>
              <w:pStyle w:val="164"/>
              <w:keepNext/>
            </w:pPr>
            <w:r>
              <w:rPr>
                <w:b/>
              </w:rPr>
              <w:t>即时奖励</w:t>
            </w:r>
          </w:p>
        </w:tc>
        <w:tc>
          <w:tcPr>
            <w:tcW w:w="1750" w:type="dxa"/>
            <w:shd w:val="clear" w:color="auto" w:fill="E8EEF5"/>
            <w:tcMar>
              <w:top w:w="80" w:type="dxa"/>
              <w:left w:w="120" w:type="dxa"/>
              <w:bottom w:w="80" w:type="dxa"/>
              <w:right w:w="120" w:type="dxa"/>
            </w:tcMar>
            <w:vAlign w:val="center"/>
          </w:tcPr>
          <w:p w14:paraId="1A093763">
            <w:pPr>
              <w:pStyle w:val="164"/>
              <w:keepNext/>
            </w:pPr>
            <w:r>
              <w:rPr>
                <w:b/>
              </w:rPr>
              <w:t>从该时刻起的实际回报</w:t>
            </w:r>
          </w:p>
        </w:tc>
        <w:tc>
          <w:tcPr>
            <w:tcW w:w="2810" w:type="dxa"/>
            <w:shd w:val="clear" w:color="auto" w:fill="E8EEF5"/>
            <w:tcMar>
              <w:top w:w="80" w:type="dxa"/>
              <w:left w:w="120" w:type="dxa"/>
              <w:bottom w:w="80" w:type="dxa"/>
              <w:right w:w="120" w:type="dxa"/>
            </w:tcMar>
            <w:vAlign w:val="center"/>
          </w:tcPr>
          <w:p w14:paraId="546BE758">
            <w:pPr>
              <w:pStyle w:val="164"/>
              <w:keepNext/>
            </w:pPr>
            <w:r>
              <w:rPr>
                <w:b/>
              </w:rPr>
              <w:t>旧价值预测</w:t>
            </w:r>
          </w:p>
        </w:tc>
        <w:tc>
          <w:tcPr>
            <w:tcW w:w="1640" w:type="dxa"/>
            <w:shd w:val="clear" w:color="auto" w:fill="E8EEF5"/>
            <w:tcMar>
              <w:top w:w="80" w:type="dxa"/>
              <w:left w:w="120" w:type="dxa"/>
              <w:bottom w:w="80" w:type="dxa"/>
              <w:right w:w="120" w:type="dxa"/>
            </w:tcMar>
            <w:vAlign w:val="center"/>
          </w:tcPr>
          <w:p w14:paraId="352E6150">
            <w:pPr>
              <w:pStyle w:val="164"/>
              <w:keepNext/>
            </w:pPr>
            <w:r>
              <w:rPr>
                <w:b/>
              </w:rPr>
              <w:t>回报减预测</w:t>
            </w:r>
          </w:p>
        </w:tc>
      </w:tr>
      <w:tr w14:paraId="78B4974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66987349">
            <w:pPr>
              <w:pStyle w:val="164"/>
            </w:pPr>
            <w:r>
              <w:t>0</w:t>
            </w:r>
          </w:p>
        </w:tc>
        <w:tc>
          <w:tcPr>
            <w:tcW w:w="1510" w:type="dxa"/>
            <w:tcMar>
              <w:top w:w="80" w:type="dxa"/>
              <w:left w:w="120" w:type="dxa"/>
              <w:bottom w:w="80" w:type="dxa"/>
              <w:right w:w="120" w:type="dxa"/>
            </w:tcMar>
            <w:vAlign w:val="center"/>
          </w:tcPr>
          <w:p w14:paraId="0E530465">
            <w:pPr>
              <w:pStyle w:val="164"/>
            </w:pPr>
            <w:r>
              <w:t>−0.02</w:t>
            </w:r>
          </w:p>
        </w:tc>
        <w:tc>
          <w:tcPr>
            <w:tcW w:w="1750" w:type="dxa"/>
            <w:tcMar>
              <w:top w:w="80" w:type="dxa"/>
              <w:left w:w="120" w:type="dxa"/>
              <w:bottom w:w="80" w:type="dxa"/>
              <w:right w:w="120" w:type="dxa"/>
            </w:tcMar>
            <w:vAlign w:val="center"/>
          </w:tcPr>
          <w:p w14:paraId="71C3B808">
            <w:pPr>
              <w:pStyle w:val="164"/>
            </w:pPr>
            <w:r>
              <w:t>−0.06</w:t>
            </w:r>
          </w:p>
        </w:tc>
        <w:tc>
          <w:tcPr>
            <w:tcW w:w="2810" w:type="dxa"/>
            <w:tcMar>
              <w:top w:w="80" w:type="dxa"/>
              <w:left w:w="120" w:type="dxa"/>
              <w:bottom w:w="80" w:type="dxa"/>
              <w:right w:w="120" w:type="dxa"/>
            </w:tcMar>
            <w:vAlign w:val="center"/>
          </w:tcPr>
          <w:p w14:paraId="6F28C941">
            <w:pPr>
              <w:pStyle w:val="164"/>
            </w:pPr>
            <w:r>
              <w:t>−0.08</w:t>
            </w:r>
          </w:p>
        </w:tc>
        <w:tc>
          <w:tcPr>
            <w:tcW w:w="1640" w:type="dxa"/>
            <w:tcMar>
              <w:top w:w="80" w:type="dxa"/>
              <w:left w:w="120" w:type="dxa"/>
              <w:bottom w:w="80" w:type="dxa"/>
              <w:right w:w="120" w:type="dxa"/>
            </w:tcMar>
            <w:vAlign w:val="center"/>
          </w:tcPr>
          <w:p w14:paraId="69DF0936">
            <w:pPr>
              <w:pStyle w:val="164"/>
            </w:pPr>
            <w:r>
              <w:t>+0.02</w:t>
            </w:r>
          </w:p>
        </w:tc>
      </w:tr>
      <w:tr w14:paraId="2AF6620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542A70BF">
            <w:pPr>
              <w:pStyle w:val="164"/>
            </w:pPr>
            <w:r>
              <w:t>1</w:t>
            </w:r>
          </w:p>
        </w:tc>
        <w:tc>
          <w:tcPr>
            <w:tcW w:w="1510" w:type="dxa"/>
            <w:tcMar>
              <w:top w:w="80" w:type="dxa"/>
              <w:left w:w="120" w:type="dxa"/>
              <w:bottom w:w="80" w:type="dxa"/>
              <w:right w:w="120" w:type="dxa"/>
            </w:tcMar>
            <w:vAlign w:val="center"/>
          </w:tcPr>
          <w:p w14:paraId="135803DF">
            <w:pPr>
              <w:pStyle w:val="164"/>
            </w:pPr>
            <w:r>
              <w:t>−0.03</w:t>
            </w:r>
          </w:p>
        </w:tc>
        <w:tc>
          <w:tcPr>
            <w:tcW w:w="1750" w:type="dxa"/>
            <w:tcMar>
              <w:top w:w="80" w:type="dxa"/>
              <w:left w:w="120" w:type="dxa"/>
              <w:bottom w:w="80" w:type="dxa"/>
              <w:right w:w="120" w:type="dxa"/>
            </w:tcMar>
            <w:vAlign w:val="center"/>
          </w:tcPr>
          <w:p w14:paraId="2BEA08CB">
            <w:pPr>
              <w:pStyle w:val="164"/>
            </w:pPr>
            <w:r>
              <w:t>−0.04</w:t>
            </w:r>
          </w:p>
        </w:tc>
        <w:tc>
          <w:tcPr>
            <w:tcW w:w="2810" w:type="dxa"/>
            <w:tcMar>
              <w:top w:w="80" w:type="dxa"/>
              <w:left w:w="120" w:type="dxa"/>
              <w:bottom w:w="80" w:type="dxa"/>
              <w:right w:w="120" w:type="dxa"/>
            </w:tcMar>
            <w:vAlign w:val="center"/>
          </w:tcPr>
          <w:p w14:paraId="5A9BA676">
            <w:pPr>
              <w:pStyle w:val="164"/>
            </w:pPr>
            <w:r>
              <w:t>−0.06</w:t>
            </w:r>
          </w:p>
        </w:tc>
        <w:tc>
          <w:tcPr>
            <w:tcW w:w="1640" w:type="dxa"/>
            <w:tcMar>
              <w:top w:w="80" w:type="dxa"/>
              <w:left w:w="120" w:type="dxa"/>
              <w:bottom w:w="80" w:type="dxa"/>
              <w:right w:w="120" w:type="dxa"/>
            </w:tcMar>
            <w:vAlign w:val="center"/>
          </w:tcPr>
          <w:p w14:paraId="09196543">
            <w:pPr>
              <w:pStyle w:val="164"/>
            </w:pPr>
            <w:r>
              <w:t>+0.02</w:t>
            </w:r>
          </w:p>
        </w:tc>
      </w:tr>
      <w:tr w14:paraId="5C6B56C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1650" w:type="dxa"/>
            <w:tcMar>
              <w:top w:w="80" w:type="dxa"/>
              <w:left w:w="120" w:type="dxa"/>
              <w:bottom w:w="80" w:type="dxa"/>
              <w:right w:w="120" w:type="dxa"/>
            </w:tcMar>
            <w:vAlign w:val="center"/>
          </w:tcPr>
          <w:p w14:paraId="45588E42">
            <w:pPr>
              <w:pStyle w:val="164"/>
            </w:pPr>
            <w:r>
              <w:t>2</w:t>
            </w:r>
          </w:p>
        </w:tc>
        <w:tc>
          <w:tcPr>
            <w:tcW w:w="1510" w:type="dxa"/>
            <w:tcMar>
              <w:top w:w="80" w:type="dxa"/>
              <w:left w:w="120" w:type="dxa"/>
              <w:bottom w:w="80" w:type="dxa"/>
              <w:right w:w="120" w:type="dxa"/>
            </w:tcMar>
            <w:vAlign w:val="center"/>
          </w:tcPr>
          <w:p w14:paraId="736A0749">
            <w:pPr>
              <w:pStyle w:val="164"/>
            </w:pPr>
            <w:r>
              <w:t>−0.01</w:t>
            </w:r>
          </w:p>
        </w:tc>
        <w:tc>
          <w:tcPr>
            <w:tcW w:w="1750" w:type="dxa"/>
            <w:tcMar>
              <w:top w:w="80" w:type="dxa"/>
              <w:left w:w="120" w:type="dxa"/>
              <w:bottom w:w="80" w:type="dxa"/>
              <w:right w:w="120" w:type="dxa"/>
            </w:tcMar>
            <w:vAlign w:val="center"/>
          </w:tcPr>
          <w:p w14:paraId="660E79E9">
            <w:pPr>
              <w:pStyle w:val="164"/>
            </w:pPr>
            <w:r>
              <w:t>−0.01</w:t>
            </w:r>
          </w:p>
        </w:tc>
        <w:tc>
          <w:tcPr>
            <w:tcW w:w="2810" w:type="dxa"/>
            <w:tcMar>
              <w:top w:w="80" w:type="dxa"/>
              <w:left w:w="120" w:type="dxa"/>
              <w:bottom w:w="80" w:type="dxa"/>
              <w:right w:w="120" w:type="dxa"/>
            </w:tcMar>
            <w:vAlign w:val="center"/>
          </w:tcPr>
          <w:p w14:paraId="34729F08">
            <w:pPr>
              <w:pStyle w:val="164"/>
            </w:pPr>
            <w:r>
              <w:t>−0.02</w:t>
            </w:r>
          </w:p>
        </w:tc>
        <w:tc>
          <w:tcPr>
            <w:tcW w:w="1640" w:type="dxa"/>
            <w:tcMar>
              <w:top w:w="80" w:type="dxa"/>
              <w:left w:w="120" w:type="dxa"/>
              <w:bottom w:w="80" w:type="dxa"/>
              <w:right w:w="120" w:type="dxa"/>
            </w:tcMar>
            <w:vAlign w:val="center"/>
          </w:tcPr>
          <w:p w14:paraId="1E37C9DB">
            <w:pPr>
              <w:pStyle w:val="164"/>
            </w:pPr>
            <w:r>
              <w:t>+0.01</w:t>
            </w:r>
          </w:p>
        </w:tc>
      </w:tr>
    </w:tbl>
    <w:p w14:paraId="660ACA41">
      <w:pPr>
        <w:pStyle w:val="165"/>
      </w:pPr>
    </w:p>
    <w:p w14:paraId="4B4D29A2">
      <w:r>
        <w:t>三个优势都是正值，表示这次经历优于网络原来的预期。它不说明策略已经达到低误差要求，也不保证同一动作换一个随机车流仍然更好。Critic需要通过许多样本学习条件平均表现。</w:t>
      </w:r>
    </w:p>
    <w:p w14:paraId="7321D597">
      <w:pPr>
        <w:pStyle w:val="4"/>
      </w:pPr>
      <w:r>
        <w:t>15.6 GAE与两种掩码</w:t>
      </w:r>
    </w:p>
    <w:p w14:paraId="20B1EFF2">
      <w:pPr>
        <w:pStyle w:val="167"/>
        <w:keepNext/>
      </w:pPr>
      <m:oMathPara>
        <m:oMath>
          <m:sSub>
            <m:sSubPr/>
            <m:e>
              <m:r>
                <m:rPr/>
                <w:rPr>
                  <w:rFonts w:ascii="Cambria Math" w:hAnsi="Cambria Math" w:eastAsia="Noto Sans CJK SC"/>
                </w:rPr>
                <m:t>δ</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r</m:t>
              </m:r>
            </m:e>
            <m:sub>
              <m:r>
                <m:rPr/>
                <w:rPr>
                  <w:rFonts w:ascii="Cambria Math" w:hAnsi="Cambria Math" w:eastAsia="Noto Sans CJK SC"/>
                </w:rPr>
                <m:t>k</m:t>
              </m:r>
            </m:sub>
          </m:sSub>
          <m:r>
            <m:rPr/>
            <w:rPr>
              <w:rFonts w:ascii="Cambria Math" w:hAnsi="Cambria Math" w:eastAsia="Noto Sans CJK SC"/>
            </w:rPr>
            <m:t xml:space="preserve"> + γ</m:t>
          </m:r>
          <m:sSubSup>
            <m:sSubSupPr/>
            <m:e>
              <m:r>
                <m:rPr/>
                <w:rPr>
                  <w:rFonts w:ascii="Cambria Math" w:hAnsi="Cambria Math" w:eastAsia="Noto Sans CJK SC"/>
                </w:rPr>
                <m:t>b</m:t>
              </m:r>
            </m:e>
            <m:sub>
              <m:r>
                <m:rPr/>
                <w:rPr>
                  <w:rFonts w:ascii="Cambria Math" w:hAnsi="Cambria Math" w:eastAsia="Noto Sans CJK SC"/>
                </w:rPr>
                <m:t>k</m:t>
              </m:r>
            </m:sub>
            <m:sup>
              <m:r>
                <m:rPr/>
                <w:rPr>
                  <w:rFonts w:ascii="Cambria Math" w:hAnsi="Cambria Math" w:eastAsia="Noto Sans CJK SC"/>
                </w:rPr>
                <m:t>boot</m:t>
              </m:r>
            </m:sup>
          </m:sSubSup>
          <m:sSub>
            <m:sSubPr/>
            <m:e>
              <m:r>
                <m:rPr/>
                <w:rPr>
                  <w:rFonts w:ascii="Cambria Math" w:hAnsi="Cambria Math" w:eastAsia="Noto Sans CJK SC"/>
                </w:rPr>
                <m:t>V</m:t>
              </m:r>
            </m:e>
            <m:sub>
              <m:r>
                <m:rPr/>
                <w:rPr>
                  <w:rFonts w:ascii="Cambria Math" w:hAnsi="Cambria Math" w:eastAsia="Noto Sans CJK SC"/>
                </w:rPr>
                <m:t>old</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k+1</m:t>
              </m:r>
            </m:sub>
          </m:sSub>
          <m:r>
            <m:rPr/>
            <w:rPr>
              <w:rFonts w:ascii="Cambria Math" w:hAnsi="Cambria Math" w:eastAsia="Noto Sans CJK SC"/>
            </w:rPr>
            <m:t xml:space="preserve">) − </m:t>
          </m:r>
          <m:sSub>
            <m:sSubPr/>
            <m:e>
              <m:r>
                <m:rPr/>
                <w:rPr>
                  <w:rFonts w:ascii="Cambria Math" w:hAnsi="Cambria Math" w:eastAsia="Noto Sans CJK SC"/>
                </w:rPr>
                <m:t>V</m:t>
              </m:r>
            </m:e>
            <m:sub>
              <m:r>
                <m:rPr/>
                <w:rPr>
                  <w:rFonts w:ascii="Cambria Math" w:hAnsi="Cambria Math" w:eastAsia="Noto Sans CJK SC"/>
                </w:rPr>
                <m:t>old</m:t>
              </m:r>
            </m:sub>
          </m:sSub>
          <m:r>
            <m:rPr/>
            <w:rPr>
              <w:rFonts w:ascii="Cambria Math" w:hAnsi="Cambria Math" w:eastAsia="Noto Sans CJK SC"/>
            </w:rPr>
            <m:t>(</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m:t>
          </m:r>
        </m:oMath>
      </m:oMathPara>
    </w:p>
    <w:p w14:paraId="5995641E">
      <w:pPr>
        <w:pStyle w:val="167"/>
      </w:pPr>
      <m:oMath>
        <m:acc>
          <m:accPr/>
          <m:e>
            <m:sSub>
              <m:sSubPr/>
              <m:e>
                <m:r>
                  <m:rPr/>
                  <w:rPr>
                    <w:rFonts w:ascii="Cambria Math" w:hAnsi="Cambria Math" w:eastAsia="Noto Sans CJK SC"/>
                  </w:rPr>
                  <m:t>A</m:t>
                </m:r>
              </m:e>
              <m:sub>
                <m:r>
                  <m:rPr/>
                  <w:rPr>
                    <w:rFonts w:ascii="Cambria Math" w:hAnsi="Cambria Math" w:eastAsia="Noto Sans CJK SC"/>
                  </w:rPr>
                  <m:t>k</m:t>
                </m:r>
              </m:sub>
            </m:sSub>
          </m:e>
        </m:acc>
        <m:r>
          <m:rPr/>
          <w:rPr>
            <w:rFonts w:ascii="Cambria Math" w:hAnsi="Cambria Math" w:eastAsia="Noto Sans CJK SC"/>
          </w:rPr>
          <m:t xml:space="preserve"> = </m:t>
        </m:r>
        <m:sSub>
          <m:sSubPr/>
          <m:e>
            <m:r>
              <m:rPr/>
              <w:rPr>
                <w:rFonts w:ascii="Cambria Math" w:hAnsi="Cambria Math" w:eastAsia="Noto Sans CJK SC"/>
              </w:rPr>
              <m:t>δ</m:t>
            </m:r>
          </m:e>
          <m:sub>
            <m:r>
              <m:rPr/>
              <w:rPr>
                <w:rFonts w:ascii="Cambria Math" w:hAnsi="Cambria Math" w:eastAsia="Noto Sans CJK SC"/>
              </w:rPr>
              <m:t>k</m:t>
            </m:r>
          </m:sub>
        </m:sSub>
        <m:r>
          <m:rPr/>
          <w:rPr>
            <w:rFonts w:ascii="Cambria Math" w:hAnsi="Cambria Math" w:eastAsia="Noto Sans CJK SC"/>
          </w:rPr>
          <m:t xml:space="preserve"> + γλ</m:t>
        </m:r>
        <m:sSubSup>
          <m:sSubSupPr/>
          <m:e>
            <m:r>
              <m:rPr/>
              <w:rPr>
                <w:rFonts w:ascii="Cambria Math" w:hAnsi="Cambria Math" w:eastAsia="Noto Sans CJK SC"/>
              </w:rPr>
              <m:t>c</m:t>
            </m:r>
          </m:e>
          <m:sub>
            <m:r>
              <m:rPr/>
              <w:rPr>
                <w:rFonts w:ascii="Cambria Math" w:hAnsi="Cambria Math" w:eastAsia="Noto Sans CJK SC"/>
              </w:rPr>
              <m:t>k</m:t>
            </m:r>
          </m:sub>
          <m:sup>
            <m:r>
              <m:rPr/>
              <w:rPr>
                <w:rFonts w:ascii="Cambria Math" w:hAnsi="Cambria Math" w:eastAsia="Noto Sans CJK SC"/>
              </w:rPr>
              <m:t>trace</m:t>
            </m:r>
          </m:sup>
        </m:sSubSup>
        <m:acc>
          <m:accPr/>
          <m:e>
            <m:sSub>
              <m:sSubPr/>
              <m:e>
                <m:r>
                  <m:rPr/>
                  <w:rPr>
                    <w:rFonts w:ascii="Cambria Math" w:hAnsi="Cambria Math" w:eastAsia="Noto Sans CJK SC"/>
                  </w:rPr>
                  <m:t>A</m:t>
                </m:r>
              </m:e>
              <m:sub>
                <m:r>
                  <m:rPr/>
                  <w:rPr>
                    <w:rFonts w:ascii="Cambria Math" w:hAnsi="Cambria Math" w:eastAsia="Noto Sans CJK SC"/>
                  </w:rPr>
                  <m:t>k+1</m:t>
                </m:r>
              </m:sub>
            </m:sSub>
          </m:e>
        </m:acc>
      </m:oMath>
      <w:r>
        <w:t xml:space="preserve">   (19)</w:t>
      </w:r>
    </w:p>
    <w:p w14:paraId="6FB452ED">
      <w:r>
        <w:t>b_k是允许价值自举的标志：真实终止时为0，普通转移以及有有效终点观测的外部截断为1。c_k是优势递推能否连接到缓冲区下一条记录的标志：跨回合、外部截断、填充或采样片段末端时为0。不能用同一个done标志机械替代两者。</w:t>
      </w:r>
    </w:p>
    <w:p w14:paraId="6E817C32">
      <w:r>
        <w:t>λ是GAE在不同跨度的残差之间权衡的参数。λ=1并正确处理边界时接近完整采样回报的形式；较小λ更依赖局部价值残差。它与预算、决策间隔和n_steps不同。[R05]</w:t>
      </w:r>
    </w:p>
    <w:p w14:paraId="080E5D94">
      <w:r>
        <w:t>在三步例子中，TD残差依次为0、0.01、0.01。若λ=1，递推得到优势0.02、0.02、0.01；若λ=0.95，则依次约为0.018525、0.0195、0.01。此例用于核对实现的时间顺序和终点处理。</w:t>
      </w:r>
    </w:p>
    <w:p w14:paraId="6BCED3C4">
      <w:pPr>
        <w:pStyle w:val="4"/>
      </w:pPr>
      <w:r>
        <w:t>15.7 PPO为何保存旧策略概率</w:t>
      </w:r>
    </w:p>
    <w:p w14:paraId="4E04C66E">
      <w:r>
        <w:t>PPO先使用一个固定策略版本采集一批数据，再进行若干轮小批次优化。更新时比较新旧策略对采样动作的概率比ρ，并用裁剪目标限制过强的更新倾向。[R04]</w:t>
      </w:r>
    </w:p>
    <w:p w14:paraId="40D547CE">
      <w:pPr>
        <w:pStyle w:val="167"/>
      </w:pPr>
      <m:oMath>
        <m:sSub>
          <m:sSubPr/>
          <m:e>
            <m:r>
              <m:rPr/>
              <w:rPr>
                <w:rFonts w:ascii="Cambria Math" w:hAnsi="Cambria Math" w:eastAsia="Noto Sans CJK SC"/>
              </w:rPr>
              <m:t>ρ</m:t>
            </m:r>
          </m:e>
          <m:sub>
            <m:r>
              <m:rPr/>
              <w:rPr>
                <w:rFonts w:ascii="Cambria Math" w:hAnsi="Cambria Math" w:eastAsia="Noto Sans CJK SC"/>
              </w:rPr>
              <m:t>k</m:t>
            </m:r>
          </m:sub>
        </m:sSub>
        <m:r>
          <m:rPr/>
          <w:rPr>
            <w:rFonts w:ascii="Cambria Math" w:hAnsi="Cambria Math" w:eastAsia="Noto Sans CJK SC"/>
          </w:rPr>
          <m:t xml:space="preserve">(θ) = </m:t>
        </m:r>
        <m:f>
          <m:fPr/>
          <m:num>
            <m:sSub>
              <m:sSubPr/>
              <m:e>
                <m:r>
                  <m:rPr/>
                  <w:rPr>
                    <w:rFonts w:ascii="Cambria Math" w:hAnsi="Cambria Math" w:eastAsia="Noto Sans CJK SC"/>
                  </w:rPr>
                  <m:t>π</m:t>
                </m:r>
              </m:e>
              <m:sub>
                <m:r>
                  <m:rPr/>
                  <w:rPr>
                    <w:rFonts w:ascii="Cambria Math" w:hAnsi="Cambria Math" w:eastAsia="Noto Sans CJK SC"/>
                  </w:rPr>
                  <m:t>θ</m:t>
                </m:r>
              </m:sub>
            </m:sSub>
            <m:r>
              <m:rPr/>
              <w:rPr>
                <w:rFonts w:ascii="Cambria Math" w:hAnsi="Cambria Math" w:eastAsia="Noto Sans CJK SC"/>
              </w:rPr>
              <m:t>(</m:t>
            </m:r>
            <m:sSub>
              <m:sSubPr/>
              <m:e>
                <m:r>
                  <m:rPr/>
                  <w:rPr>
                    <w:rFonts w:ascii="Cambria Math" w:hAnsi="Cambria Math" w:eastAsia="Noto Sans CJK SC"/>
                  </w:rPr>
                  <m:t>a</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m:t>
            </m:r>
          </m:num>
          <m:den>
            <m:sSub>
              <m:sSubPr/>
              <m:e>
                <m:r>
                  <m:rPr/>
                  <w:rPr>
                    <w:rFonts w:ascii="Cambria Math" w:hAnsi="Cambria Math" w:eastAsia="Noto Sans CJK SC"/>
                  </w:rPr>
                  <m:t>π</m:t>
                </m:r>
              </m:e>
              <m:sub>
                <m:r>
                  <m:rPr/>
                  <w:rPr>
                    <w:rFonts w:ascii="Cambria Math" w:hAnsi="Cambria Math" w:eastAsia="Noto Sans CJK SC"/>
                  </w:rPr>
                  <m:t>θ_old</m:t>
                </m:r>
              </m:sub>
            </m:sSub>
            <m:r>
              <m:rPr/>
              <w:rPr>
                <w:rFonts w:ascii="Cambria Math" w:hAnsi="Cambria Math" w:eastAsia="Noto Sans CJK SC"/>
              </w:rPr>
              <m:t>(</m:t>
            </m:r>
            <m:sSub>
              <m:sSubPr/>
              <m:e>
                <m:r>
                  <m:rPr/>
                  <w:rPr>
                    <w:rFonts w:ascii="Cambria Math" w:hAnsi="Cambria Math" w:eastAsia="Noto Sans CJK SC"/>
                  </w:rPr>
                  <m:t>a</m:t>
                </m:r>
              </m:e>
              <m:sub>
                <m:r>
                  <m:rPr/>
                  <w:rPr>
                    <w:rFonts w:ascii="Cambria Math" w:hAnsi="Cambria Math" w:eastAsia="Noto Sans CJK SC"/>
                  </w:rPr>
                  <m:t>k</m:t>
                </m:r>
              </m:sub>
            </m:sSub>
            <m:r>
              <m:rPr/>
              <w:rPr>
                <w:rFonts w:ascii="Cambria Math" w:hAnsi="Cambria Math" w:eastAsia="Noto Sans CJK SC"/>
              </w:rPr>
              <m:t xml:space="preserve"> | </m:t>
            </m:r>
            <m:sSub>
              <m:sSubPr/>
              <m:e>
                <m:r>
                  <m:rPr/>
                  <w:rPr>
                    <w:rFonts w:ascii="Cambria Math" w:hAnsi="Cambria Math" w:eastAsia="Noto Sans CJK SC"/>
                  </w:rPr>
                  <m:t>H</m:t>
                </m:r>
              </m:e>
              <m:sub>
                <m:r>
                  <m:rPr/>
                  <w:rPr>
                    <w:rFonts w:ascii="Cambria Math" w:hAnsi="Cambria Math" w:eastAsia="Noto Sans CJK SC"/>
                  </w:rPr>
                  <m:t>k</m:t>
                </m:r>
              </m:sub>
            </m:sSub>
            <m:r>
              <m:rPr/>
              <w:rPr>
                <w:rFonts w:ascii="Cambria Math" w:hAnsi="Cambria Math" w:eastAsia="Noto Sans CJK SC"/>
              </w:rPr>
              <m:t xml:space="preserve">, </m:t>
            </m:r>
            <m:sSub>
              <m:sSubPr/>
              <m:e>
                <m:r>
                  <m:rPr/>
                  <w:rPr>
                    <w:rFonts w:ascii="Cambria Math" w:hAnsi="Cambria Math" w:eastAsia="Noto Sans CJK SC"/>
                  </w:rPr>
                  <m:t>M</m:t>
                </m:r>
              </m:e>
              <m:sub>
                <m:r>
                  <m:rPr/>
                  <w:rPr>
                    <w:rFonts w:ascii="Cambria Math" w:hAnsi="Cambria Math" w:eastAsia="Noto Sans CJK SC"/>
                  </w:rPr>
                  <m:t>k</m:t>
                </m:r>
              </m:sub>
            </m:sSub>
            <m:r>
              <m:rPr/>
              <w:rPr>
                <w:rFonts w:ascii="Cambria Math" w:hAnsi="Cambria Math" w:eastAsia="Noto Sans CJK SC"/>
              </w:rPr>
              <m:t>)</m:t>
            </m:r>
          </m:den>
        </m:f>
      </m:oMath>
      <w:r>
        <w:t xml:space="preserve">   (20)</w:t>
      </w:r>
    </w:p>
    <w:p w14:paraId="5A5A6764">
      <w:pPr>
        <w:pStyle w:val="167"/>
      </w:pPr>
      <m:oMath>
        <m:sSup>
          <m:sSupPr/>
          <m:e>
            <m:r>
              <m:rPr/>
              <w:rPr>
                <w:rFonts w:ascii="Cambria Math" w:hAnsi="Cambria Math" w:eastAsia="Noto Sans CJK SC"/>
              </w:rPr>
              <m:t>L</m:t>
            </m:r>
          </m:e>
          <m:sup>
            <m:r>
              <m:rPr/>
              <w:rPr>
                <w:rFonts w:ascii="Cambria Math" w:hAnsi="Cambria Math" w:eastAsia="Noto Sans CJK SC"/>
              </w:rPr>
              <m:t>clip</m:t>
            </m:r>
          </m:sup>
        </m:sSup>
        <m:r>
          <m:rPr/>
          <w:rPr>
            <w:rFonts w:ascii="Cambria Math" w:hAnsi="Cambria Math" w:eastAsia="Noto Sans CJK SC"/>
          </w:rPr>
          <m:t>(θ) = E[min(</m:t>
        </m:r>
        <m:sSub>
          <m:sSubPr/>
          <m:e>
            <m:r>
              <m:rPr/>
              <w:rPr>
                <w:rFonts w:ascii="Cambria Math" w:hAnsi="Cambria Math" w:eastAsia="Noto Sans CJK SC"/>
              </w:rPr>
              <m:t>ρ</m:t>
            </m:r>
          </m:e>
          <m:sub>
            <m:r>
              <m:rPr/>
              <w:rPr>
                <w:rFonts w:ascii="Cambria Math" w:hAnsi="Cambria Math" w:eastAsia="Noto Sans CJK SC"/>
              </w:rPr>
              <m:t>k</m:t>
            </m:r>
          </m:sub>
        </m:sSub>
        <m:acc>
          <m:accPr/>
          <m:e>
            <m:sSub>
              <m:sSubPr/>
              <m:e>
                <m:r>
                  <m:rPr/>
                  <w:rPr>
                    <w:rFonts w:ascii="Cambria Math" w:hAnsi="Cambria Math" w:eastAsia="Noto Sans CJK SC"/>
                  </w:rPr>
                  <m:t>A</m:t>
                </m:r>
              </m:e>
              <m:sub>
                <m:r>
                  <m:rPr/>
                  <w:rPr>
                    <w:rFonts w:ascii="Cambria Math" w:hAnsi="Cambria Math" w:eastAsia="Noto Sans CJK SC"/>
                  </w:rPr>
                  <m:t>k</m:t>
                </m:r>
              </m:sub>
            </m:sSub>
          </m:e>
        </m:acc>
        <m:r>
          <m:rPr/>
          <w:rPr>
            <w:rFonts w:ascii="Cambria Math" w:hAnsi="Cambria Math" w:eastAsia="Noto Sans CJK SC"/>
          </w:rPr>
          <m:t>, clip(</m:t>
        </m:r>
        <m:sSub>
          <m:sSubPr/>
          <m:e>
            <m:r>
              <m:rPr/>
              <w:rPr>
                <w:rFonts w:ascii="Cambria Math" w:hAnsi="Cambria Math" w:eastAsia="Noto Sans CJK SC"/>
              </w:rPr>
              <m:t>ρ</m:t>
            </m:r>
          </m:e>
          <m:sub>
            <m:r>
              <m:rPr/>
              <w:rPr>
                <w:rFonts w:ascii="Cambria Math" w:hAnsi="Cambria Math" w:eastAsia="Noto Sans CJK SC"/>
              </w:rPr>
              <m:t>k</m:t>
            </m:r>
          </m:sub>
        </m:sSub>
        <m:r>
          <m:rPr/>
          <w:rPr>
            <w:rFonts w:ascii="Cambria Math" w:hAnsi="Cambria Math" w:eastAsia="Noto Sans CJK SC"/>
          </w:rPr>
          <m:t>, 1−ε, 1+ε)</m:t>
        </m:r>
        <m:acc>
          <m:accPr/>
          <m:e>
            <m:sSub>
              <m:sSubPr/>
              <m:e>
                <m:r>
                  <m:rPr/>
                  <w:rPr>
                    <w:rFonts w:ascii="Cambria Math" w:hAnsi="Cambria Math" w:eastAsia="Noto Sans CJK SC"/>
                  </w:rPr>
                  <m:t>A</m:t>
                </m:r>
              </m:e>
              <m:sub>
                <m:r>
                  <m:rPr/>
                  <w:rPr>
                    <w:rFonts w:ascii="Cambria Math" w:hAnsi="Cambria Math" w:eastAsia="Noto Sans CJK SC"/>
                  </w:rPr>
                  <m:t>k</m:t>
                </m:r>
              </m:sub>
            </m:sSub>
          </m:e>
        </m:acc>
        <m:r>
          <m:rPr/>
          <w:rPr>
            <w:rFonts w:ascii="Cambria Math" w:hAnsi="Cambria Math" w:eastAsia="Noto Sans CJK SC"/>
          </w:rPr>
          <m:t>)]</m:t>
        </m:r>
      </m:oMath>
      <w:r>
        <w:t xml:space="preserve">   (21)</w:t>
      </w:r>
    </w:p>
    <w:p w14:paraId="52B9F9CC">
      <w:r>
        <w:t>例如旧概率0.2、新概率0.3，ρ=1.5；优势0.02、ε=0.2时，未裁剪项为0.03，裁剪项为0.024，目标取较小者。裁剪不是对所有动作概率变化的严格硬限制，仍需监控KL变化、梯度和训练稳定性。</w:t>
      </w:r>
    </w:p>
    <w:p w14:paraId="5F0AE181">
      <w:r>
        <w:t>旧对数概率、掩码、候选描述和采样动作必须来自同一时刻。循环策略的新概率原则上针对同一历史重新计算；工程中采用序列片段和缓存隐藏状态时存在近似，需要一致的序列处理规则。</w:t>
      </w:r>
    </w:p>
    <w:p w14:paraId="42E1C5A9">
      <w:pPr>
        <w:pStyle w:val="4"/>
      </w:pPr>
      <w:r>
        <w:t>15.8 总损失与参数更新</w:t>
      </w:r>
    </w:p>
    <w:p w14:paraId="21039ED4">
      <w:pPr>
        <w:pStyle w:val="167"/>
      </w:pPr>
      <m:oMath>
        <m:sSub>
          <m:sSubPr/>
          <m:e>
            <m:r>
              <m:rPr/>
              <w:rPr>
                <w:rFonts w:ascii="Cambria Math" w:hAnsi="Cambria Math" w:eastAsia="Noto Sans CJK SC"/>
              </w:rPr>
              <m:t>L</m:t>
            </m:r>
          </m:e>
          <m:sub>
            <m:r>
              <m:rPr/>
              <w:rPr>
                <w:rFonts w:ascii="Cambria Math" w:hAnsi="Cambria Math" w:eastAsia="Noto Sans CJK SC"/>
              </w:rPr>
              <m:t>total</m:t>
            </m:r>
          </m:sub>
        </m:sSub>
        <m:r>
          <m:rPr/>
          <w:rPr>
            <w:rFonts w:ascii="Cambria Math" w:hAnsi="Cambria Math" w:eastAsia="Noto Sans CJK SC"/>
          </w:rPr>
          <m:t xml:space="preserve"> = −</m:t>
        </m:r>
        <m:sSup>
          <m:sSupPr/>
          <m:e>
            <m:r>
              <m:rPr/>
              <w:rPr>
                <w:rFonts w:ascii="Cambria Math" w:hAnsi="Cambria Math" w:eastAsia="Noto Sans CJK SC"/>
              </w:rPr>
              <m:t>L</m:t>
            </m:r>
          </m:e>
          <m:sup>
            <m:r>
              <m:rPr/>
              <w:rPr>
                <w:rFonts w:ascii="Cambria Math" w:hAnsi="Cambria Math" w:eastAsia="Noto Sans CJK SC"/>
              </w:rPr>
              <m:t>clip</m:t>
            </m:r>
          </m:sup>
        </m:sSup>
        <m:r>
          <m:rPr/>
          <w:rPr>
            <w:rFonts w:ascii="Cambria Math" w:hAnsi="Cambria Math" w:eastAsia="Noto Sans CJK SC"/>
          </w:rPr>
          <m:t xml:space="preserve"> + </m:t>
        </m:r>
        <m:sSub>
          <m:sSubPr/>
          <m:e>
            <m:r>
              <m:rPr/>
              <w:rPr>
                <w:rFonts w:ascii="Cambria Math" w:hAnsi="Cambria Math" w:eastAsia="Noto Sans CJK SC"/>
              </w:rPr>
              <m:t>c</m:t>
            </m:r>
          </m:e>
          <m:sub>
            <m:r>
              <m:rPr/>
              <w:rPr>
                <w:rFonts w:ascii="Cambria Math" w:hAnsi="Cambria Math" w:eastAsia="Noto Sans CJK SC"/>
              </w:rPr>
              <m:t>V</m:t>
            </m:r>
          </m:sub>
        </m:sSub>
        <m:sSub>
          <m:sSubPr/>
          <m:e>
            <m:r>
              <m:rPr/>
              <w:rPr>
                <w:rFonts w:ascii="Cambria Math" w:hAnsi="Cambria Math" w:eastAsia="Noto Sans CJK SC"/>
              </w:rPr>
              <m:t>L</m:t>
            </m:r>
          </m:e>
          <m:sub>
            <m:r>
              <m:rPr/>
              <w:rPr>
                <w:rFonts w:ascii="Cambria Math" w:hAnsi="Cambria Math" w:eastAsia="Noto Sans CJK SC"/>
              </w:rPr>
              <m:t>V</m:t>
            </m:r>
          </m:sub>
        </m:sSub>
        <m:r>
          <m:rPr/>
          <w:rPr>
            <w:rFonts w:ascii="Cambria Math" w:hAnsi="Cambria Math" w:eastAsia="Noto Sans CJK SC"/>
          </w:rPr>
          <m:t xml:space="preserve"> − </m:t>
        </m:r>
        <m:sSub>
          <m:sSubPr/>
          <m:e>
            <m:r>
              <m:rPr/>
              <w:rPr>
                <w:rFonts w:ascii="Cambria Math" w:hAnsi="Cambria Math" w:eastAsia="Noto Sans CJK SC"/>
              </w:rPr>
              <m:t>c</m:t>
            </m:r>
          </m:e>
          <m:sub>
            <m:r>
              <m:rPr/>
              <w:rPr>
                <w:rFonts w:ascii="Cambria Math" w:hAnsi="Cambria Math" w:eastAsia="Noto Sans CJK SC"/>
              </w:rPr>
              <m:t>H</m:t>
            </m:r>
          </m:sub>
        </m:sSub>
        <m:r>
          <m:rPr/>
          <w:rPr>
            <w:rFonts w:ascii="Cambria Math" w:hAnsi="Cambria Math" w:eastAsia="Noto Sans CJK SC"/>
          </w:rPr>
          <m:t xml:space="preserve"> E[Entropy(π)]</m:t>
        </m:r>
      </m:oMath>
      <w:r>
        <w:t xml:space="preserve">   (22)</w:t>
      </w:r>
    </w:p>
    <w:p w14:paraId="29F8B7F2">
      <w:r>
        <w:t>总损失组合策略目标、价值损失与熵项。优势和回报目标在本轮优化中作为固定训练目标处理。熵只计算有效动作分布；梯度裁剪用于数值稳定。奖励尺度改变后，价值损失与其他项的相对量级也会变化，参数不能完全不加检查地照搬。</w:t>
      </w:r>
    </w:p>
    <w:p w14:paraId="507F5FBD">
      <w:r>
        <w:t>PPO主要使用当前策略新收集的数据。一批数据可以优化若干轮，但不适合把很久以前的轨迹无限反复当作当前在策略数据。后续离线Transformer训练是另一条数据使用流程，应与PPO训练区分。</w:t>
      </w:r>
    </w:p>
    <w:p w14:paraId="778768E7">
      <w:pPr>
        <w:pStyle w:val="4"/>
      </w:pPr>
      <w:r>
        <w:t>15.9 PPO是建议基线，不是必要性证明</w:t>
      </w:r>
    </w:p>
    <w:p w14:paraId="75FCE282">
      <w:r>
        <w:t>本任务采用有限离散行为与可能的历史记忆，PPO便于建立可解释基线。A2C也可验证同样的环境闭环；模型预测或启发式信息规划可能在部分场景中更有效。不能仅因场景复杂，就断言PPO一定优于简单方法。</w:t>
      </w:r>
    </w:p>
    <w:p w14:paraId="784CD0BA">
      <w:r>
        <w:t>研究贡献需要来自问题刻画、信息表示、决策机制或可验证的改进。算法选择应在环境和任务定义正确之后比较，而不是先规定必须使用最复杂的模型。</w:t>
      </w:r>
    </w:p>
    <w:p w14:paraId="69CFFDED">
      <w:pPr>
        <w:pStyle w:val="3"/>
        <w:pageBreakBefore/>
      </w:pPr>
      <w:bookmarkStart w:id="17" w:name="chapter_16"/>
      <w:r>
        <w:t>16 网络实现、循环序列和动作掩码</w:t>
      </w:r>
      <w:bookmarkEnd w:id="17"/>
    </w:p>
    <w:p w14:paraId="1A411357">
      <w:pPr>
        <w:pStyle w:val="4"/>
      </w:pPr>
      <w:r>
        <w:t>16.1 固定图MLP起步结构</w:t>
      </w:r>
    </w:p>
    <w:p w14:paraId="66C4CB37">
      <w:r>
        <w:t>把自车与任务特征编码成一组向量，将单元特征和车道估计编码成另一组，再拼接输入Actor与Critic。固定地图可以直接展平单元矩阵，保留清楚的字段顺序和归一化。</w:t>
      </w:r>
    </w:p>
    <w:p w14:paraId="42F46097">
      <w:r>
        <w:t>示例采用两层隐藏层，每层128或256个单元；这只是调试容量起点 D14。输入维度由schema计算，动作输出维度由动作字典决定。不要因为输入有200维，就输出200个动作；也不要把单元数量误写成完整状态种类数。</w:t>
      </w:r>
    </w:p>
    <w:p w14:paraId="6FB85D75">
      <w:pPr>
        <w:pStyle w:val="4"/>
      </w:pPr>
      <w:r>
        <w:t>16.2 循环结构的位置</w:t>
      </w:r>
    </w:p>
    <w:p w14:paraId="45F3399A">
      <w:r>
        <w:t>可以先将当前多组特征编码为向量，再送入GRU/LSTM，最后分别接Actor和Critic。上一动作可以作为历史输入的一部分，但若上一奖励依赖隐藏真值，首版不将其作为Actor记忆输入。模型可以学习观测序列，而无需在线获得训练标签。</w:t>
      </w:r>
    </w:p>
    <w:p w14:paraId="40CDE0D0">
      <w:pPr>
        <w:keepNext/>
        <w:jc w:val="center"/>
      </w:pPr>
      <w:r>
        <w:drawing>
          <wp:inline distT="0" distB="0" distL="114300" distR="114300">
            <wp:extent cx="5943600" cy="3383280"/>
            <wp:effectExtent l="0" t="0" r="0" b="7620"/>
            <wp:docPr id="5" name="Picture 5" descr="Actor与Critic的任务分工。训练目标用于更新参数，不直接变成Actor的在线真值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or与Critic的任务分工。训练目标用于更新参数，不直接变成Actor的在线真值输入。"/>
                    <pic:cNvPicPr>
                      <a:picLocks noChangeAspect="1"/>
                    </pic:cNvPicPr>
                  </pic:nvPicPr>
                  <pic:blipFill>
                    <a:blip r:embed="rId12"/>
                    <a:stretch>
                      <a:fillRect/>
                    </a:stretch>
                  </pic:blipFill>
                  <pic:spPr>
                    <a:xfrm>
                      <a:off x="0" y="0"/>
                      <a:ext cx="5943600" cy="3383280"/>
                    </a:xfrm>
                    <a:prstGeom prst="rect">
                      <a:avLst/>
                    </a:prstGeom>
                  </pic:spPr>
                </pic:pic>
              </a:graphicData>
            </a:graphic>
          </wp:inline>
        </w:drawing>
      </w:r>
    </w:p>
    <w:p w14:paraId="25FDF618">
      <w:pPr>
        <w:pStyle w:val="15"/>
      </w:pPr>
      <w:r>
        <w:t>图 5  Actor与Critic的任务分工。训练目标用于更新参数，不直接变成Actor的在线真值输入。</w:t>
      </w:r>
    </w:p>
    <w:p w14:paraId="1ABA3952">
      <w:r>
        <w:t>隐状态长度、历史窗口与候选编码方式需通过消融决定。显式估计器和Actor记忆可能部分重叠：若增加循环网络没有稳定收益，应检查输入已包含的历史摘要，而不把“必须有LSTM”当成理论要求。</w:t>
      </w:r>
    </w:p>
    <w:p w14:paraId="0F34CD72">
      <w:pPr>
        <w:pStyle w:val="4"/>
      </w:pPr>
      <w:r>
        <w:t>16.3 循环数据不能按独立时刻打散</w:t>
      </w:r>
    </w:p>
    <w:p w14:paraId="509B7558">
      <w:r>
        <w:t>采样时为每个环境分别维护隐藏状态。更新时按连续片段构造小批次，保存episode_start、有效长度、padding mask和片段初始状态。损失不作用于填充时间步，隐藏状态不能跨回合串联。</w:t>
      </w:r>
    </w:p>
    <w:p w14:paraId="66AB3F4B">
      <w:r>
        <w:t>对新参数重新前向计算序列。直接使用旧策略缓存的隐藏状态作为片段起点是一种常见工程近似，参数变化大或长期记忆敏感时可加入burn-in前缀来重建状态。burn-in时段用于恢复记忆，是否参与损失需明确；它不提供未来信息。</w:t>
      </w:r>
    </w:p>
    <w:p w14:paraId="14EC5C7D">
      <w:r>
        <w:t>rollout边界不等于episode边界。环境继续时应保留采样记忆；真正reset时则清零。学习程序必须同时处理环境连续性与训练片段划分，不能简单把所有done都当成“丢弃后继状态”。</w:t>
      </w:r>
    </w:p>
    <w:p w14:paraId="5DC30AE1">
      <w:pPr>
        <w:pStyle w:val="4"/>
      </w:pPr>
      <w:r>
        <w:t>16.4 常用库的具体边界</w:t>
      </w:r>
    </w:p>
    <w:p w14:paraId="5003FF7C">
      <w:r>
        <w:t>截至本次查阅，SB3 Contrib的MaskablePPO支持动作掩码，但文档明确不支持循环策略；RecurrentPPO支持LSTM策略及相关隐藏状态接口。不能直接把两个类拼起来，就认为获得了正确的带掩码循环PPO。[R16、R17]</w:t>
      </w:r>
    </w:p>
    <w:p w14:paraId="22A1984F">
      <w:r>
        <w:t>建议工程顺序为：先用显式估计器与MaskablePPO验证环境；再选择经过检查的循环掩码实现，或扩展分布、序列缓冲区和评测接口。文档中的“循环PPO加掩码”是目标结构，不是声称现成库已一键支持。</w:t>
      </w:r>
    </w:p>
    <w:p w14:paraId="3C66183F">
      <w:r>
        <w:t>若使用已有实现，核对版本、动作空间类型、掩码参数、episode_start与终点适配。训练和评测必须采用对应的掩码接口。版本号应写入运行清单，而不是依赖未来变化的默认行为。</w:t>
      </w:r>
    </w:p>
    <w:p w14:paraId="7FA135AA">
      <w:pPr>
        <w:pStyle w:val="4"/>
      </w:pPr>
      <w:r>
        <w:t>16.5 候选多、无选择阶段多时的处理</w:t>
      </w:r>
    </w:p>
    <w:p w14:paraId="5B280B60">
      <w:r>
        <w:t>在大量直行或执行锁定阶段，可能只有CONTINUE可选。这些时段的误差仍应计入长期回报，不能为提高“有效动作比例”直接删除时间成本。Actor该时刻没有选择梯度，但Critic仍可学习后续价值。</w:t>
      </w:r>
    </w:p>
    <w:p w14:paraId="571DAB40">
      <w:r>
        <w:t>若无选择阶段占比很高，可以比较更合理的决策间隔或事件宏动作，但相应调整时长、折扣和采样规则。不能仅跳过这些记录，同时保留原有按步奖励与折扣解释。</w:t>
      </w:r>
    </w:p>
    <w:p w14:paraId="7727CF6A">
      <w:pPr>
        <w:pStyle w:val="4"/>
      </w:pPr>
      <w:r>
        <w:t>16.6 最少需要监控的训练量</w:t>
      </w:r>
    </w:p>
    <w:p w14:paraId="6CE05462">
      <w:r>
        <w:t>记录回报、物理误差、Actor损失、Critic损失、动作熵、KL近似、裁剪比例、梯度范数、动作屏蔽比例和执行覆盖率。回报上升而物理误差不改善，可能意味着奖励尺度、成本权重或任务失败处理在主导训练。</w:t>
      </w:r>
    </w:p>
    <w:p w14:paraId="6FC7775D">
      <w:r>
        <w:t>值损失大不一定意味着策略差，也可能来自奖励缩放、终点自举或异常样本。训练曲线抖动不自动表明算法失效，要结合独立评测、不同种子与具体场景回放定位原因。</w:t>
      </w:r>
    </w:p>
    <w:p w14:paraId="198884EB">
      <w:pPr>
        <w:pStyle w:val="3"/>
        <w:pageBreakBefore/>
      </w:pPr>
      <w:bookmarkStart w:id="18" w:name="chapter_17"/>
      <w:r>
        <w:t>17 从准备到正式训练的组织流程</w:t>
      </w:r>
      <w:bookmarkEnd w:id="18"/>
    </w:p>
    <w:p w14:paraId="3236D8DC">
      <w:pPr>
        <w:pStyle w:val="4"/>
      </w:pPr>
      <w:r>
        <w:t>17.1 阶段依赖</w:t>
      </w:r>
    </w:p>
    <w:p w14:paraId="598D1A07">
      <w:pPr>
        <w:pStyle w:val="176"/>
        <w:numPr>
          <w:ilvl w:val="0"/>
          <w:numId w:val="9"/>
        </w:numPr>
        <w:tabs>
          <w:tab w:val="left" w:pos="540"/>
        </w:tabs>
      </w:pPr>
      <w:r>
        <w:t>定义任务目标、估计范围、允许信息和候选动作，记录待定项。</w:t>
      </w:r>
    </w:p>
    <w:p w14:paraId="13370640">
      <w:pPr>
        <w:pStyle w:val="176"/>
        <w:numPr>
          <w:ilvl w:val="0"/>
          <w:numId w:val="9"/>
        </w:numPr>
        <w:tabs>
          <w:tab w:val="left" w:pos="540"/>
        </w:tabs>
      </w:pPr>
      <w:r>
        <w:t>构建路网与固定路线回放，验证连续时间和外围返回。</w:t>
      </w:r>
    </w:p>
    <w:p w14:paraId="31D9D751">
      <w:pPr>
        <w:pStyle w:val="176"/>
        <w:numPr>
          <w:ilvl w:val="0"/>
          <w:numId w:val="9"/>
        </w:numPr>
        <w:tabs>
          <w:tab w:val="left" w:pos="540"/>
        </w:tabs>
      </w:pPr>
      <w:r>
        <w:t>生成局部观测—全局标签配对数据，训练并验证估计器。</w:t>
      </w:r>
    </w:p>
    <w:p w14:paraId="29112514">
      <w:pPr>
        <w:pStyle w:val="176"/>
        <w:numPr>
          <w:ilvl w:val="0"/>
          <w:numId w:val="9"/>
        </w:numPr>
        <w:tabs>
          <w:tab w:val="left" w:pos="540"/>
        </w:tabs>
      </w:pPr>
      <w:r>
        <w:t>固定估计器、传感器与驾驶配置，比较简单探测策略。</w:t>
      </w:r>
    </w:p>
    <w:p w14:paraId="73B38A01">
      <w:pPr>
        <w:pStyle w:val="176"/>
        <w:numPr>
          <w:ilvl w:val="0"/>
          <w:numId w:val="9"/>
        </w:numPr>
        <w:tabs>
          <w:tab w:val="left" w:pos="540"/>
        </w:tabs>
      </w:pPr>
      <w:r>
        <w:t>在相同环境上训练PPO，检查真实误差、成本和失败。</w:t>
      </w:r>
    </w:p>
    <w:p w14:paraId="7DC0545F">
      <w:pPr>
        <w:pStyle w:val="176"/>
        <w:numPr>
          <w:ilvl w:val="0"/>
          <w:numId w:val="9"/>
        </w:numPr>
        <w:tabs>
          <w:tab w:val="left" w:pos="540"/>
        </w:tabs>
      </w:pPr>
      <w:r>
        <w:t>增加记忆或结构编码，开展独立消融和泛化实验。</w:t>
      </w:r>
    </w:p>
    <w:p w14:paraId="32AF1488">
      <w:pPr>
        <w:pStyle w:val="176"/>
        <w:numPr>
          <w:ilvl w:val="0"/>
          <w:numId w:val="9"/>
        </w:numPr>
        <w:tabs>
          <w:tab w:val="left" w:pos="540"/>
        </w:tabs>
      </w:pPr>
      <w:r>
        <w:t>收集版本一致的策略轨迹，开展序列模仿或DT分支。</w:t>
      </w:r>
    </w:p>
    <w:p w14:paraId="3D87689E">
      <w:r>
        <w:t>前一阶段的通过条件是后一阶段的输入依据。例如固定路线仍会非法掉头或标签不同步时，不应通过更长训练掩盖环境问题。</w:t>
      </w:r>
    </w:p>
    <w:p w14:paraId="2C515480">
      <w:pPr>
        <w:pStyle w:val="4"/>
      </w:pPr>
      <w:r>
        <w:t>17.2 场景随机化的层次</w:t>
      </w:r>
    </w:p>
    <w:p w14:paraId="39AB59E5">
      <w:r>
        <w:t>固定拓扑阶段随机化交通需求、车辆组成、初始信号偏移、驾驶参数和传感误差。随后再考虑未见参数组合，最后扩展到新的路口结构。每次只增加能明确解释的一组变化，记录训练覆盖范围。</w:t>
      </w:r>
    </w:p>
    <w:p w14:paraId="29A85B5E">
      <w:r>
        <w:t>连续动态并不等于每一步完全随机更换所有车辆行为。应由一致的驾驶模型、需求过程和信号规则推动交通变化。每回合抽取场景参数后，参数可保持固定或按预定义非平稳过程演化；不能无依据地每秒重抽整张交通状态。</w:t>
      </w:r>
    </w:p>
    <w:p w14:paraId="3A1D54AA">
      <w:pPr>
        <w:pStyle w:val="4"/>
      </w:pPr>
      <w:r>
        <w:t>17.3 随机种子与配对评测</w:t>
      </w:r>
    </w:p>
    <w:p w14:paraId="730C9B41">
      <w:r>
        <w:t>分别记录场景抽样、到达过程、驾驶随机性、传感噪声和网络初始化种子。可以用独立随机数流减少不同模块之间意外耦合。固定种子用于复现，不意味着探测动作不会改变背景车辆的实际响应。</w:t>
      </w:r>
    </w:p>
    <w:p w14:paraId="1293A371">
      <w:r>
        <w:t>比较策略时尽量使用同一批场景配置和外生需求，计算场景内配对差异，再汇总。训练种子与评测场景种子是两层不同不确定性，都应有记录。相邻时间步不是独立实验重复。</w:t>
      </w:r>
    </w:p>
    <w:p w14:paraId="03BC3077">
      <w:pPr>
        <w:pStyle w:val="4"/>
      </w:pPr>
      <w:r>
        <w:t>17.4 并行环境与训练批次</w:t>
      </w:r>
    </w:p>
    <w:p w14:paraId="7705D6D5">
      <w:r>
        <w:t>例如4个独立环境，每个收集512步，则一批有2048条交互记录。每个环境有自己的仿真实例、车辆、估计器和循环隐藏状态；其中每条样本对应自己的物理时间。4个环境不表示同一路口里放4辆探测车。</w:t>
      </w:r>
    </w:p>
    <w:p w14:paraId="5C8262D4">
      <w:r>
        <w:t>每次采样期间保持一个策略版本，完成rollout后进行PPO更新。缓冲区可能包含完整episode和不完整片段，必须处理各自结束类型。采样步数是计算规模参数，不是探测预算。</w:t>
      </w:r>
    </w:p>
    <w:p w14:paraId="08DAA848">
      <w:pPr>
        <w:pStyle w:val="4"/>
      </w:pPr>
      <w:r>
        <w:t>17.5 超参数选择原则</w:t>
      </w:r>
    </w:p>
    <w:p w14:paraId="11162715">
      <w:pPr>
        <w:pStyle w:val="15"/>
        <w:keepNext/>
      </w:pPr>
      <w:r>
        <w:t>表 19  参数 / 影响</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1DEC471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576634DD">
            <w:pPr>
              <w:pStyle w:val="164"/>
              <w:keepNext/>
            </w:pPr>
            <w:r>
              <w:rPr>
                <w:b/>
              </w:rPr>
              <w:t>参数</w:t>
            </w:r>
          </w:p>
        </w:tc>
        <w:tc>
          <w:tcPr>
            <w:tcW w:w="3600" w:type="dxa"/>
            <w:shd w:val="clear" w:color="auto" w:fill="E8EEF5"/>
            <w:tcMar>
              <w:top w:w="80" w:type="dxa"/>
              <w:left w:w="120" w:type="dxa"/>
              <w:bottom w:w="80" w:type="dxa"/>
              <w:right w:w="120" w:type="dxa"/>
            </w:tcMar>
            <w:vAlign w:val="center"/>
          </w:tcPr>
          <w:p w14:paraId="1DDF2444">
            <w:pPr>
              <w:pStyle w:val="164"/>
              <w:keepNext/>
            </w:pPr>
            <w:r>
              <w:rPr>
                <w:b/>
              </w:rPr>
              <w:t>影响</w:t>
            </w:r>
          </w:p>
        </w:tc>
        <w:tc>
          <w:tcPr>
            <w:tcW w:w="3560" w:type="dxa"/>
            <w:shd w:val="clear" w:color="auto" w:fill="E8EEF5"/>
            <w:tcMar>
              <w:top w:w="80" w:type="dxa"/>
              <w:left w:w="120" w:type="dxa"/>
              <w:bottom w:w="80" w:type="dxa"/>
              <w:right w:w="120" w:type="dxa"/>
            </w:tcMar>
            <w:vAlign w:val="center"/>
          </w:tcPr>
          <w:p w14:paraId="43F11C2D">
            <w:pPr>
              <w:pStyle w:val="164"/>
              <w:keepNext/>
            </w:pPr>
            <w:r>
              <w:rPr>
                <w:b/>
              </w:rPr>
              <w:t>决策依据</w:t>
            </w:r>
          </w:p>
        </w:tc>
      </w:tr>
      <w:tr w14:paraId="5955DB2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76CF7A7">
            <w:pPr>
              <w:pStyle w:val="164"/>
            </w:pPr>
            <w:r>
              <w:t>学习率</w:t>
            </w:r>
          </w:p>
        </w:tc>
        <w:tc>
          <w:tcPr>
            <w:tcW w:w="3600" w:type="dxa"/>
            <w:tcMar>
              <w:top w:w="80" w:type="dxa"/>
              <w:left w:w="120" w:type="dxa"/>
              <w:bottom w:w="80" w:type="dxa"/>
              <w:right w:w="120" w:type="dxa"/>
            </w:tcMar>
            <w:vAlign w:val="center"/>
          </w:tcPr>
          <w:p w14:paraId="3CA23DFE">
            <w:pPr>
              <w:pStyle w:val="164"/>
            </w:pPr>
            <w:r>
              <w:t>更新速度与稳定性</w:t>
            </w:r>
          </w:p>
        </w:tc>
        <w:tc>
          <w:tcPr>
            <w:tcW w:w="3560" w:type="dxa"/>
            <w:tcMar>
              <w:top w:w="80" w:type="dxa"/>
              <w:left w:w="120" w:type="dxa"/>
              <w:bottom w:w="80" w:type="dxa"/>
              <w:right w:w="120" w:type="dxa"/>
            </w:tcMar>
            <w:vAlign w:val="center"/>
          </w:tcPr>
          <w:p w14:paraId="67DD60D5">
            <w:pPr>
              <w:pStyle w:val="164"/>
            </w:pPr>
            <w:r>
              <w:t>观察KL、损失和独立评测</w:t>
            </w:r>
          </w:p>
        </w:tc>
      </w:tr>
      <w:tr w14:paraId="24946AF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EEC311A">
            <w:pPr>
              <w:pStyle w:val="164"/>
            </w:pPr>
            <w:r>
              <w:t>rollout长度</w:t>
            </w:r>
          </w:p>
        </w:tc>
        <w:tc>
          <w:tcPr>
            <w:tcW w:w="3600" w:type="dxa"/>
            <w:tcMar>
              <w:top w:w="80" w:type="dxa"/>
              <w:left w:w="120" w:type="dxa"/>
              <w:bottom w:w="80" w:type="dxa"/>
              <w:right w:w="120" w:type="dxa"/>
            </w:tcMar>
            <w:vAlign w:val="center"/>
          </w:tcPr>
          <w:p w14:paraId="13D316DC">
            <w:pPr>
              <w:pStyle w:val="164"/>
            </w:pPr>
            <w:r>
              <w:t>采样规模与长期归因</w:t>
            </w:r>
          </w:p>
        </w:tc>
        <w:tc>
          <w:tcPr>
            <w:tcW w:w="3560" w:type="dxa"/>
            <w:tcMar>
              <w:top w:w="80" w:type="dxa"/>
              <w:left w:w="120" w:type="dxa"/>
              <w:bottom w:w="80" w:type="dxa"/>
              <w:right w:w="120" w:type="dxa"/>
            </w:tcMar>
            <w:vAlign w:val="center"/>
          </w:tcPr>
          <w:p w14:paraId="1BDF2FBC">
            <w:pPr>
              <w:pStyle w:val="164"/>
            </w:pPr>
            <w:r>
              <w:t>结合回路持续时间和计算预算</w:t>
            </w:r>
          </w:p>
        </w:tc>
      </w:tr>
      <w:tr w14:paraId="78D6BE2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3CA1EF5">
            <w:pPr>
              <w:pStyle w:val="164"/>
            </w:pPr>
            <w:r>
              <w:t>γ</w:t>
            </w:r>
          </w:p>
        </w:tc>
        <w:tc>
          <w:tcPr>
            <w:tcW w:w="3600" w:type="dxa"/>
            <w:tcMar>
              <w:top w:w="80" w:type="dxa"/>
              <w:left w:w="120" w:type="dxa"/>
              <w:bottom w:w="80" w:type="dxa"/>
              <w:right w:w="120" w:type="dxa"/>
            </w:tcMar>
            <w:vAlign w:val="center"/>
          </w:tcPr>
          <w:p w14:paraId="1639C0DC">
            <w:pPr>
              <w:pStyle w:val="164"/>
            </w:pPr>
            <w:r>
              <w:t>物理时间上的远期偏好</w:t>
            </w:r>
          </w:p>
        </w:tc>
        <w:tc>
          <w:tcPr>
            <w:tcW w:w="3560" w:type="dxa"/>
            <w:tcMar>
              <w:top w:w="80" w:type="dxa"/>
              <w:left w:w="120" w:type="dxa"/>
              <w:bottom w:w="80" w:type="dxa"/>
              <w:right w:w="120" w:type="dxa"/>
            </w:tcMar>
            <w:vAlign w:val="center"/>
          </w:tcPr>
          <w:p w14:paraId="5D3EC2AC">
            <w:pPr>
              <w:pStyle w:val="164"/>
            </w:pPr>
            <w:r>
              <w:t>与目标函数、步长一致</w:t>
            </w:r>
          </w:p>
        </w:tc>
      </w:tr>
      <w:tr w14:paraId="20B4FE8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208C5BA">
            <w:pPr>
              <w:pStyle w:val="164"/>
            </w:pPr>
            <w:r>
              <w:t>GAE λ</w:t>
            </w:r>
          </w:p>
        </w:tc>
        <w:tc>
          <w:tcPr>
            <w:tcW w:w="3600" w:type="dxa"/>
            <w:tcMar>
              <w:top w:w="80" w:type="dxa"/>
              <w:left w:w="120" w:type="dxa"/>
              <w:bottom w:w="80" w:type="dxa"/>
              <w:right w:w="120" w:type="dxa"/>
            </w:tcMar>
            <w:vAlign w:val="center"/>
          </w:tcPr>
          <w:p w14:paraId="692869C1">
            <w:pPr>
              <w:pStyle w:val="164"/>
            </w:pPr>
            <w:r>
              <w:t>优势估计偏差与方差</w:t>
            </w:r>
          </w:p>
        </w:tc>
        <w:tc>
          <w:tcPr>
            <w:tcW w:w="3560" w:type="dxa"/>
            <w:tcMar>
              <w:top w:w="80" w:type="dxa"/>
              <w:left w:w="120" w:type="dxa"/>
              <w:bottom w:w="80" w:type="dxa"/>
              <w:right w:w="120" w:type="dxa"/>
            </w:tcMar>
            <w:vAlign w:val="center"/>
          </w:tcPr>
          <w:p w14:paraId="633BAF90">
            <w:pPr>
              <w:pStyle w:val="164"/>
            </w:pPr>
            <w:r>
              <w:t>固定其他项后比较</w:t>
            </w:r>
          </w:p>
        </w:tc>
      </w:tr>
      <w:tr w14:paraId="0FAC92E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3B05381">
            <w:pPr>
              <w:pStyle w:val="164"/>
            </w:pPr>
            <w:r>
              <w:t>clip范围</w:t>
            </w:r>
          </w:p>
        </w:tc>
        <w:tc>
          <w:tcPr>
            <w:tcW w:w="3600" w:type="dxa"/>
            <w:tcMar>
              <w:top w:w="80" w:type="dxa"/>
              <w:left w:w="120" w:type="dxa"/>
              <w:bottom w:w="80" w:type="dxa"/>
              <w:right w:w="120" w:type="dxa"/>
            </w:tcMar>
            <w:vAlign w:val="center"/>
          </w:tcPr>
          <w:p w14:paraId="78FC4418">
            <w:pPr>
              <w:pStyle w:val="164"/>
            </w:pPr>
            <w:r>
              <w:t>PPO更新限制倾向</w:t>
            </w:r>
          </w:p>
        </w:tc>
        <w:tc>
          <w:tcPr>
            <w:tcW w:w="3560" w:type="dxa"/>
            <w:tcMar>
              <w:top w:w="80" w:type="dxa"/>
              <w:left w:w="120" w:type="dxa"/>
              <w:bottom w:w="80" w:type="dxa"/>
              <w:right w:w="120" w:type="dxa"/>
            </w:tcMar>
            <w:vAlign w:val="center"/>
          </w:tcPr>
          <w:p w14:paraId="742E2D3C">
            <w:pPr>
              <w:pStyle w:val="164"/>
            </w:pPr>
            <w:r>
              <w:t>结合KL与收敛稳定性</w:t>
            </w:r>
          </w:p>
        </w:tc>
      </w:tr>
      <w:tr w14:paraId="5BF1EF3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F305A9E">
            <w:pPr>
              <w:pStyle w:val="164"/>
            </w:pPr>
            <w:r>
              <w:t>隐藏维度/序列长度</w:t>
            </w:r>
          </w:p>
        </w:tc>
        <w:tc>
          <w:tcPr>
            <w:tcW w:w="3600" w:type="dxa"/>
            <w:tcMar>
              <w:top w:w="80" w:type="dxa"/>
              <w:left w:w="120" w:type="dxa"/>
              <w:bottom w:w="80" w:type="dxa"/>
              <w:right w:w="120" w:type="dxa"/>
            </w:tcMar>
            <w:vAlign w:val="center"/>
          </w:tcPr>
          <w:p w14:paraId="70F98795">
            <w:pPr>
              <w:pStyle w:val="164"/>
            </w:pPr>
            <w:r>
              <w:t>表示与历史容量</w:t>
            </w:r>
          </w:p>
        </w:tc>
        <w:tc>
          <w:tcPr>
            <w:tcW w:w="3560" w:type="dxa"/>
            <w:tcMar>
              <w:top w:w="80" w:type="dxa"/>
              <w:left w:w="120" w:type="dxa"/>
              <w:bottom w:w="80" w:type="dxa"/>
              <w:right w:w="120" w:type="dxa"/>
            </w:tcMar>
            <w:vAlign w:val="center"/>
          </w:tcPr>
          <w:p w14:paraId="5D6F801F">
            <w:pPr>
              <w:pStyle w:val="164"/>
            </w:pPr>
            <w:r>
              <w:t>通过消融和推理耗时比较</w:t>
            </w:r>
          </w:p>
        </w:tc>
      </w:tr>
    </w:tbl>
    <w:p w14:paraId="569A6470">
      <w:pPr>
        <w:pStyle w:val="165"/>
      </w:pPr>
    </w:p>
    <w:p w14:paraId="178A5FC7">
      <w:r>
        <w:t>附录B列出起始值和待定范围。它们不是经过调优的推荐最优值。不能同时大幅修改奖励、动作与算法超参数，再把变化归因给某个单一模块。</w:t>
      </w:r>
    </w:p>
    <w:p w14:paraId="1AF33CC7">
      <w:pPr>
        <w:pStyle w:val="4"/>
      </w:pPr>
      <w:r>
        <w:t>17.6 检查点、继续训练与停止训练</w:t>
      </w:r>
    </w:p>
    <w:p w14:paraId="21FB0768">
      <w:r>
        <w:t>检查点至少保存策略、价值网络、优化器、归一化统计、估计器版本、动作字典、配置、训练步数和随机种子。若需要精确继续同一仿真过程，还需保存环境与相关随机流状态；只保存网络权重通常只能继续学习，不能完全复现同一轨迹。</w:t>
      </w:r>
    </w:p>
    <w:p w14:paraId="0B8745C0">
      <w:r>
        <w:t>以验证集的预先规定指标选择模型，而不是根据测试结果反复调参。训练停止可以依据预算和验证表现稳定性；不能只凭训练回报高就停止研究验证。最终测试集在模型选择后使用，并报告未成功的场景。</w:t>
      </w:r>
    </w:p>
    <w:p w14:paraId="01C1E156">
      <w:pPr>
        <w:pStyle w:val="3"/>
        <w:pageBreakBefore/>
      </w:pPr>
      <w:bookmarkStart w:id="19" w:name="chapter_18"/>
      <w:r>
        <w:t>18 轨迹数据、Transformer与泛化分支</w:t>
      </w:r>
      <w:bookmarkEnd w:id="19"/>
    </w:p>
    <w:p w14:paraId="3B9475A2">
      <w:pPr>
        <w:pStyle w:val="4"/>
      </w:pPr>
      <w:r>
        <w:t>18.1 强化学习的产物与轨迹数据的关系</w:t>
      </w:r>
    </w:p>
    <w:p w14:paraId="6566619A">
      <w:r>
        <w:t>强化学习首先得到策略参数。策略在仿真中执行产生轨迹数据。高质量轨迹是某次场景、策略和随机过程共同作用的结果，不能把它等同于这个交通状态下唯一的最优路线。</w:t>
      </w:r>
    </w:p>
    <w:p w14:paraId="1C5558E6">
      <w:r>
        <w:t>不需要为每个精确交通状态从头训练。更合理的是先在场景分布上训练共享策略，再在不同场景、起点和随机条件下采样，形成覆盖广泛的交互数据。训练中低质量样本与失败过程也有诊断和恢复学习价值。</w:t>
      </w:r>
    </w:p>
    <w:p w14:paraId="01BC72CD">
      <w:pPr>
        <w:pStyle w:val="4"/>
      </w:pPr>
      <w:r>
        <w:t>18.2 数据字典和版本</w:t>
      </w:r>
    </w:p>
    <w:p w14:paraId="3C97F454">
      <w:pPr>
        <w:pStyle w:val="15"/>
        <w:keepNext/>
      </w:pPr>
      <w:r>
        <w:t>表 20  数据组 / 必要字段</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6FA6A00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09149487">
            <w:pPr>
              <w:pStyle w:val="164"/>
              <w:keepNext/>
            </w:pPr>
            <w:r>
              <w:rPr>
                <w:b/>
              </w:rPr>
              <w:t>数据组</w:t>
            </w:r>
          </w:p>
        </w:tc>
        <w:tc>
          <w:tcPr>
            <w:tcW w:w="3600" w:type="dxa"/>
            <w:shd w:val="clear" w:color="auto" w:fill="E8EEF5"/>
            <w:tcMar>
              <w:top w:w="80" w:type="dxa"/>
              <w:left w:w="120" w:type="dxa"/>
              <w:bottom w:w="80" w:type="dxa"/>
              <w:right w:w="120" w:type="dxa"/>
            </w:tcMar>
            <w:vAlign w:val="center"/>
          </w:tcPr>
          <w:p w14:paraId="44AC4749">
            <w:pPr>
              <w:pStyle w:val="164"/>
              <w:keepNext/>
            </w:pPr>
            <w:r>
              <w:rPr>
                <w:b/>
              </w:rPr>
              <w:t>必要字段</w:t>
            </w:r>
          </w:p>
        </w:tc>
        <w:tc>
          <w:tcPr>
            <w:tcW w:w="3560" w:type="dxa"/>
            <w:shd w:val="clear" w:color="auto" w:fill="E8EEF5"/>
            <w:tcMar>
              <w:top w:w="80" w:type="dxa"/>
              <w:left w:w="120" w:type="dxa"/>
              <w:bottom w:w="80" w:type="dxa"/>
              <w:right w:w="120" w:type="dxa"/>
            </w:tcMar>
            <w:vAlign w:val="center"/>
          </w:tcPr>
          <w:p w14:paraId="2710C587">
            <w:pPr>
              <w:pStyle w:val="164"/>
              <w:keepNext/>
            </w:pPr>
            <w:r>
              <w:rPr>
                <w:b/>
              </w:rPr>
              <w:t>使用边界</w:t>
            </w:r>
          </w:p>
        </w:tc>
      </w:tr>
      <w:tr w14:paraId="705FF4E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802FD22">
            <w:pPr>
              <w:pStyle w:val="164"/>
            </w:pPr>
            <w:r>
              <w:t>标识</w:t>
            </w:r>
          </w:p>
        </w:tc>
        <w:tc>
          <w:tcPr>
            <w:tcW w:w="3600" w:type="dxa"/>
            <w:tcMar>
              <w:top w:w="80" w:type="dxa"/>
              <w:left w:w="120" w:type="dxa"/>
              <w:bottom w:w="80" w:type="dxa"/>
              <w:right w:w="120" w:type="dxa"/>
            </w:tcMar>
            <w:vAlign w:val="center"/>
          </w:tcPr>
          <w:p w14:paraId="7F324ADB">
            <w:pPr>
              <w:pStyle w:val="164"/>
            </w:pPr>
            <w:r>
              <w:t>episode_id、scene_id、seed、split</w:t>
            </w:r>
          </w:p>
        </w:tc>
        <w:tc>
          <w:tcPr>
            <w:tcW w:w="3560" w:type="dxa"/>
            <w:tcMar>
              <w:top w:w="80" w:type="dxa"/>
              <w:left w:w="120" w:type="dxa"/>
              <w:bottom w:w="80" w:type="dxa"/>
              <w:right w:w="120" w:type="dxa"/>
            </w:tcMar>
            <w:vAlign w:val="center"/>
          </w:tcPr>
          <w:p w14:paraId="71063B3D">
            <w:pPr>
              <w:pStyle w:val="164"/>
            </w:pPr>
            <w:r>
              <w:t>可复现与数据隔离</w:t>
            </w:r>
          </w:p>
        </w:tc>
      </w:tr>
      <w:tr w14:paraId="41DAFD8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F1E7298">
            <w:pPr>
              <w:pStyle w:val="164"/>
            </w:pPr>
            <w:r>
              <w:t>时间</w:t>
            </w:r>
          </w:p>
        </w:tc>
        <w:tc>
          <w:tcPr>
            <w:tcW w:w="3600" w:type="dxa"/>
            <w:tcMar>
              <w:top w:w="80" w:type="dxa"/>
              <w:left w:w="120" w:type="dxa"/>
              <w:bottom w:w="80" w:type="dxa"/>
              <w:right w:w="120" w:type="dxa"/>
            </w:tcMar>
            <w:vAlign w:val="center"/>
          </w:tcPr>
          <w:p w14:paraId="352DD637">
            <w:pPr>
              <w:pStyle w:val="164"/>
            </w:pPr>
            <w:r>
              <w:t>捕获时间、决策时间、持续时长</w:t>
            </w:r>
          </w:p>
        </w:tc>
        <w:tc>
          <w:tcPr>
            <w:tcW w:w="3560" w:type="dxa"/>
            <w:tcMar>
              <w:top w:w="80" w:type="dxa"/>
              <w:left w:w="120" w:type="dxa"/>
              <w:bottom w:w="80" w:type="dxa"/>
              <w:right w:w="120" w:type="dxa"/>
            </w:tcMar>
            <w:vAlign w:val="center"/>
          </w:tcPr>
          <w:p w14:paraId="2DCFEB3B">
            <w:pPr>
              <w:pStyle w:val="164"/>
            </w:pPr>
            <w:r>
              <w:t>因果与多频率对齐</w:t>
            </w:r>
          </w:p>
        </w:tc>
      </w:tr>
      <w:tr w14:paraId="11BA31A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67A91D1">
            <w:pPr>
              <w:pStyle w:val="164"/>
            </w:pPr>
            <w:r>
              <w:t>策略输入</w:t>
            </w:r>
          </w:p>
        </w:tc>
        <w:tc>
          <w:tcPr>
            <w:tcW w:w="3600" w:type="dxa"/>
            <w:tcMar>
              <w:top w:w="80" w:type="dxa"/>
              <w:left w:w="120" w:type="dxa"/>
              <w:bottom w:w="80" w:type="dxa"/>
              <w:right w:w="120" w:type="dxa"/>
            </w:tcMar>
            <w:vAlign w:val="center"/>
          </w:tcPr>
          <w:p w14:paraId="505773F8">
            <w:pPr>
              <w:pStyle w:val="164"/>
            </w:pPr>
            <w:r>
              <w:t>obs、掩码、候选描述</w:t>
            </w:r>
          </w:p>
        </w:tc>
        <w:tc>
          <w:tcPr>
            <w:tcW w:w="3560" w:type="dxa"/>
            <w:tcMar>
              <w:top w:w="80" w:type="dxa"/>
              <w:left w:w="120" w:type="dxa"/>
              <w:bottom w:w="80" w:type="dxa"/>
              <w:right w:w="120" w:type="dxa"/>
            </w:tcMar>
            <w:vAlign w:val="center"/>
          </w:tcPr>
          <w:p w14:paraId="0F55D226">
            <w:pPr>
              <w:pStyle w:val="164"/>
            </w:pPr>
            <w:r>
              <w:t>必须可部署重建</w:t>
            </w:r>
          </w:p>
        </w:tc>
      </w:tr>
      <w:tr w14:paraId="42F31CE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42F3379">
            <w:pPr>
              <w:pStyle w:val="164"/>
            </w:pPr>
            <w:r>
              <w:t>动作</w:t>
            </w:r>
          </w:p>
        </w:tc>
        <w:tc>
          <w:tcPr>
            <w:tcW w:w="3600" w:type="dxa"/>
            <w:tcMar>
              <w:top w:w="80" w:type="dxa"/>
              <w:left w:w="120" w:type="dxa"/>
              <w:bottom w:w="80" w:type="dxa"/>
              <w:right w:w="120" w:type="dxa"/>
            </w:tcMar>
            <w:vAlign w:val="center"/>
          </w:tcPr>
          <w:p w14:paraId="68C21EC8">
            <w:pPr>
              <w:pStyle w:val="164"/>
            </w:pPr>
            <w:r>
              <w:t>请求动作、执行任务、实际运动</w:t>
            </w:r>
          </w:p>
        </w:tc>
        <w:tc>
          <w:tcPr>
            <w:tcW w:w="3560" w:type="dxa"/>
            <w:tcMar>
              <w:top w:w="80" w:type="dxa"/>
              <w:left w:w="120" w:type="dxa"/>
              <w:bottom w:w="80" w:type="dxa"/>
              <w:right w:w="120" w:type="dxa"/>
            </w:tcMar>
            <w:vAlign w:val="center"/>
          </w:tcPr>
          <w:p w14:paraId="4FE7213C">
            <w:pPr>
              <w:pStyle w:val="164"/>
            </w:pPr>
            <w:r>
              <w:t>保留控制偏差</w:t>
            </w:r>
          </w:p>
        </w:tc>
      </w:tr>
      <w:tr w14:paraId="43C4C5D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D27D9D0">
            <w:pPr>
              <w:pStyle w:val="164"/>
            </w:pPr>
            <w:r>
              <w:t>训练反馈</w:t>
            </w:r>
          </w:p>
        </w:tc>
        <w:tc>
          <w:tcPr>
            <w:tcW w:w="3600" w:type="dxa"/>
            <w:tcMar>
              <w:top w:w="80" w:type="dxa"/>
              <w:left w:w="120" w:type="dxa"/>
              <w:bottom w:w="80" w:type="dxa"/>
              <w:right w:w="120" w:type="dxa"/>
            </w:tcMar>
            <w:vAlign w:val="center"/>
          </w:tcPr>
          <w:p w14:paraId="448675D3">
            <w:pPr>
              <w:pStyle w:val="164"/>
            </w:pPr>
            <w:r>
              <w:t>奖励分项、旧概率、价值</w:t>
            </w:r>
          </w:p>
        </w:tc>
        <w:tc>
          <w:tcPr>
            <w:tcW w:w="3560" w:type="dxa"/>
            <w:tcMar>
              <w:top w:w="80" w:type="dxa"/>
              <w:left w:w="120" w:type="dxa"/>
              <w:bottom w:w="80" w:type="dxa"/>
              <w:right w:w="120" w:type="dxa"/>
            </w:tcMar>
            <w:vAlign w:val="center"/>
          </w:tcPr>
          <w:p w14:paraId="7C7551EE">
            <w:pPr>
              <w:pStyle w:val="164"/>
            </w:pPr>
            <w:r>
              <w:t>依学习协议使用</w:t>
            </w:r>
          </w:p>
        </w:tc>
      </w:tr>
      <w:tr w14:paraId="26E36C8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A6FDD5D">
            <w:pPr>
              <w:pStyle w:val="164"/>
            </w:pPr>
            <w:r>
              <w:t>监督真值</w:t>
            </w:r>
          </w:p>
        </w:tc>
        <w:tc>
          <w:tcPr>
            <w:tcW w:w="3600" w:type="dxa"/>
            <w:tcMar>
              <w:top w:w="80" w:type="dxa"/>
              <w:left w:w="120" w:type="dxa"/>
              <w:bottom w:w="80" w:type="dxa"/>
              <w:right w:w="120" w:type="dxa"/>
            </w:tcMar>
            <w:vAlign w:val="center"/>
          </w:tcPr>
          <w:p w14:paraId="24838EF1">
            <w:pPr>
              <w:pStyle w:val="164"/>
            </w:pPr>
            <w:r>
              <w:t>全局队列、参考状态</w:t>
            </w:r>
          </w:p>
        </w:tc>
        <w:tc>
          <w:tcPr>
            <w:tcW w:w="3560" w:type="dxa"/>
            <w:tcMar>
              <w:top w:w="80" w:type="dxa"/>
              <w:left w:w="120" w:type="dxa"/>
              <w:bottom w:w="80" w:type="dxa"/>
              <w:right w:w="120" w:type="dxa"/>
            </w:tcMar>
            <w:vAlign w:val="center"/>
          </w:tcPr>
          <w:p w14:paraId="1E400E9E">
            <w:pPr>
              <w:pStyle w:val="164"/>
            </w:pPr>
            <w:r>
              <w:t>独立字段，不拼入Actor输入</w:t>
            </w:r>
          </w:p>
        </w:tc>
      </w:tr>
      <w:tr w14:paraId="77C6191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4BC981A">
            <w:pPr>
              <w:pStyle w:val="164"/>
            </w:pPr>
            <w:r>
              <w:t>版本</w:t>
            </w:r>
          </w:p>
        </w:tc>
        <w:tc>
          <w:tcPr>
            <w:tcW w:w="3600" w:type="dxa"/>
            <w:tcMar>
              <w:top w:w="80" w:type="dxa"/>
              <w:left w:w="120" w:type="dxa"/>
              <w:bottom w:w="80" w:type="dxa"/>
              <w:right w:w="120" w:type="dxa"/>
            </w:tcMar>
            <w:vAlign w:val="center"/>
          </w:tcPr>
          <w:p w14:paraId="115E6EAC">
            <w:pPr>
              <w:pStyle w:val="164"/>
            </w:pPr>
            <w:r>
              <w:t>估计器、策略、路网、传感器、schema</w:t>
            </w:r>
          </w:p>
        </w:tc>
        <w:tc>
          <w:tcPr>
            <w:tcW w:w="3560" w:type="dxa"/>
            <w:tcMar>
              <w:top w:w="80" w:type="dxa"/>
              <w:left w:w="120" w:type="dxa"/>
              <w:bottom w:w="80" w:type="dxa"/>
              <w:right w:w="120" w:type="dxa"/>
            </w:tcMar>
            <w:vAlign w:val="center"/>
          </w:tcPr>
          <w:p w14:paraId="7009088D">
            <w:pPr>
              <w:pStyle w:val="164"/>
            </w:pPr>
            <w:r>
              <w:t>防止混合不兼容数据</w:t>
            </w:r>
          </w:p>
        </w:tc>
      </w:tr>
    </w:tbl>
    <w:p w14:paraId="278E6834">
      <w:pPr>
        <w:pStyle w:val="165"/>
      </w:pPr>
    </w:p>
    <w:p w14:paraId="0EEA69D9">
      <w:r>
        <w:t>仅保存一串道路坐标不足以训练闭环决策，因为模型还需要知道当时已掌握什么、为什么选择这条路，以及执行期间世界如何变化。</w:t>
      </w:r>
    </w:p>
    <w:p w14:paraId="1C63D1E2">
      <w:pPr>
        <w:pStyle w:val="4"/>
      </w:pPr>
      <w:r>
        <w:t>18.3 高质量不能只按总回报取前几条</w:t>
      </w:r>
    </w:p>
    <w:p w14:paraId="4DF1B576">
      <w:r>
        <w:t>高回报可能来自容易观察的车流、幸运的信号时序或目标本来接近空路。应按需求和遮挡难度分层，并比较相同场景条件下相对基线的改善。用独立重复评测评价策略，而不只挑最好的一条轨迹。</w:t>
      </w:r>
    </w:p>
    <w:p w14:paraId="65D78BD5">
      <w:r>
        <w:t>数据应覆盖不同信息缺失、可行动作和恢复过程。只保留专家从未犯错的窄分布，模仿策略偏离后可能无法恢复。可以通过训练场景中的再采样补充学生访问到的状态，但相关标签与数据聚合协议需单独定义。[R22]</w:t>
      </w:r>
    </w:p>
    <w:p w14:paraId="479C0691">
      <w:pPr>
        <w:pStyle w:val="4"/>
      </w:pPr>
      <w:r>
        <w:t>18.4 Transformer可以放在三个不同位置</w:t>
      </w:r>
    </w:p>
    <w:p w14:paraId="7BFC9CAE">
      <w:pPr>
        <w:pStyle w:val="15"/>
        <w:keepNext/>
      </w:pPr>
      <w:r>
        <w:t>表 21  位置 / 训练方式</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40A5A15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48B447BF">
            <w:pPr>
              <w:pStyle w:val="164"/>
              <w:keepNext/>
            </w:pPr>
            <w:r>
              <w:rPr>
                <w:b/>
              </w:rPr>
              <w:t>位置</w:t>
            </w:r>
          </w:p>
        </w:tc>
        <w:tc>
          <w:tcPr>
            <w:tcW w:w="3600" w:type="dxa"/>
            <w:shd w:val="clear" w:color="auto" w:fill="E8EEF5"/>
            <w:tcMar>
              <w:top w:w="80" w:type="dxa"/>
              <w:left w:w="120" w:type="dxa"/>
              <w:bottom w:w="80" w:type="dxa"/>
              <w:right w:w="120" w:type="dxa"/>
            </w:tcMar>
            <w:vAlign w:val="center"/>
          </w:tcPr>
          <w:p w14:paraId="07D4A9DB">
            <w:pPr>
              <w:pStyle w:val="164"/>
              <w:keepNext/>
            </w:pPr>
            <w:r>
              <w:rPr>
                <w:b/>
              </w:rPr>
              <w:t>训练方式</w:t>
            </w:r>
          </w:p>
        </w:tc>
        <w:tc>
          <w:tcPr>
            <w:tcW w:w="3560" w:type="dxa"/>
            <w:shd w:val="clear" w:color="auto" w:fill="E8EEF5"/>
            <w:tcMar>
              <w:top w:w="80" w:type="dxa"/>
              <w:left w:w="120" w:type="dxa"/>
              <w:bottom w:w="80" w:type="dxa"/>
              <w:right w:w="120" w:type="dxa"/>
            </w:tcMar>
            <w:vAlign w:val="center"/>
          </w:tcPr>
          <w:p w14:paraId="5CFE7C68">
            <w:pPr>
              <w:pStyle w:val="164"/>
              <w:keepNext/>
            </w:pPr>
            <w:r>
              <w:rPr>
                <w:b/>
              </w:rPr>
              <w:t>需要的条件</w:t>
            </w:r>
          </w:p>
        </w:tc>
      </w:tr>
      <w:tr w14:paraId="4228F4D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40CD444">
            <w:pPr>
              <w:pStyle w:val="164"/>
            </w:pPr>
            <w:r>
              <w:t>PPO历史编码器</w:t>
            </w:r>
          </w:p>
        </w:tc>
        <w:tc>
          <w:tcPr>
            <w:tcW w:w="3600" w:type="dxa"/>
            <w:tcMar>
              <w:top w:w="80" w:type="dxa"/>
              <w:left w:w="120" w:type="dxa"/>
              <w:bottom w:w="80" w:type="dxa"/>
              <w:right w:w="120" w:type="dxa"/>
            </w:tcMar>
            <w:vAlign w:val="center"/>
          </w:tcPr>
          <w:p w14:paraId="5A11B06A">
            <w:pPr>
              <w:pStyle w:val="164"/>
            </w:pPr>
            <w:r>
              <w:t>与Actor–Critic共同在线训练</w:t>
            </w:r>
          </w:p>
        </w:tc>
        <w:tc>
          <w:tcPr>
            <w:tcW w:w="3560" w:type="dxa"/>
            <w:tcMar>
              <w:top w:w="80" w:type="dxa"/>
              <w:left w:w="120" w:type="dxa"/>
              <w:bottom w:w="80" w:type="dxa"/>
              <w:right w:w="120" w:type="dxa"/>
            </w:tcMar>
            <w:vAlign w:val="center"/>
          </w:tcPr>
          <w:p w14:paraId="07B5A0B8">
            <w:pPr>
              <w:pStyle w:val="164"/>
            </w:pPr>
            <w:r>
              <w:t>因果记忆与正确rollout</w:t>
            </w:r>
          </w:p>
        </w:tc>
      </w:tr>
      <w:tr w14:paraId="41E3042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15E8976">
            <w:pPr>
              <w:pStyle w:val="164"/>
            </w:pPr>
            <w:r>
              <w:t>序列行为克隆</w:t>
            </w:r>
          </w:p>
        </w:tc>
        <w:tc>
          <w:tcPr>
            <w:tcW w:w="3600" w:type="dxa"/>
            <w:tcMar>
              <w:top w:w="80" w:type="dxa"/>
              <w:left w:w="120" w:type="dxa"/>
              <w:bottom w:w="80" w:type="dxa"/>
              <w:right w:w="120" w:type="dxa"/>
            </w:tcMar>
            <w:vAlign w:val="center"/>
          </w:tcPr>
          <w:p w14:paraId="258B3F69">
            <w:pPr>
              <w:pStyle w:val="164"/>
            </w:pPr>
            <w:r>
              <w:t>用历史观测预测示范动作</w:t>
            </w:r>
          </w:p>
        </w:tc>
        <w:tc>
          <w:tcPr>
            <w:tcW w:w="3560" w:type="dxa"/>
            <w:tcMar>
              <w:top w:w="80" w:type="dxa"/>
              <w:left w:w="120" w:type="dxa"/>
              <w:bottom w:w="80" w:type="dxa"/>
              <w:right w:w="120" w:type="dxa"/>
            </w:tcMar>
            <w:vAlign w:val="center"/>
          </w:tcPr>
          <w:p w14:paraId="74A7AE75">
            <w:pPr>
              <w:pStyle w:val="164"/>
            </w:pPr>
            <w:r>
              <w:t>示范覆盖与闭环评测</w:t>
            </w:r>
          </w:p>
        </w:tc>
      </w:tr>
      <w:tr w14:paraId="33F7818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8F90042">
            <w:pPr>
              <w:pStyle w:val="164"/>
            </w:pPr>
            <w:r>
              <w:t>Decision Transformer</w:t>
            </w:r>
          </w:p>
        </w:tc>
        <w:tc>
          <w:tcPr>
            <w:tcW w:w="3600" w:type="dxa"/>
            <w:tcMar>
              <w:top w:w="80" w:type="dxa"/>
              <w:left w:w="120" w:type="dxa"/>
              <w:bottom w:w="80" w:type="dxa"/>
              <w:right w:w="120" w:type="dxa"/>
            </w:tcMar>
            <w:vAlign w:val="center"/>
          </w:tcPr>
          <w:p w14:paraId="66A4F9C3">
            <w:pPr>
              <w:pStyle w:val="164"/>
            </w:pPr>
            <w:r>
              <w:t>以回报条件等信息预测动作</w:t>
            </w:r>
          </w:p>
        </w:tc>
        <w:tc>
          <w:tcPr>
            <w:tcW w:w="3560" w:type="dxa"/>
            <w:tcMar>
              <w:top w:w="80" w:type="dxa"/>
              <w:left w:w="120" w:type="dxa"/>
              <w:bottom w:w="80" w:type="dxa"/>
              <w:right w:w="120" w:type="dxa"/>
            </w:tcMar>
            <w:vAlign w:val="center"/>
          </w:tcPr>
          <w:p w14:paraId="05880913">
            <w:pPr>
              <w:pStyle w:val="164"/>
            </w:pPr>
            <w:r>
              <w:t>可定义的回报条件与部署更新协议</w:t>
            </w:r>
          </w:p>
        </w:tc>
      </w:tr>
    </w:tbl>
    <w:p w14:paraId="4C950D9B">
      <w:pPr>
        <w:pStyle w:val="165"/>
      </w:pPr>
    </w:p>
    <w:p w14:paraId="243EFADF">
      <w:r>
        <w:t>三者不能仅因都使用自注意力就混称为DT。Transformer行为克隆不需要目标回报输入；原始DT将期望回报、状态与动作组织成条件序列。[R08]</w:t>
      </w:r>
    </w:p>
    <w:p w14:paraId="42CDC75F">
      <w:r>
        <w:t>建议先比较同一数据集上的MLP/GRU与Transformer行为克隆。只有在长历史或结构关联带来独立收益时，再研究更复杂序列设计。注意力图可以帮助诊断，但注意力高不等于已经证明该区域具有因果信息价值。</w:t>
      </w:r>
    </w:p>
    <w:p w14:paraId="00A886AD">
      <w:pPr>
        <w:pStyle w:val="4"/>
      </w:pPr>
      <w:r>
        <w:t>18.5 因果掩码与数据构造</w:t>
      </w:r>
    </w:p>
    <w:p w14:paraId="76ADCE61">
      <w:r>
        <w:t>预测a_k时，只允许使用当时及此前可用的观测、先前动作、已知任务条件和允许的目标条件。不能使用a_k之后的传感器数据、事后平滑出来的当前交通估计或测试回合的实际总回报作为在线输入。</w:t>
      </w:r>
    </w:p>
    <w:p w14:paraId="4A74ACAE">
      <w:r>
        <w:t>若在同一时刻按单元生成多个空间token，应区分空间关联与未来时间泄漏。位置编码需要表达物理时间和道路关系，不能仅依靠原始行号；padding、观测缺失和注意力因果掩码是不同用途的掩码。</w:t>
      </w:r>
    </w:p>
    <w:p w14:paraId="4218C586">
      <w:pPr>
        <w:pStyle w:val="4"/>
      </w:pPr>
      <w:r>
        <w:t>18.6 DT回报条件的部署难点</w:t>
      </w:r>
    </w:p>
    <w:p w14:paraId="53C5EF52">
      <w:pPr>
        <w:pStyle w:val="167"/>
        <w:keepNext/>
      </w:pPr>
      <m:oMathPara>
        <m:oMath>
          <m:sSub>
            <m:sSubPr/>
            <m:e>
              <m:r>
                <m:rPr/>
                <w:rPr>
                  <w:rFonts w:ascii="Cambria Math" w:hAnsi="Cambria Math" w:eastAsia="Noto Sans CJK SC"/>
                </w:rPr>
                <m:t>RTG</m:t>
              </m:r>
            </m:e>
            <m:sub>
              <m:r>
                <m:rPr/>
                <w:rPr>
                  <w:rFonts w:ascii="Cambria Math" w:hAnsi="Cambria Math" w:eastAsia="Noto Sans CJK SC"/>
                </w:rPr>
                <m:t>k</m:t>
              </m:r>
            </m:sub>
          </m:sSub>
          <m:r>
            <m:rPr/>
            <w:rPr>
              <w:rFonts w:ascii="Cambria Math" w:hAnsi="Cambria Math" w:eastAsia="Noto Sans CJK SC"/>
            </w:rPr>
            <m:t xml:space="preserve"> = </m:t>
          </m:r>
          <m:nary>
            <m:naryPr>
              <m:chr m:val="∑"/>
              <m:limLoc m:val="undOvr"/>
            </m:naryPr>
            <m:sub>
              <m:r>
                <m:rPr/>
                <w:rPr>
                  <w:rFonts w:ascii="Cambria Math" w:hAnsi="Cambria Math" w:eastAsia="Noto Sans CJK SC"/>
                </w:rPr>
                <m:t>i=k</m:t>
              </m:r>
            </m:sub>
            <m:sup>
              <m:r>
                <m:rPr/>
                <w:rPr>
                  <w:rFonts w:ascii="Cambria Math" w:hAnsi="Cambria Math" w:eastAsia="Noto Sans CJK SC"/>
                </w:rPr>
                <m:t>T−1</m:t>
              </m:r>
            </m:sup>
            <m:e>
              <m:sSub>
                <m:sSubPr/>
                <m:e>
                  <m:r>
                    <m:rPr/>
                    <w:rPr>
                      <w:rFonts w:ascii="Cambria Math" w:hAnsi="Cambria Math" w:eastAsia="Noto Sans CJK SC"/>
                    </w:rPr>
                    <m:t>r</m:t>
                  </m:r>
                </m:e>
                <m:sub>
                  <m:r>
                    <m:rPr/>
                    <w:rPr>
                      <w:rFonts w:ascii="Cambria Math" w:hAnsi="Cambria Math" w:eastAsia="Noto Sans CJK SC"/>
                    </w:rPr>
                    <m:t>i</m:t>
                  </m:r>
                </m:sub>
              </m:sSub>
            </m:e>
          </m:nary>
        </m:oMath>
      </m:oMathPara>
    </w:p>
    <w:p w14:paraId="6EA5131B">
      <w:pPr>
        <w:pStyle w:val="167"/>
      </w:pPr>
      <m:oMath>
        <m:sSubSup>
          <m:sSubSupPr/>
          <m:e>
            <m:r>
              <m:rPr/>
              <w:rPr>
                <w:rFonts w:ascii="Cambria Math" w:hAnsi="Cambria Math" w:eastAsia="Noto Sans CJK SC"/>
              </w:rPr>
              <m:t>RTG</m:t>
            </m:r>
          </m:e>
          <m:sub>
            <m:r>
              <m:rPr/>
              <w:rPr>
                <w:rFonts w:ascii="Cambria Math" w:hAnsi="Cambria Math" w:eastAsia="Noto Sans CJK SC"/>
              </w:rPr>
              <m:t>k+1</m:t>
            </m:r>
          </m:sub>
          <m:sup>
            <m:r>
              <m:rPr/>
              <w:rPr>
                <w:rFonts w:ascii="Cambria Math" w:hAnsi="Cambria Math" w:eastAsia="Noto Sans CJK SC"/>
              </w:rPr>
              <m:t>target</m:t>
            </m:r>
          </m:sup>
        </m:sSubSup>
        <m:r>
          <m:rPr/>
          <w:rPr>
            <w:rFonts w:ascii="Cambria Math" w:hAnsi="Cambria Math" w:eastAsia="Noto Sans CJK SC"/>
          </w:rPr>
          <m:t xml:space="preserve"> = </m:t>
        </m:r>
        <m:sSubSup>
          <m:sSubSupPr/>
          <m:e>
            <m:r>
              <m:rPr/>
              <w:rPr>
                <w:rFonts w:ascii="Cambria Math" w:hAnsi="Cambria Math" w:eastAsia="Noto Sans CJK SC"/>
              </w:rPr>
              <m:t>RTG</m:t>
            </m:r>
          </m:e>
          <m:sub>
            <m:r>
              <m:rPr/>
              <w:rPr>
                <w:rFonts w:ascii="Cambria Math" w:hAnsi="Cambria Math" w:eastAsia="Noto Sans CJK SC"/>
              </w:rPr>
              <m:t>k</m:t>
            </m:r>
          </m:sub>
          <m:sup>
            <m:r>
              <m:rPr/>
              <w:rPr>
                <w:rFonts w:ascii="Cambria Math" w:hAnsi="Cambria Math" w:eastAsia="Noto Sans CJK SC"/>
              </w:rPr>
              <m:t>target</m:t>
            </m:r>
          </m:sup>
        </m:sSubSup>
        <m:r>
          <m:rPr/>
          <w:rPr>
            <w:rFonts w:ascii="Cambria Math" w:hAnsi="Cambria Math" w:eastAsia="Noto Sans CJK SC"/>
          </w:rPr>
          <m:t xml:space="preserve"> − </m:t>
        </m:r>
        <m:sSub>
          <m:sSubPr/>
          <m:e>
            <m:r>
              <m:rPr/>
              <w:rPr>
                <w:rFonts w:ascii="Cambria Math" w:hAnsi="Cambria Math" w:eastAsia="Noto Sans CJK SC"/>
              </w:rPr>
              <m:t>r</m:t>
            </m:r>
          </m:e>
          <m:sub>
            <m:r>
              <m:rPr/>
              <w:rPr>
                <w:rFonts w:ascii="Cambria Math" w:hAnsi="Cambria Math" w:eastAsia="Noto Sans CJK SC"/>
              </w:rPr>
              <m:t>k</m:t>
            </m:r>
          </m:sub>
        </m:sSub>
        <m:r>
          <m:rPr/>
          <w:rPr>
            <w:rFonts w:ascii="Cambria Math" w:hAnsi="Cambria Math" w:eastAsia="Noto Sans CJK SC"/>
          </w:rPr>
          <m:t xml:space="preserve">   (γ = 1)</m:t>
        </m:r>
      </m:oMath>
      <w:r>
        <w:t xml:space="preserve">   (23)</w:t>
      </w:r>
    </w:p>
    <w:p w14:paraId="314F1139">
      <w:r>
        <w:t>训练数据中的RTG可以由实际未来奖励计算。部署时输入的是希望达到的回报条件，不是已知实际未来回报。若采用按已实现奖励递减目标回报的协议，就需要在线得到相同定义的即时奖励。</w:t>
      </w:r>
    </w:p>
    <w:p w14:paraId="1B1BB5C9">
      <w:r>
        <w:t>本项目真实误差奖励依赖全局真值，而部署时通常无法获得。因此不能在真实测试时偷偷使用真值更新RTG。可讨论的分支包括：先使用无RTG的序列行为克隆；研究训练和部署都可计算的代理奖励；或者设计明确的预算/质量目标条件模型，并承认它与原始DT协议不同。</w:t>
      </w:r>
    </w:p>
    <w:p w14:paraId="749D9CB5">
      <w:pPr>
        <w:pStyle w:val="170"/>
      </w:pPr>
      <w:r>
        <w:t>【待定 D17】该问题在选择DT之前必须解决。随机环境中，高回报条件还可能混合优秀决策和幸运结果，已有原始研究分析了这一限制。[R09] Transformer和DT都不能自动保证未知交通条件或新路网上的泛化。</w:t>
      </w:r>
    </w:p>
    <w:p w14:paraId="019982D3">
      <w:pPr>
        <w:pStyle w:val="4"/>
      </w:pPr>
      <w:r>
        <w:t>18.7 泛化层次</w:t>
      </w:r>
    </w:p>
    <w:p w14:paraId="4470A3F1">
      <w:r>
        <w:t>同一参数范围的新随机种子检验分布内稳健性；未见需求或信号组合检验条件泛化；未见道路结构检验拓扑迁移；传感器误差和驾驶模型变化检验模型失配。每种结论都需要对应留出集合。</w:t>
      </w:r>
    </w:p>
    <w:p w14:paraId="4E80533E">
      <w:r>
        <w:t>估计器、教师策略、学生策略和超参数选择均不得通过不同路径使用测试场景标签。若先用测试场景训练估计器，再声称策略从未见过该场景，仍需披露这种信息暴露。</w:t>
      </w:r>
    </w:p>
    <w:p w14:paraId="1E7575AC">
      <w:pPr>
        <w:pStyle w:val="3"/>
        <w:pageBreakBefore/>
      </w:pPr>
      <w:bookmarkStart w:id="20" w:name="chapter_19"/>
      <w:r>
        <w:t>19 实验设计、评价指标与统计比较</w:t>
      </w:r>
      <w:bookmarkEnd w:id="20"/>
    </w:p>
    <w:p w14:paraId="0E5CAFF8">
      <w:pPr>
        <w:pStyle w:val="4"/>
      </w:pPr>
      <w:r>
        <w:t>19.1 从问题出发设置对照</w:t>
      </w:r>
    </w:p>
    <w:p w14:paraId="11BC96FE">
      <w:pPr>
        <w:pStyle w:val="15"/>
        <w:keepNext/>
      </w:pPr>
      <w:r>
        <w:t>表 22  对照 / 回答的问题</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4EA821D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4EEE1030">
            <w:pPr>
              <w:pStyle w:val="164"/>
              <w:keepNext/>
            </w:pPr>
            <w:r>
              <w:rPr>
                <w:b/>
              </w:rPr>
              <w:t>对照</w:t>
            </w:r>
          </w:p>
        </w:tc>
        <w:tc>
          <w:tcPr>
            <w:tcW w:w="3600" w:type="dxa"/>
            <w:shd w:val="clear" w:color="auto" w:fill="E8EEF5"/>
            <w:tcMar>
              <w:top w:w="80" w:type="dxa"/>
              <w:left w:w="120" w:type="dxa"/>
              <w:bottom w:w="80" w:type="dxa"/>
              <w:right w:w="120" w:type="dxa"/>
            </w:tcMar>
            <w:vAlign w:val="center"/>
          </w:tcPr>
          <w:p w14:paraId="1E8C9163">
            <w:pPr>
              <w:pStyle w:val="164"/>
              <w:keepNext/>
            </w:pPr>
            <w:r>
              <w:rPr>
                <w:b/>
              </w:rPr>
              <w:t>回答的问题</w:t>
            </w:r>
          </w:p>
        </w:tc>
        <w:tc>
          <w:tcPr>
            <w:tcW w:w="3560" w:type="dxa"/>
            <w:shd w:val="clear" w:color="auto" w:fill="E8EEF5"/>
            <w:tcMar>
              <w:top w:w="80" w:type="dxa"/>
              <w:left w:w="120" w:type="dxa"/>
              <w:bottom w:w="80" w:type="dxa"/>
              <w:right w:w="120" w:type="dxa"/>
            </w:tcMar>
            <w:vAlign w:val="center"/>
          </w:tcPr>
          <w:p w14:paraId="1867A0FC">
            <w:pPr>
              <w:pStyle w:val="164"/>
              <w:keepNext/>
            </w:pPr>
            <w:r>
              <w:rPr>
                <w:b/>
              </w:rPr>
              <w:t>公平性要求</w:t>
            </w:r>
          </w:p>
        </w:tc>
      </w:tr>
      <w:tr w14:paraId="17C50F3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4C56674">
            <w:pPr>
              <w:pStyle w:val="164"/>
            </w:pPr>
            <w:r>
              <w:t>无新增观测先验</w:t>
            </w:r>
          </w:p>
        </w:tc>
        <w:tc>
          <w:tcPr>
            <w:tcW w:w="3600" w:type="dxa"/>
            <w:tcMar>
              <w:top w:w="80" w:type="dxa"/>
              <w:left w:w="120" w:type="dxa"/>
              <w:bottom w:w="80" w:type="dxa"/>
              <w:right w:w="120" w:type="dxa"/>
            </w:tcMar>
            <w:vAlign w:val="center"/>
          </w:tcPr>
          <w:p w14:paraId="327218E1">
            <w:pPr>
              <w:pStyle w:val="164"/>
            </w:pPr>
            <w:r>
              <w:t>探测数据是否有用</w:t>
            </w:r>
          </w:p>
        </w:tc>
        <w:tc>
          <w:tcPr>
            <w:tcW w:w="3560" w:type="dxa"/>
            <w:tcMar>
              <w:top w:w="80" w:type="dxa"/>
              <w:left w:w="120" w:type="dxa"/>
              <w:bottom w:w="80" w:type="dxa"/>
              <w:right w:w="120" w:type="dxa"/>
            </w:tcMar>
            <w:vAlign w:val="center"/>
          </w:tcPr>
          <w:p w14:paraId="129CA9F6">
            <w:pPr>
              <w:pStyle w:val="164"/>
            </w:pPr>
            <w:r>
              <w:t>相同目标与初始化规则</w:t>
            </w:r>
          </w:p>
        </w:tc>
      </w:tr>
      <w:tr w14:paraId="1DF7ACF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0619ACA">
            <w:pPr>
              <w:pStyle w:val="164"/>
            </w:pPr>
            <w:r>
              <w:t>固定巡回</w:t>
            </w:r>
          </w:p>
        </w:tc>
        <w:tc>
          <w:tcPr>
            <w:tcW w:w="3600" w:type="dxa"/>
            <w:tcMar>
              <w:top w:w="80" w:type="dxa"/>
              <w:left w:w="120" w:type="dxa"/>
              <w:bottom w:w="80" w:type="dxa"/>
              <w:right w:w="120" w:type="dxa"/>
            </w:tcMar>
            <w:vAlign w:val="center"/>
          </w:tcPr>
          <w:p w14:paraId="501F5B3D">
            <w:pPr>
              <w:pStyle w:val="164"/>
            </w:pPr>
            <w:r>
              <w:t>主动调整路线是否有用</w:t>
            </w:r>
          </w:p>
        </w:tc>
        <w:tc>
          <w:tcPr>
            <w:tcW w:w="3560" w:type="dxa"/>
            <w:tcMar>
              <w:top w:w="80" w:type="dxa"/>
              <w:left w:w="120" w:type="dxa"/>
              <w:bottom w:w="80" w:type="dxa"/>
              <w:right w:w="120" w:type="dxa"/>
            </w:tcMar>
            <w:vAlign w:val="center"/>
          </w:tcPr>
          <w:p w14:paraId="7D5CE2F8">
            <w:pPr>
              <w:pStyle w:val="164"/>
            </w:pPr>
            <w:r>
              <w:t>相同传感器、估计器、预算</w:t>
            </w:r>
          </w:p>
        </w:tc>
      </w:tr>
      <w:tr w14:paraId="5C9B987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011C9CC">
            <w:pPr>
              <w:pStyle w:val="164"/>
            </w:pPr>
            <w:r>
              <w:t>合法随机行为</w:t>
            </w:r>
          </w:p>
        </w:tc>
        <w:tc>
          <w:tcPr>
            <w:tcW w:w="3600" w:type="dxa"/>
            <w:tcMar>
              <w:top w:w="80" w:type="dxa"/>
              <w:left w:w="120" w:type="dxa"/>
              <w:bottom w:w="80" w:type="dxa"/>
              <w:right w:w="120" w:type="dxa"/>
            </w:tcMar>
            <w:vAlign w:val="center"/>
          </w:tcPr>
          <w:p w14:paraId="1ACFBA6B">
            <w:pPr>
              <w:pStyle w:val="164"/>
            </w:pPr>
            <w:r>
              <w:t>学到的选择是否优于无目的探索</w:t>
            </w:r>
          </w:p>
        </w:tc>
        <w:tc>
          <w:tcPr>
            <w:tcW w:w="3560" w:type="dxa"/>
            <w:tcMar>
              <w:top w:w="80" w:type="dxa"/>
              <w:left w:w="120" w:type="dxa"/>
              <w:bottom w:w="80" w:type="dxa"/>
              <w:right w:w="120" w:type="dxa"/>
            </w:tcMar>
            <w:vAlign w:val="center"/>
          </w:tcPr>
          <w:p w14:paraId="62BB002C">
            <w:pPr>
              <w:pStyle w:val="164"/>
            </w:pPr>
            <w:r>
              <w:t>相同可行动作与驾驶执行</w:t>
            </w:r>
          </w:p>
        </w:tc>
      </w:tr>
      <w:tr w14:paraId="5380AF0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801C030">
            <w:pPr>
              <w:pStyle w:val="164"/>
            </w:pPr>
            <w:r>
              <w:t>最快返回</w:t>
            </w:r>
          </w:p>
        </w:tc>
        <w:tc>
          <w:tcPr>
            <w:tcW w:w="3600" w:type="dxa"/>
            <w:tcMar>
              <w:top w:w="80" w:type="dxa"/>
              <w:left w:w="120" w:type="dxa"/>
              <w:bottom w:w="80" w:type="dxa"/>
              <w:right w:w="120" w:type="dxa"/>
            </w:tcMar>
            <w:vAlign w:val="center"/>
          </w:tcPr>
          <w:p w14:paraId="28C0D6CE">
            <w:pPr>
              <w:pStyle w:val="164"/>
            </w:pPr>
            <w:r>
              <w:t>是否仅靠更快返回获益</w:t>
            </w:r>
          </w:p>
        </w:tc>
        <w:tc>
          <w:tcPr>
            <w:tcW w:w="3560" w:type="dxa"/>
            <w:tcMar>
              <w:top w:w="80" w:type="dxa"/>
              <w:left w:w="120" w:type="dxa"/>
              <w:bottom w:w="80" w:type="dxa"/>
              <w:right w:w="120" w:type="dxa"/>
            </w:tcMar>
            <w:vAlign w:val="center"/>
          </w:tcPr>
          <w:p w14:paraId="6626F71E">
            <w:pPr>
              <w:pStyle w:val="164"/>
            </w:pPr>
            <w:r>
              <w:t>相同允许的路况信息</w:t>
            </w:r>
          </w:p>
        </w:tc>
      </w:tr>
      <w:tr w14:paraId="6D1B3F7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485A012">
            <w:pPr>
              <w:pStyle w:val="164"/>
            </w:pPr>
            <w:r>
              <w:t>信息年龄或不确定性启发式</w:t>
            </w:r>
          </w:p>
        </w:tc>
        <w:tc>
          <w:tcPr>
            <w:tcW w:w="3600" w:type="dxa"/>
            <w:tcMar>
              <w:top w:w="80" w:type="dxa"/>
              <w:left w:w="120" w:type="dxa"/>
              <w:bottom w:w="80" w:type="dxa"/>
              <w:right w:w="120" w:type="dxa"/>
            </w:tcMar>
            <w:vAlign w:val="center"/>
          </w:tcPr>
          <w:p w14:paraId="32EE6ECB">
            <w:pPr>
              <w:pStyle w:val="164"/>
            </w:pPr>
            <w:r>
              <w:t>是否需要长期学习</w:t>
            </w:r>
          </w:p>
        </w:tc>
        <w:tc>
          <w:tcPr>
            <w:tcW w:w="3560" w:type="dxa"/>
            <w:tcMar>
              <w:top w:w="80" w:type="dxa"/>
              <w:left w:w="120" w:type="dxa"/>
              <w:bottom w:w="80" w:type="dxa"/>
              <w:right w:w="120" w:type="dxa"/>
            </w:tcMar>
            <w:vAlign w:val="center"/>
          </w:tcPr>
          <w:p w14:paraId="441672A3">
            <w:pPr>
              <w:pStyle w:val="164"/>
            </w:pPr>
            <w:r>
              <w:t>禁止使用隐藏真值规划</w:t>
            </w:r>
          </w:p>
        </w:tc>
      </w:tr>
      <w:tr w14:paraId="43AD3DC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4824D79">
            <w:pPr>
              <w:pStyle w:val="164"/>
            </w:pPr>
            <w:r>
              <w:t>PPO及其扩展</w:t>
            </w:r>
          </w:p>
        </w:tc>
        <w:tc>
          <w:tcPr>
            <w:tcW w:w="3600" w:type="dxa"/>
            <w:tcMar>
              <w:top w:w="80" w:type="dxa"/>
              <w:left w:w="120" w:type="dxa"/>
              <w:bottom w:w="80" w:type="dxa"/>
              <w:right w:w="120" w:type="dxa"/>
            </w:tcMar>
            <w:vAlign w:val="center"/>
          </w:tcPr>
          <w:p w14:paraId="1400D1A9">
            <w:pPr>
              <w:pStyle w:val="164"/>
            </w:pPr>
            <w:r>
              <w:t>所提模块是否带来改善</w:t>
            </w:r>
          </w:p>
        </w:tc>
        <w:tc>
          <w:tcPr>
            <w:tcW w:w="3560" w:type="dxa"/>
            <w:tcMar>
              <w:top w:w="80" w:type="dxa"/>
              <w:left w:w="120" w:type="dxa"/>
              <w:bottom w:w="80" w:type="dxa"/>
              <w:right w:w="120" w:type="dxa"/>
            </w:tcMar>
            <w:vAlign w:val="center"/>
          </w:tcPr>
          <w:p w14:paraId="445E398F">
            <w:pPr>
              <w:pStyle w:val="164"/>
            </w:pPr>
            <w:r>
              <w:t>相同训练与评测条件</w:t>
            </w:r>
          </w:p>
        </w:tc>
      </w:tr>
    </w:tbl>
    <w:p w14:paraId="36968229">
      <w:pPr>
        <w:pStyle w:val="165"/>
      </w:pPr>
    </w:p>
    <w:p w14:paraId="41BAB8A1">
      <w:pPr>
        <w:pStyle w:val="174"/>
      </w:pPr>
      <w:r>
        <w:t>“全局真值可见”的策略或估计可作为额外信息参考，但不一定是整个任务的严格最优上界，因为驾驶行为仍可能改变交通、规划算法也可能不最优。应准确标注为信息充分参考。</w:t>
      </w:r>
    </w:p>
    <w:p w14:paraId="0266EF8A">
      <w:pPr>
        <w:pStyle w:val="4"/>
      </w:pPr>
      <w:r>
        <w:t>19.2 主要结果指标</w:t>
      </w:r>
    </w:p>
    <w:p w14:paraId="19477684">
      <w:pPr>
        <w:pStyle w:val="174"/>
      </w:pPr>
      <w:r>
        <w:t>报告全程时间加权队列MAE、终点MAE、各车道误差分布、较高误差分位数、任务失败率、行驶距离与耗时。若有区间预测，报告覆盖率与宽度；若有阈值停止，报告误停率、超时率和达到规定质量的时间。</w:t>
      </w:r>
    </w:p>
    <w:p w14:paraId="0FA2892C">
      <w:pPr>
        <w:pStyle w:val="174"/>
      </w:pPr>
      <w:r>
        <w:t>RMSE可以补充反映大误差，MAE用于清楚表达平均米数偏差。零队列较多时，“相对误差百分比”需谨慎定义。不要把训练回报曲线作为唯一结果，也不要把高覆盖率直接改写成高重建准确率。</w:t>
      </w:r>
    </w:p>
    <w:p w14:paraId="761BBE57">
      <w:pPr>
        <w:pStyle w:val="4"/>
      </w:pPr>
      <w:r>
        <w:t>19.3 核心消融</w:t>
      </w:r>
    </w:p>
    <w:p w14:paraId="3467647B">
      <w:pPr>
        <w:pStyle w:val="174"/>
      </w:pPr>
      <w:r>
        <w:t>分别去掉信息年龄、估计不确定性、历史记忆，比较粗入口选择与车道级选择，比较真实遮挡模型与理想观测，比较固定与学习速度，比较不同空间尺度和决策间隔。每组实验明确只改变哪些因素。</w:t>
      </w:r>
    </w:p>
    <w:p w14:paraId="25D9BEBC">
      <w:pPr>
        <w:pStyle w:val="174"/>
      </w:pPr>
      <w:r>
        <w:t>比较表示尺度时保持物理目标与动作范围一致；比较奖励时报告对应目标差异；比较模型容量时尽量控制数据量、训练预算和推理成本。某模块无收益也应如实记录，分析是否被其他输入替代。</w:t>
      </w:r>
    </w:p>
    <w:p w14:paraId="6DABF47F">
      <w:pPr>
        <w:pStyle w:val="4"/>
      </w:pPr>
      <w:r>
        <w:t>19.4 场景划分和独立重复</w:t>
      </w:r>
    </w:p>
    <w:p w14:paraId="21BB8F2D">
      <w:pPr>
        <w:pStyle w:val="174"/>
      </w:pPr>
      <w:r>
        <w:t>训练、验证和测试按完整场景、需求配置或回合划分，不把相邻帧随机分到不同集合。拓扑泛化实验按路网留出。超参数选择使用验证集，最终测试配置在模型选择后冻结。</w:t>
      </w:r>
    </w:p>
    <w:p w14:paraId="3138FD0E">
      <w:pPr>
        <w:pStyle w:val="174"/>
      </w:pPr>
      <w:r>
        <w:t>统计单位优先为完整episode或场景。若多个episode共享路网和需求条件，汇总时说明层级。可以对配对场景的指标差异计算均值和置信区间；不能把几万条相关时间步当成几万个独立实验。</w:t>
      </w:r>
    </w:p>
    <w:p w14:paraId="2F1EB773">
      <w:pPr>
        <w:pStyle w:val="4"/>
      </w:pPr>
      <w:r>
        <w:t>19.5 预算和计算成本的公平比较</w:t>
      </w:r>
    </w:p>
    <w:p w14:paraId="76BBB69A">
      <w:pPr>
        <w:pStyle w:val="174"/>
      </w:pPr>
      <w:r>
        <w:t>明确每种方法使用的仿真步数、训练场景数、估计器训练数据、教师数据生成成本、参数规模和决策耗时。Transformer若使用额外专家数据，不应仅比较学生训练步数就声称样本效率更高。</w:t>
      </w:r>
    </w:p>
    <w:p w14:paraId="5335A313">
      <w:pPr>
        <w:pStyle w:val="174"/>
      </w:pPr>
      <w:r>
        <w:t>推理延迟应包含输入构造、估计器、策略和候选生成。若仅报告神经网络前向时间，应标明口径。训练耗时与真实车辆在线计算时间是不同指标。</w:t>
      </w:r>
    </w:p>
    <w:p w14:paraId="36CC2386">
      <w:pPr>
        <w:pStyle w:val="4"/>
      </w:pPr>
      <w:r>
        <w:t>19.6 不成功结果也应解释</w:t>
      </w:r>
    </w:p>
    <w:p w14:paraId="01300613">
      <w:pPr>
        <w:pStyle w:val="174"/>
      </w:pPr>
      <w:r>
        <w:t>若固定巡回已接近当前信息条件下的最好表现，RL必要性需重新论证。若不同路线获得的观测明显不同，但估计器误差几乎不变，瓶颈可能是估计器不能利用信息。若策略回报高但误差变差，应审查奖励权重、终止和扰动。</w:t>
      </w:r>
    </w:p>
    <w:p w14:paraId="4C69ED0E">
      <w:pPr>
        <w:pStyle w:val="174"/>
      </w:pPr>
      <w:r>
        <w:t>若训练场景表现好、留出需求表现差，检查数据覆盖、先验依赖与输入泄漏。若只有某个训练种子成功，不应以最好种子代表稳定效果。失败分析需要结合时间、动作和观测的同步回放。</w:t>
      </w:r>
    </w:p>
    <w:p w14:paraId="26F0BB86">
      <w:pPr>
        <w:pStyle w:val="3"/>
        <w:pageBreakBefore/>
      </w:pPr>
      <w:bookmarkStart w:id="21" w:name="chapter_20"/>
      <w:r>
        <w:t>20 工程结构、性能与部署路径</w:t>
      </w:r>
      <w:bookmarkEnd w:id="21"/>
    </w:p>
    <w:p w14:paraId="7CF45966">
      <w:pPr>
        <w:pStyle w:val="4"/>
      </w:pPr>
      <w:r>
        <w:t>20.1 推荐的代码模块</w:t>
      </w:r>
    </w:p>
    <w:p w14:paraId="0EF6AEF2">
      <w:pPr>
        <w:pStyle w:val="15"/>
        <w:keepNext/>
      </w:pPr>
      <w:r>
        <w:t>表 23  模块或目录 / 职责</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050"/>
        <w:gridCol w:w="3300"/>
        <w:gridCol w:w="4010"/>
      </w:tblGrid>
      <w:tr w14:paraId="352C958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050" w:type="dxa"/>
            <w:shd w:val="clear" w:color="auto" w:fill="E8EEF5"/>
            <w:tcMar>
              <w:top w:w="80" w:type="dxa"/>
              <w:left w:w="120" w:type="dxa"/>
              <w:bottom w:w="80" w:type="dxa"/>
              <w:right w:w="120" w:type="dxa"/>
            </w:tcMar>
            <w:vAlign w:val="center"/>
          </w:tcPr>
          <w:p w14:paraId="7D93014D">
            <w:pPr>
              <w:pStyle w:val="164"/>
              <w:keepNext/>
            </w:pPr>
            <w:r>
              <w:rPr>
                <w:b/>
              </w:rPr>
              <w:t>模块或目录</w:t>
            </w:r>
          </w:p>
        </w:tc>
        <w:tc>
          <w:tcPr>
            <w:tcW w:w="3300" w:type="dxa"/>
            <w:shd w:val="clear" w:color="auto" w:fill="E8EEF5"/>
            <w:tcMar>
              <w:top w:w="80" w:type="dxa"/>
              <w:left w:w="120" w:type="dxa"/>
              <w:bottom w:w="80" w:type="dxa"/>
              <w:right w:w="120" w:type="dxa"/>
            </w:tcMar>
            <w:vAlign w:val="center"/>
          </w:tcPr>
          <w:p w14:paraId="1C9301D9">
            <w:pPr>
              <w:pStyle w:val="164"/>
              <w:keepNext/>
            </w:pPr>
            <w:r>
              <w:rPr>
                <w:b/>
              </w:rPr>
              <w:t>职责</w:t>
            </w:r>
          </w:p>
        </w:tc>
        <w:tc>
          <w:tcPr>
            <w:tcW w:w="4010" w:type="dxa"/>
            <w:shd w:val="clear" w:color="auto" w:fill="E8EEF5"/>
            <w:tcMar>
              <w:top w:w="80" w:type="dxa"/>
              <w:left w:w="120" w:type="dxa"/>
              <w:bottom w:w="80" w:type="dxa"/>
              <w:right w:w="120" w:type="dxa"/>
            </w:tcMar>
            <w:vAlign w:val="center"/>
          </w:tcPr>
          <w:p w14:paraId="3CFFB1B8">
            <w:pPr>
              <w:pStyle w:val="164"/>
              <w:keepNext/>
            </w:pPr>
            <w:r>
              <w:rPr>
                <w:b/>
              </w:rPr>
              <w:t>关键边界</w:t>
            </w:r>
          </w:p>
        </w:tc>
      </w:tr>
      <w:tr w14:paraId="5445061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5B0E4AAE">
            <w:pPr>
              <w:pStyle w:val="164"/>
            </w:pPr>
            <w:r>
              <w:t>configs</w:t>
            </w:r>
          </w:p>
        </w:tc>
        <w:tc>
          <w:tcPr>
            <w:tcW w:w="3300" w:type="dxa"/>
            <w:tcMar>
              <w:top w:w="80" w:type="dxa"/>
              <w:left w:w="120" w:type="dxa"/>
              <w:bottom w:w="80" w:type="dxa"/>
              <w:right w:w="120" w:type="dxa"/>
            </w:tcMar>
            <w:vAlign w:val="center"/>
          </w:tcPr>
          <w:p w14:paraId="2ED8322C">
            <w:pPr>
              <w:pStyle w:val="164"/>
            </w:pPr>
            <w:r>
              <w:t>任务、场景和算法配置</w:t>
            </w:r>
          </w:p>
        </w:tc>
        <w:tc>
          <w:tcPr>
            <w:tcW w:w="4010" w:type="dxa"/>
            <w:tcMar>
              <w:top w:w="80" w:type="dxa"/>
              <w:left w:w="120" w:type="dxa"/>
              <w:bottom w:w="80" w:type="dxa"/>
              <w:right w:w="120" w:type="dxa"/>
            </w:tcMar>
            <w:vAlign w:val="center"/>
          </w:tcPr>
          <w:p w14:paraId="7D26D7F1">
            <w:pPr>
              <w:pStyle w:val="164"/>
            </w:pPr>
            <w:r>
              <w:t>版本化，不散落魔法数</w:t>
            </w:r>
          </w:p>
        </w:tc>
      </w:tr>
      <w:tr w14:paraId="4E340A6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322E115E">
            <w:pPr>
              <w:pStyle w:val="164"/>
            </w:pPr>
            <w:r>
              <w:t>scenarios</w:t>
            </w:r>
          </w:p>
        </w:tc>
        <w:tc>
          <w:tcPr>
            <w:tcW w:w="3300" w:type="dxa"/>
            <w:tcMar>
              <w:top w:w="80" w:type="dxa"/>
              <w:left w:w="120" w:type="dxa"/>
              <w:bottom w:w="80" w:type="dxa"/>
              <w:right w:w="120" w:type="dxa"/>
            </w:tcMar>
            <w:vAlign w:val="center"/>
          </w:tcPr>
          <w:p w14:paraId="7BE1AEEB">
            <w:pPr>
              <w:pStyle w:val="164"/>
            </w:pPr>
            <w:r>
              <w:t>路网、需求与信号</w:t>
            </w:r>
          </w:p>
        </w:tc>
        <w:tc>
          <w:tcPr>
            <w:tcW w:w="4010" w:type="dxa"/>
            <w:tcMar>
              <w:top w:w="80" w:type="dxa"/>
              <w:left w:w="120" w:type="dxa"/>
              <w:bottom w:w="80" w:type="dxa"/>
              <w:right w:w="120" w:type="dxa"/>
            </w:tcMar>
            <w:vAlign w:val="center"/>
          </w:tcPr>
          <w:p w14:paraId="4B36798C">
            <w:pPr>
              <w:pStyle w:val="164"/>
            </w:pPr>
            <w:r>
              <w:t>训练和测试分开</w:t>
            </w:r>
          </w:p>
        </w:tc>
      </w:tr>
      <w:tr w14:paraId="09F297F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739E9104">
            <w:pPr>
              <w:pStyle w:val="164"/>
            </w:pPr>
            <w:r>
              <w:t>sensing</w:t>
            </w:r>
          </w:p>
        </w:tc>
        <w:tc>
          <w:tcPr>
            <w:tcW w:w="3300" w:type="dxa"/>
            <w:tcMar>
              <w:top w:w="80" w:type="dxa"/>
              <w:left w:w="120" w:type="dxa"/>
              <w:bottom w:w="80" w:type="dxa"/>
              <w:right w:w="120" w:type="dxa"/>
            </w:tcMar>
            <w:vAlign w:val="center"/>
          </w:tcPr>
          <w:p w14:paraId="7BE88294">
            <w:pPr>
              <w:pStyle w:val="164"/>
            </w:pPr>
            <w:r>
              <w:t>传感模型和时间同步</w:t>
            </w:r>
          </w:p>
        </w:tc>
        <w:tc>
          <w:tcPr>
            <w:tcW w:w="4010" w:type="dxa"/>
            <w:tcMar>
              <w:top w:w="80" w:type="dxa"/>
              <w:left w:w="120" w:type="dxa"/>
              <w:bottom w:w="80" w:type="dxa"/>
              <w:right w:w="120" w:type="dxa"/>
            </w:tcMar>
            <w:vAlign w:val="center"/>
          </w:tcPr>
          <w:p w14:paraId="3B6C34B9">
            <w:pPr>
              <w:pStyle w:val="164"/>
            </w:pPr>
            <w:r>
              <w:t>仅公开局部观测</w:t>
            </w:r>
          </w:p>
        </w:tc>
      </w:tr>
      <w:tr w14:paraId="60AF53D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112B711">
            <w:pPr>
              <w:pStyle w:val="164"/>
            </w:pPr>
            <w:r>
              <w:t>estimation</w:t>
            </w:r>
          </w:p>
        </w:tc>
        <w:tc>
          <w:tcPr>
            <w:tcW w:w="3300" w:type="dxa"/>
            <w:tcMar>
              <w:top w:w="80" w:type="dxa"/>
              <w:left w:w="120" w:type="dxa"/>
              <w:bottom w:w="80" w:type="dxa"/>
              <w:right w:w="120" w:type="dxa"/>
            </w:tcMar>
            <w:vAlign w:val="center"/>
          </w:tcPr>
          <w:p w14:paraId="1F7DF4A6">
            <w:pPr>
              <w:pStyle w:val="164"/>
            </w:pPr>
            <w:r>
              <w:t>状态估计与可靠性</w:t>
            </w:r>
          </w:p>
        </w:tc>
        <w:tc>
          <w:tcPr>
            <w:tcW w:w="4010" w:type="dxa"/>
            <w:tcMar>
              <w:top w:w="80" w:type="dxa"/>
              <w:left w:w="120" w:type="dxa"/>
              <w:bottom w:w="80" w:type="dxa"/>
              <w:right w:w="120" w:type="dxa"/>
            </w:tcMar>
            <w:vAlign w:val="center"/>
          </w:tcPr>
          <w:p w14:paraId="73ACDDF3">
            <w:pPr>
              <w:pStyle w:val="164"/>
            </w:pPr>
            <w:r>
              <w:t>教师标签独立</w:t>
            </w:r>
          </w:p>
        </w:tc>
      </w:tr>
      <w:tr w14:paraId="2D649AE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DC11ACA">
            <w:pPr>
              <w:pStyle w:val="164"/>
            </w:pPr>
            <w:r>
              <w:t>planning</w:t>
            </w:r>
          </w:p>
        </w:tc>
        <w:tc>
          <w:tcPr>
            <w:tcW w:w="3300" w:type="dxa"/>
            <w:tcMar>
              <w:top w:w="80" w:type="dxa"/>
              <w:left w:w="120" w:type="dxa"/>
              <w:bottom w:w="80" w:type="dxa"/>
              <w:right w:w="120" w:type="dxa"/>
            </w:tcMar>
            <w:vAlign w:val="center"/>
          </w:tcPr>
          <w:p w14:paraId="42E31E19">
            <w:pPr>
              <w:pStyle w:val="164"/>
            </w:pPr>
            <w:r>
              <w:t>候选生成和动作编译</w:t>
            </w:r>
          </w:p>
        </w:tc>
        <w:tc>
          <w:tcPr>
            <w:tcW w:w="4010" w:type="dxa"/>
            <w:tcMar>
              <w:top w:w="80" w:type="dxa"/>
              <w:left w:w="120" w:type="dxa"/>
              <w:bottom w:w="80" w:type="dxa"/>
              <w:right w:w="120" w:type="dxa"/>
            </w:tcMar>
            <w:vAlign w:val="center"/>
          </w:tcPr>
          <w:p w14:paraId="27E2D21E">
            <w:pPr>
              <w:pStyle w:val="164"/>
            </w:pPr>
            <w:r>
              <w:t>只用允许信息</w:t>
            </w:r>
          </w:p>
        </w:tc>
      </w:tr>
      <w:tr w14:paraId="6237897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4CD1E810">
            <w:pPr>
              <w:pStyle w:val="164"/>
            </w:pPr>
            <w:r>
              <w:t>execution</w:t>
            </w:r>
          </w:p>
        </w:tc>
        <w:tc>
          <w:tcPr>
            <w:tcW w:w="3300" w:type="dxa"/>
            <w:tcMar>
              <w:top w:w="80" w:type="dxa"/>
              <w:left w:w="120" w:type="dxa"/>
              <w:bottom w:w="80" w:type="dxa"/>
              <w:right w:w="120" w:type="dxa"/>
            </w:tcMar>
            <w:vAlign w:val="center"/>
          </w:tcPr>
          <w:p w14:paraId="3A70E35A">
            <w:pPr>
              <w:pStyle w:val="164"/>
            </w:pPr>
            <w:r>
              <w:t>驾驶任务与控制器</w:t>
            </w:r>
          </w:p>
        </w:tc>
        <w:tc>
          <w:tcPr>
            <w:tcW w:w="4010" w:type="dxa"/>
            <w:tcMar>
              <w:top w:w="80" w:type="dxa"/>
              <w:left w:w="120" w:type="dxa"/>
              <w:bottom w:w="80" w:type="dxa"/>
              <w:right w:w="120" w:type="dxa"/>
            </w:tcMar>
            <w:vAlign w:val="center"/>
          </w:tcPr>
          <w:p w14:paraId="3698B1D3">
            <w:pPr>
              <w:pStyle w:val="164"/>
            </w:pPr>
            <w:r>
              <w:t>反馈实际执行状态</w:t>
            </w:r>
          </w:p>
        </w:tc>
      </w:tr>
      <w:tr w14:paraId="1A7D978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CB43073">
            <w:pPr>
              <w:pStyle w:val="164"/>
            </w:pPr>
            <w:r>
              <w:t>envs</w:t>
            </w:r>
          </w:p>
        </w:tc>
        <w:tc>
          <w:tcPr>
            <w:tcW w:w="3300" w:type="dxa"/>
            <w:tcMar>
              <w:top w:w="80" w:type="dxa"/>
              <w:left w:w="120" w:type="dxa"/>
              <w:bottom w:w="80" w:type="dxa"/>
              <w:right w:w="120" w:type="dxa"/>
            </w:tcMar>
            <w:vAlign w:val="center"/>
          </w:tcPr>
          <w:p w14:paraId="68BBFDE6">
            <w:pPr>
              <w:pStyle w:val="164"/>
            </w:pPr>
            <w:r>
              <w:t>Gym封装和并行适配</w:t>
            </w:r>
          </w:p>
        </w:tc>
        <w:tc>
          <w:tcPr>
            <w:tcW w:w="4010" w:type="dxa"/>
            <w:tcMar>
              <w:top w:w="80" w:type="dxa"/>
              <w:left w:w="120" w:type="dxa"/>
              <w:bottom w:w="80" w:type="dxa"/>
              <w:right w:w="120" w:type="dxa"/>
            </w:tcMar>
            <w:vAlign w:val="center"/>
          </w:tcPr>
          <w:p w14:paraId="177D82C5">
            <w:pPr>
              <w:pStyle w:val="164"/>
            </w:pPr>
            <w:r>
              <w:t>时间、终点、种子统一</w:t>
            </w:r>
          </w:p>
        </w:tc>
      </w:tr>
      <w:tr w14:paraId="468625F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1DFE481">
            <w:pPr>
              <w:pStyle w:val="164"/>
            </w:pPr>
            <w:r>
              <w:t>agents</w:t>
            </w:r>
          </w:p>
        </w:tc>
        <w:tc>
          <w:tcPr>
            <w:tcW w:w="3300" w:type="dxa"/>
            <w:tcMar>
              <w:top w:w="80" w:type="dxa"/>
              <w:left w:w="120" w:type="dxa"/>
              <w:bottom w:w="80" w:type="dxa"/>
              <w:right w:w="120" w:type="dxa"/>
            </w:tcMar>
            <w:vAlign w:val="center"/>
          </w:tcPr>
          <w:p w14:paraId="05038680">
            <w:pPr>
              <w:pStyle w:val="164"/>
            </w:pPr>
            <w:r>
              <w:t>Actor、Critic、训练算法</w:t>
            </w:r>
          </w:p>
        </w:tc>
        <w:tc>
          <w:tcPr>
            <w:tcW w:w="4010" w:type="dxa"/>
            <w:tcMar>
              <w:top w:w="80" w:type="dxa"/>
              <w:left w:w="120" w:type="dxa"/>
              <w:bottom w:w="80" w:type="dxa"/>
              <w:right w:w="120" w:type="dxa"/>
            </w:tcMar>
            <w:vAlign w:val="center"/>
          </w:tcPr>
          <w:p w14:paraId="2CD09D18">
            <w:pPr>
              <w:pStyle w:val="164"/>
            </w:pPr>
            <w:r>
              <w:t>不直接读取仿真真值</w:t>
            </w:r>
          </w:p>
        </w:tc>
      </w:tr>
      <w:tr w14:paraId="2EF9EFE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29B87C5F">
            <w:pPr>
              <w:pStyle w:val="164"/>
            </w:pPr>
            <w:r>
              <w:t>evaluation</w:t>
            </w:r>
          </w:p>
        </w:tc>
        <w:tc>
          <w:tcPr>
            <w:tcW w:w="3300" w:type="dxa"/>
            <w:tcMar>
              <w:top w:w="80" w:type="dxa"/>
              <w:left w:w="120" w:type="dxa"/>
              <w:bottom w:w="80" w:type="dxa"/>
              <w:right w:w="120" w:type="dxa"/>
            </w:tcMar>
            <w:vAlign w:val="center"/>
          </w:tcPr>
          <w:p w14:paraId="1FF7D975">
            <w:pPr>
              <w:pStyle w:val="164"/>
            </w:pPr>
            <w:r>
              <w:t>误差、成本与统计</w:t>
            </w:r>
          </w:p>
        </w:tc>
        <w:tc>
          <w:tcPr>
            <w:tcW w:w="4010" w:type="dxa"/>
            <w:tcMar>
              <w:top w:w="80" w:type="dxa"/>
              <w:left w:w="120" w:type="dxa"/>
              <w:bottom w:w="80" w:type="dxa"/>
              <w:right w:w="120" w:type="dxa"/>
            </w:tcMar>
            <w:vAlign w:val="center"/>
          </w:tcPr>
          <w:p w14:paraId="5FAFAAE1">
            <w:pPr>
              <w:pStyle w:val="164"/>
            </w:pPr>
            <w:r>
              <w:t>不参与测试调参</w:t>
            </w:r>
          </w:p>
        </w:tc>
      </w:tr>
      <w:tr w14:paraId="3F9FF58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50905833">
            <w:pPr>
              <w:pStyle w:val="164"/>
            </w:pPr>
            <w:r>
              <w:t>data</w:t>
            </w:r>
          </w:p>
        </w:tc>
        <w:tc>
          <w:tcPr>
            <w:tcW w:w="3300" w:type="dxa"/>
            <w:tcMar>
              <w:top w:w="80" w:type="dxa"/>
              <w:left w:w="120" w:type="dxa"/>
              <w:bottom w:w="80" w:type="dxa"/>
              <w:right w:w="120" w:type="dxa"/>
            </w:tcMar>
            <w:vAlign w:val="center"/>
          </w:tcPr>
          <w:p w14:paraId="54A74E24">
            <w:pPr>
              <w:pStyle w:val="164"/>
            </w:pPr>
            <w:r>
              <w:t>轨迹schema与转换</w:t>
            </w:r>
          </w:p>
        </w:tc>
        <w:tc>
          <w:tcPr>
            <w:tcW w:w="4010" w:type="dxa"/>
            <w:tcMar>
              <w:top w:w="80" w:type="dxa"/>
              <w:left w:w="120" w:type="dxa"/>
              <w:bottom w:w="80" w:type="dxa"/>
              <w:right w:w="120" w:type="dxa"/>
            </w:tcMar>
            <w:vAlign w:val="center"/>
          </w:tcPr>
          <w:p w14:paraId="27884ED3">
            <w:pPr>
              <w:pStyle w:val="164"/>
            </w:pPr>
            <w:r>
              <w:t>版本、因果性和split检查</w:t>
            </w:r>
          </w:p>
        </w:tc>
      </w:tr>
    </w:tbl>
    <w:p w14:paraId="6B5538CC">
      <w:pPr>
        <w:pStyle w:val="165"/>
      </w:pPr>
    </w:p>
    <w:p w14:paraId="6747980A">
      <w:r>
        <w:t>目录结构是建议，不意味着已创建完整代码库。附录C提供核心伪代码和数据契约，用于指导实现与评审。</w:t>
      </w:r>
    </w:p>
    <w:p w14:paraId="78218D17">
      <w:pPr>
        <w:pStyle w:val="4"/>
      </w:pPr>
      <w:r>
        <w:t>20.2 多进程与计算性能</w:t>
      </w:r>
    </w:p>
    <w:p w14:paraId="2C17287B">
      <w:r>
        <w:t>每个并行环境使用独立连接或进程、端口、输出目录、随机流与临时文件。避免多个环境共享可变的全局仿真连接，导致动作发给错误场景。Windows多进程入口应按所用框架要求设置主程序保护。</w:t>
      </w:r>
    </w:p>
    <w:p w14:paraId="4A65D49F">
      <w:r>
        <w:t>先测量瓶颈是交通仿真、传感器几何、估计器还是策略推理。无图形界面训练和批量读取状态通常有帮助；需要时可评估libsumo等接口，但应重新验证行为一致性。小MLP不保证在GPU上更快，总耗时常由仿真和进程通信决定。</w:t>
      </w:r>
    </w:p>
    <w:p w14:paraId="1D9C793C">
      <w:pPr>
        <w:pStyle w:val="4"/>
      </w:pPr>
      <w:r>
        <w:t>20.3 保存与复现</w:t>
      </w:r>
    </w:p>
    <w:p w14:paraId="31EB29F3">
      <w:r>
        <w:t>实验清单记录代码版本、依赖版本、路网与需求文件哈希、传感配置、动作schema、估计器版本、随机种子、预算、奖励权重和模型选择规则。每次改变关键接口提升schema版本，防止旧轨迹被新模型误读。</w:t>
      </w:r>
    </w:p>
    <w:p w14:paraId="162FFBE7">
      <w:r>
        <w:t>保存关键场景回放、每步奖励分项和失败原因。模型文件必须与归一化统计和动作字典一起使用。只有网络权重而没有字段顺序、单位和候选定义，无法可靠复现实验。</w:t>
      </w:r>
    </w:p>
    <w:p w14:paraId="4775867B">
      <w:pPr>
        <w:pStyle w:val="4"/>
      </w:pPr>
      <w:r>
        <w:t>20.4 从仿真到真实部署</w:t>
      </w:r>
    </w:p>
    <w:p w14:paraId="5F760594">
      <w:r>
        <w:t>真实运行保留局部观测、状态估计、策略选择与驾驶执行闭环。全局真值评价器从在线策略链中移除，必要时仅作为独立验证设备存在。首版仿真策略不直接等同于可上路系统，需要接口、时延、定位和传感误差验证。</w:t>
      </w:r>
    </w:p>
    <w:p w14:paraId="795B1B37">
      <w:r>
        <w:t>可逐步增加测量噪声、遮挡误差、驾驶模型变化、延迟与地图偏差，检查策略是否仍然有效。之后再考虑三维仿真或受控实车实验。验证重点是实际传感器能否提供训练所用字段，以及执行器是否实现相同动作语义。</w:t>
      </w:r>
    </w:p>
    <w:p w14:paraId="2C211A69">
      <w:pPr>
        <w:pStyle w:val="4"/>
      </w:pPr>
      <w:r>
        <w:t>20.5 在线失效与恢复</w:t>
      </w:r>
    </w:p>
    <w:p w14:paraId="30EDB741">
      <w:r>
        <w:t>观测故障时保留有效历史、执行预测并标记失效，不伪造新鲜信息。策略或估计器超时应有明确的任务保持或安全后备行为，且记录发生频率。后备行为属于研究假设的一部分，应在评测中出现。</w:t>
      </w:r>
    </w:p>
    <w:p w14:paraId="3F1AD9D2">
      <w:r>
        <w:t>如果研究仅验证高层探测决策，应准确说明低层驾驶能力由外部模块假定。交通规则与安全约束不能只靠奖励惩罚保证，也不能用理想控制器的结果直接证明真实部署安全。</w:t>
      </w:r>
    </w:p>
    <w:p w14:paraId="66A29336">
      <w:pPr>
        <w:pStyle w:val="3"/>
        <w:pageBreakBefore/>
      </w:pPr>
      <w:bookmarkStart w:id="22" w:name="chapter_21"/>
      <w:r>
        <w:t>21 科学问题、研究假设与结论边界</w:t>
      </w:r>
      <w:bookmarkEnd w:id="22"/>
    </w:p>
    <w:p w14:paraId="09BE55EC">
      <w:pPr>
        <w:pStyle w:val="4"/>
      </w:pPr>
      <w:r>
        <w:t>21.1 项目成立所需的证据链</w:t>
      </w:r>
    </w:p>
    <w:p w14:paraId="113B98B5">
      <w:r>
        <w:t>需要依次证明：局部观测确实含有目标交通信息；不同可行行为会改变这些信息；估计器能利用差异；策略能够在移动成本和交通动态下作出有价值的取舍；收益在独立场景中稳定存在。某一环未通过时，应定位瓶颈，而非继续堆叠网络。</w:t>
      </w:r>
    </w:p>
    <w:p w14:paraId="5EBE2B70">
      <w:r>
        <w:t>车辆移动感知和自适应信息路径规划已有相关研究基础。[R19、R20] 当前手册的作用是形成适用于本场景的明确设计，不能据此宣称“首次提出主动感知加PPO”或“Transformer必然解决泛化”。新颖性需要进一步系统文献比较 D22。</w:t>
      </w:r>
    </w:p>
    <w:p w14:paraId="24A44454">
      <w:pPr>
        <w:pStyle w:val="4"/>
      </w:pPr>
      <w:r>
        <w:t>21.2 可以检验的研究假设</w:t>
      </w:r>
    </w:p>
    <w:p w14:paraId="06D3EDFC">
      <w:pPr>
        <w:pStyle w:val="15"/>
        <w:keepNext/>
      </w:pPr>
      <w:r>
        <w:t>表 24  编号 / 假设</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6322956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20CBBD12">
            <w:pPr>
              <w:pStyle w:val="164"/>
              <w:keepNext/>
              <w:jc w:val="center"/>
            </w:pPr>
            <w:r>
              <w:rPr>
                <w:b/>
              </w:rPr>
              <w:t>编号</w:t>
            </w:r>
          </w:p>
        </w:tc>
        <w:tc>
          <w:tcPr>
            <w:tcW w:w="3600" w:type="dxa"/>
            <w:shd w:val="clear" w:color="auto" w:fill="E8EEF5"/>
            <w:tcMar>
              <w:top w:w="80" w:type="dxa"/>
              <w:left w:w="120" w:type="dxa"/>
              <w:bottom w:w="80" w:type="dxa"/>
              <w:right w:w="120" w:type="dxa"/>
            </w:tcMar>
            <w:vAlign w:val="center"/>
          </w:tcPr>
          <w:p w14:paraId="1B42C696">
            <w:pPr>
              <w:pStyle w:val="164"/>
              <w:keepNext/>
            </w:pPr>
            <w:r>
              <w:rPr>
                <w:b/>
              </w:rPr>
              <w:t>假设</w:t>
            </w:r>
          </w:p>
        </w:tc>
        <w:tc>
          <w:tcPr>
            <w:tcW w:w="3560" w:type="dxa"/>
            <w:shd w:val="clear" w:color="auto" w:fill="E8EEF5"/>
            <w:tcMar>
              <w:top w:w="80" w:type="dxa"/>
              <w:left w:w="120" w:type="dxa"/>
              <w:bottom w:w="80" w:type="dxa"/>
              <w:right w:w="120" w:type="dxa"/>
            </w:tcMar>
            <w:vAlign w:val="center"/>
          </w:tcPr>
          <w:p w14:paraId="6ADB59D9">
            <w:pPr>
              <w:pStyle w:val="164"/>
              <w:keepNext/>
            </w:pPr>
            <w:r>
              <w:rPr>
                <w:b/>
              </w:rPr>
              <w:t>必要对照</w:t>
            </w:r>
          </w:p>
        </w:tc>
      </w:tr>
      <w:tr w14:paraId="0CE33D2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57C87DC">
            <w:pPr>
              <w:pStyle w:val="164"/>
              <w:jc w:val="center"/>
            </w:pPr>
            <w:r>
              <w:t>H1</w:t>
            </w:r>
          </w:p>
        </w:tc>
        <w:tc>
          <w:tcPr>
            <w:tcW w:w="3600" w:type="dxa"/>
            <w:tcMar>
              <w:top w:w="80" w:type="dxa"/>
              <w:left w:w="120" w:type="dxa"/>
              <w:bottom w:w="80" w:type="dxa"/>
              <w:right w:w="120" w:type="dxa"/>
            </w:tcMar>
            <w:vAlign w:val="center"/>
          </w:tcPr>
          <w:p w14:paraId="0DC0271D">
            <w:pPr>
              <w:pStyle w:val="164"/>
            </w:pPr>
            <w:r>
              <w:t>目标误差驱动的选择优于固定巡回</w:t>
            </w:r>
          </w:p>
        </w:tc>
        <w:tc>
          <w:tcPr>
            <w:tcW w:w="3560" w:type="dxa"/>
            <w:tcMar>
              <w:top w:w="80" w:type="dxa"/>
              <w:left w:w="120" w:type="dxa"/>
              <w:bottom w:w="80" w:type="dxa"/>
              <w:right w:w="120" w:type="dxa"/>
            </w:tcMar>
            <w:vAlign w:val="center"/>
          </w:tcPr>
          <w:p w14:paraId="1ACE3D56">
            <w:pPr>
              <w:pStyle w:val="164"/>
            </w:pPr>
            <w:r>
              <w:t>相同估计器、预算与传感器</w:t>
            </w:r>
          </w:p>
        </w:tc>
      </w:tr>
      <w:tr w14:paraId="27EA783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FABD686">
            <w:pPr>
              <w:pStyle w:val="164"/>
              <w:jc w:val="center"/>
            </w:pPr>
            <w:r>
              <w:t>H2</w:t>
            </w:r>
          </w:p>
        </w:tc>
        <w:tc>
          <w:tcPr>
            <w:tcW w:w="3600" w:type="dxa"/>
            <w:tcMar>
              <w:top w:w="80" w:type="dxa"/>
              <w:left w:w="120" w:type="dxa"/>
              <w:bottom w:w="80" w:type="dxa"/>
              <w:right w:w="120" w:type="dxa"/>
            </w:tcMar>
            <w:vAlign w:val="center"/>
          </w:tcPr>
          <w:p w14:paraId="4A484340">
            <w:pPr>
              <w:pStyle w:val="164"/>
            </w:pPr>
            <w:r>
              <w:t>信息年龄与不确定性共同改善动态重访</w:t>
            </w:r>
          </w:p>
        </w:tc>
        <w:tc>
          <w:tcPr>
            <w:tcW w:w="3560" w:type="dxa"/>
            <w:tcMar>
              <w:top w:w="80" w:type="dxa"/>
              <w:left w:w="120" w:type="dxa"/>
              <w:bottom w:w="80" w:type="dxa"/>
              <w:right w:w="120" w:type="dxa"/>
            </w:tcMar>
            <w:vAlign w:val="center"/>
          </w:tcPr>
          <w:p w14:paraId="25830AE2">
            <w:pPr>
              <w:pStyle w:val="164"/>
            </w:pPr>
            <w:r>
              <w:t>分别移除两类输入</w:t>
            </w:r>
          </w:p>
        </w:tc>
      </w:tr>
      <w:tr w14:paraId="6793635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01C7225">
            <w:pPr>
              <w:pStyle w:val="164"/>
              <w:jc w:val="center"/>
            </w:pPr>
            <w:r>
              <w:t>H3</w:t>
            </w:r>
          </w:p>
        </w:tc>
        <w:tc>
          <w:tcPr>
            <w:tcW w:w="3600" w:type="dxa"/>
            <w:tcMar>
              <w:top w:w="80" w:type="dxa"/>
              <w:left w:w="120" w:type="dxa"/>
              <w:bottom w:w="80" w:type="dxa"/>
              <w:right w:w="120" w:type="dxa"/>
            </w:tcMar>
            <w:vAlign w:val="center"/>
          </w:tcPr>
          <w:p w14:paraId="66E16B5A">
            <w:pPr>
              <w:pStyle w:val="164"/>
            </w:pPr>
            <w:r>
              <w:t>车道级选位优于仅入口选择</w:t>
            </w:r>
          </w:p>
        </w:tc>
        <w:tc>
          <w:tcPr>
            <w:tcW w:w="3560" w:type="dxa"/>
            <w:tcMar>
              <w:top w:w="80" w:type="dxa"/>
              <w:left w:w="120" w:type="dxa"/>
              <w:bottom w:w="80" w:type="dxa"/>
              <w:right w:w="120" w:type="dxa"/>
            </w:tcMar>
            <w:vAlign w:val="center"/>
          </w:tcPr>
          <w:p w14:paraId="443B7830">
            <w:pPr>
              <w:pStyle w:val="164"/>
            </w:pPr>
            <w:r>
              <w:t>相同低层驾驶和物理成本</w:t>
            </w:r>
          </w:p>
        </w:tc>
      </w:tr>
      <w:tr w14:paraId="2BECD68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0E19B64">
            <w:pPr>
              <w:pStyle w:val="164"/>
              <w:jc w:val="center"/>
            </w:pPr>
            <w:r>
              <w:t>H4</w:t>
            </w:r>
          </w:p>
        </w:tc>
        <w:tc>
          <w:tcPr>
            <w:tcW w:w="3600" w:type="dxa"/>
            <w:tcMar>
              <w:top w:w="80" w:type="dxa"/>
              <w:left w:w="120" w:type="dxa"/>
              <w:bottom w:w="80" w:type="dxa"/>
              <w:right w:w="120" w:type="dxa"/>
            </w:tcMar>
            <w:vAlign w:val="center"/>
          </w:tcPr>
          <w:p w14:paraId="31C063E1">
            <w:pPr>
              <w:pStyle w:val="164"/>
            </w:pPr>
            <w:r>
              <w:t>历史编码改善局部观测下的长期决策</w:t>
            </w:r>
          </w:p>
        </w:tc>
        <w:tc>
          <w:tcPr>
            <w:tcW w:w="3560" w:type="dxa"/>
            <w:tcMar>
              <w:top w:w="80" w:type="dxa"/>
              <w:left w:w="120" w:type="dxa"/>
              <w:bottom w:w="80" w:type="dxa"/>
              <w:right w:w="120" w:type="dxa"/>
            </w:tcMar>
            <w:vAlign w:val="center"/>
          </w:tcPr>
          <w:p w14:paraId="4CBA030B">
            <w:pPr>
              <w:pStyle w:val="164"/>
            </w:pPr>
            <w:r>
              <w:t>匹配容量的无记忆基线</w:t>
            </w:r>
          </w:p>
        </w:tc>
      </w:tr>
      <w:tr w14:paraId="17ABFAB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492F784">
            <w:pPr>
              <w:pStyle w:val="164"/>
              <w:jc w:val="center"/>
            </w:pPr>
            <w:r>
              <w:t>H5</w:t>
            </w:r>
          </w:p>
        </w:tc>
        <w:tc>
          <w:tcPr>
            <w:tcW w:w="3600" w:type="dxa"/>
            <w:tcMar>
              <w:top w:w="80" w:type="dxa"/>
              <w:left w:w="120" w:type="dxa"/>
              <w:bottom w:w="80" w:type="dxa"/>
              <w:right w:w="120" w:type="dxa"/>
            </w:tcMar>
            <w:vAlign w:val="center"/>
          </w:tcPr>
          <w:p w14:paraId="4C47624F">
            <w:pPr>
              <w:pStyle w:val="164"/>
            </w:pPr>
            <w:r>
              <w:t>时间一致的返回决策优于只看当前不确定性</w:t>
            </w:r>
          </w:p>
        </w:tc>
        <w:tc>
          <w:tcPr>
            <w:tcW w:w="3560" w:type="dxa"/>
            <w:tcMar>
              <w:top w:w="80" w:type="dxa"/>
              <w:left w:w="120" w:type="dxa"/>
              <w:bottom w:w="80" w:type="dxa"/>
              <w:right w:w="120" w:type="dxa"/>
            </w:tcMar>
            <w:vAlign w:val="center"/>
          </w:tcPr>
          <w:p w14:paraId="645935DB">
            <w:pPr>
              <w:pStyle w:val="164"/>
            </w:pPr>
            <w:r>
              <w:t>相同允许路况与候选</w:t>
            </w:r>
          </w:p>
        </w:tc>
      </w:tr>
      <w:tr w14:paraId="3F3573D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BC9BDAF">
            <w:pPr>
              <w:pStyle w:val="164"/>
              <w:jc w:val="center"/>
            </w:pPr>
            <w:r>
              <w:t>H6</w:t>
            </w:r>
          </w:p>
        </w:tc>
        <w:tc>
          <w:tcPr>
            <w:tcW w:w="3600" w:type="dxa"/>
            <w:tcMar>
              <w:top w:w="80" w:type="dxa"/>
              <w:left w:w="120" w:type="dxa"/>
              <w:bottom w:w="80" w:type="dxa"/>
              <w:right w:w="120" w:type="dxa"/>
            </w:tcMar>
            <w:vAlign w:val="center"/>
          </w:tcPr>
          <w:p w14:paraId="19B4A92A">
            <w:pPr>
              <w:pStyle w:val="164"/>
            </w:pPr>
            <w:r>
              <w:t>序列学习在留出条件上具有收益</w:t>
            </w:r>
          </w:p>
        </w:tc>
        <w:tc>
          <w:tcPr>
            <w:tcW w:w="3560" w:type="dxa"/>
            <w:tcMar>
              <w:top w:w="80" w:type="dxa"/>
              <w:left w:w="120" w:type="dxa"/>
              <w:bottom w:w="80" w:type="dxa"/>
              <w:right w:w="120" w:type="dxa"/>
            </w:tcMar>
            <w:vAlign w:val="center"/>
          </w:tcPr>
          <w:p w14:paraId="16C21376">
            <w:pPr>
              <w:pStyle w:val="164"/>
            </w:pPr>
            <w:r>
              <w:t>同数据的GRU/Transformer等比较</w:t>
            </w:r>
          </w:p>
        </w:tc>
      </w:tr>
    </w:tbl>
    <w:p w14:paraId="7C047E95">
      <w:pPr>
        <w:pStyle w:val="165"/>
      </w:pPr>
    </w:p>
    <w:p w14:paraId="1E795F05">
      <w:r>
        <w:t>这些是假设，不是预定实验结论。若H3不成立，可能意味着传感器视野覆盖了足够多车道，或车道选择空间不足。若H4不成立，显式估计器可能已提供充分历史摘要。应允许实验改变方案。</w:t>
      </w:r>
    </w:p>
    <w:p w14:paraId="436599CE">
      <w:pPr>
        <w:pStyle w:val="4"/>
      </w:pPr>
      <w:r>
        <w:t>21.3 可形成的研究贡献层次</w:t>
      </w:r>
    </w:p>
    <w:p w14:paraId="4B37284F">
      <w:r>
        <w:t>任务层可贡献动态交通下有限预算、信息过时和合法返回共同作用的主动探测问题刻画。表示层可贡献与交通估计目标一致的观测与可靠性表达。决策层可贡献经过验证的时间感知或车道级选择机制。实验层可贡献可复现环境、基线和边界分析。</w:t>
      </w:r>
    </w:p>
    <w:p w14:paraId="1DAFF1BE">
      <w:r>
        <w:t>使用PPO、LSTM或Transformer属于方法选择，单独的组合通常不足以构成强创新。需要说明现有方法在什么具体条件下失效，所提改动解决了哪一类失效，并用对照验证。</w:t>
      </w:r>
    </w:p>
    <w:p w14:paraId="7D5A986C">
      <w:pPr>
        <w:pStyle w:val="4"/>
      </w:pPr>
      <w:r>
        <w:t>21.4 主要可行性风险</w:t>
      </w:r>
    </w:p>
    <w:p w14:paraId="499BE309">
      <w:pPr>
        <w:pStyle w:val="15"/>
        <w:keepNext/>
      </w:pPr>
      <w:r>
        <w:t>表 25  风险 / 可观察症状</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142E0D5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67CB70C5">
            <w:pPr>
              <w:pStyle w:val="164"/>
              <w:keepNext/>
            </w:pPr>
            <w:r>
              <w:rPr>
                <w:b/>
              </w:rPr>
              <w:t>风险</w:t>
            </w:r>
          </w:p>
        </w:tc>
        <w:tc>
          <w:tcPr>
            <w:tcW w:w="3600" w:type="dxa"/>
            <w:shd w:val="clear" w:color="auto" w:fill="E8EEF5"/>
            <w:tcMar>
              <w:top w:w="80" w:type="dxa"/>
              <w:left w:w="120" w:type="dxa"/>
              <w:bottom w:w="80" w:type="dxa"/>
              <w:right w:w="120" w:type="dxa"/>
            </w:tcMar>
            <w:vAlign w:val="center"/>
          </w:tcPr>
          <w:p w14:paraId="5BB6DC93">
            <w:pPr>
              <w:pStyle w:val="164"/>
              <w:keepNext/>
            </w:pPr>
            <w:r>
              <w:rPr>
                <w:b/>
              </w:rPr>
              <w:t>可观察症状</w:t>
            </w:r>
          </w:p>
        </w:tc>
        <w:tc>
          <w:tcPr>
            <w:tcW w:w="3560" w:type="dxa"/>
            <w:shd w:val="clear" w:color="auto" w:fill="E8EEF5"/>
            <w:tcMar>
              <w:top w:w="80" w:type="dxa"/>
              <w:left w:w="120" w:type="dxa"/>
              <w:bottom w:w="80" w:type="dxa"/>
              <w:right w:w="120" w:type="dxa"/>
            </w:tcMar>
            <w:vAlign w:val="center"/>
          </w:tcPr>
          <w:p w14:paraId="480A0C92">
            <w:pPr>
              <w:pStyle w:val="164"/>
              <w:keepNext/>
            </w:pPr>
            <w:r>
              <w:rPr>
                <w:b/>
              </w:rPr>
              <w:t>优先处理</w:t>
            </w:r>
          </w:p>
        </w:tc>
      </w:tr>
      <w:tr w14:paraId="077EC68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9FCAA52">
            <w:pPr>
              <w:pStyle w:val="164"/>
            </w:pPr>
            <w:r>
              <w:t>单车信息不足</w:t>
            </w:r>
          </w:p>
        </w:tc>
        <w:tc>
          <w:tcPr>
            <w:tcW w:w="3600" w:type="dxa"/>
            <w:tcMar>
              <w:top w:w="80" w:type="dxa"/>
              <w:left w:w="120" w:type="dxa"/>
              <w:bottom w:w="80" w:type="dxa"/>
              <w:right w:w="120" w:type="dxa"/>
            </w:tcMar>
            <w:vAlign w:val="center"/>
          </w:tcPr>
          <w:p w14:paraId="75DA028E">
            <w:pPr>
              <w:pStyle w:val="164"/>
            </w:pPr>
            <w:r>
              <w:t>各路线均无法改善关键方向估计</w:t>
            </w:r>
          </w:p>
        </w:tc>
        <w:tc>
          <w:tcPr>
            <w:tcW w:w="3560" w:type="dxa"/>
            <w:tcMar>
              <w:top w:w="80" w:type="dxa"/>
              <w:left w:w="120" w:type="dxa"/>
              <w:bottom w:w="80" w:type="dxa"/>
              <w:right w:w="120" w:type="dxa"/>
            </w:tcMar>
            <w:vAlign w:val="center"/>
          </w:tcPr>
          <w:p w14:paraId="1B9D0F7C">
            <w:pPr>
              <w:pStyle w:val="164"/>
            </w:pPr>
            <w:r>
              <w:t>调整预算、目标或传感条件</w:t>
            </w:r>
          </w:p>
        </w:tc>
      </w:tr>
      <w:tr w14:paraId="52A010F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32BC316">
            <w:pPr>
              <w:pStyle w:val="164"/>
            </w:pPr>
            <w:r>
              <w:t>选择空间不足</w:t>
            </w:r>
          </w:p>
        </w:tc>
        <w:tc>
          <w:tcPr>
            <w:tcW w:w="3600" w:type="dxa"/>
            <w:tcMar>
              <w:top w:w="80" w:type="dxa"/>
              <w:left w:w="120" w:type="dxa"/>
              <w:bottom w:w="80" w:type="dxa"/>
              <w:right w:w="120" w:type="dxa"/>
            </w:tcMar>
            <w:vAlign w:val="center"/>
          </w:tcPr>
          <w:p w14:paraId="599664F0">
            <w:pPr>
              <w:pStyle w:val="164"/>
            </w:pPr>
            <w:r>
              <w:t>大部分时间唯一行为且路径相似</w:t>
            </w:r>
          </w:p>
        </w:tc>
        <w:tc>
          <w:tcPr>
            <w:tcW w:w="3560" w:type="dxa"/>
            <w:tcMar>
              <w:top w:w="80" w:type="dxa"/>
              <w:left w:w="120" w:type="dxa"/>
              <w:bottom w:w="80" w:type="dxa"/>
              <w:right w:w="120" w:type="dxa"/>
            </w:tcMar>
            <w:vAlign w:val="center"/>
          </w:tcPr>
          <w:p w14:paraId="211743BB">
            <w:pPr>
              <w:pStyle w:val="164"/>
            </w:pPr>
            <w:r>
              <w:t>检查拓扑与动作设计</w:t>
            </w:r>
          </w:p>
        </w:tc>
      </w:tr>
      <w:tr w14:paraId="27ED7FF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DB5B1C1">
            <w:pPr>
              <w:pStyle w:val="164"/>
            </w:pPr>
            <w:r>
              <w:t>估计器失配</w:t>
            </w:r>
          </w:p>
        </w:tc>
        <w:tc>
          <w:tcPr>
            <w:tcW w:w="3600" w:type="dxa"/>
            <w:tcMar>
              <w:top w:w="80" w:type="dxa"/>
              <w:left w:w="120" w:type="dxa"/>
              <w:bottom w:w="80" w:type="dxa"/>
              <w:right w:w="120" w:type="dxa"/>
            </w:tcMar>
            <w:vAlign w:val="center"/>
          </w:tcPr>
          <w:p w14:paraId="0C61ED12">
            <w:pPr>
              <w:pStyle w:val="164"/>
            </w:pPr>
            <w:r>
              <w:t>新观测很多但误差无改善</w:t>
            </w:r>
          </w:p>
        </w:tc>
        <w:tc>
          <w:tcPr>
            <w:tcW w:w="3560" w:type="dxa"/>
            <w:tcMar>
              <w:top w:w="80" w:type="dxa"/>
              <w:left w:w="120" w:type="dxa"/>
              <w:bottom w:w="80" w:type="dxa"/>
              <w:right w:w="120" w:type="dxa"/>
            </w:tcMar>
            <w:vAlign w:val="center"/>
          </w:tcPr>
          <w:p w14:paraId="5AB66096">
            <w:pPr>
              <w:pStyle w:val="164"/>
            </w:pPr>
            <w:r>
              <w:t>检查数据覆盖与因果建模</w:t>
            </w:r>
          </w:p>
        </w:tc>
      </w:tr>
      <w:tr w14:paraId="2EE8548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BA9F442">
            <w:pPr>
              <w:pStyle w:val="164"/>
            </w:pPr>
            <w:r>
              <w:t>奖励不对应目标</w:t>
            </w:r>
          </w:p>
        </w:tc>
        <w:tc>
          <w:tcPr>
            <w:tcW w:w="3600" w:type="dxa"/>
            <w:tcMar>
              <w:top w:w="80" w:type="dxa"/>
              <w:left w:w="120" w:type="dxa"/>
              <w:bottom w:w="80" w:type="dxa"/>
              <w:right w:w="120" w:type="dxa"/>
            </w:tcMar>
            <w:vAlign w:val="center"/>
          </w:tcPr>
          <w:p w14:paraId="49B7943F">
            <w:pPr>
              <w:pStyle w:val="164"/>
            </w:pPr>
            <w:r>
              <w:t>回报提升但真实质量下降</w:t>
            </w:r>
          </w:p>
        </w:tc>
        <w:tc>
          <w:tcPr>
            <w:tcW w:w="3560" w:type="dxa"/>
            <w:tcMar>
              <w:top w:w="80" w:type="dxa"/>
              <w:left w:w="120" w:type="dxa"/>
              <w:bottom w:w="80" w:type="dxa"/>
              <w:right w:w="120" w:type="dxa"/>
            </w:tcMar>
            <w:vAlign w:val="center"/>
          </w:tcPr>
          <w:p w14:paraId="69E5E0C3">
            <w:pPr>
              <w:pStyle w:val="164"/>
            </w:pPr>
            <w:r>
              <w:t>分析奖励分项与失败处理</w:t>
            </w:r>
          </w:p>
        </w:tc>
      </w:tr>
      <w:tr w14:paraId="502CA43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C18B3FE">
            <w:pPr>
              <w:pStyle w:val="164"/>
            </w:pPr>
            <w:r>
              <w:t>策略扰动交通</w:t>
            </w:r>
          </w:p>
        </w:tc>
        <w:tc>
          <w:tcPr>
            <w:tcW w:w="3600" w:type="dxa"/>
            <w:tcMar>
              <w:top w:w="80" w:type="dxa"/>
              <w:left w:w="120" w:type="dxa"/>
              <w:bottom w:w="80" w:type="dxa"/>
              <w:right w:w="120" w:type="dxa"/>
            </w:tcMar>
            <w:vAlign w:val="center"/>
          </w:tcPr>
          <w:p w14:paraId="3F8E2DCD">
            <w:pPr>
              <w:pStyle w:val="164"/>
            </w:pPr>
            <w:r>
              <w:t>高奖励伴随异常慢行或阻塞</w:t>
            </w:r>
          </w:p>
        </w:tc>
        <w:tc>
          <w:tcPr>
            <w:tcW w:w="3560" w:type="dxa"/>
            <w:tcMar>
              <w:top w:w="80" w:type="dxa"/>
              <w:left w:w="120" w:type="dxa"/>
              <w:bottom w:w="80" w:type="dxa"/>
              <w:right w:w="120" w:type="dxa"/>
            </w:tcMar>
            <w:vAlign w:val="center"/>
          </w:tcPr>
          <w:p w14:paraId="2FE2C103">
            <w:pPr>
              <w:pStyle w:val="164"/>
            </w:pPr>
            <w:r>
              <w:t>限制行为并评估额外影响</w:t>
            </w:r>
          </w:p>
        </w:tc>
      </w:tr>
      <w:tr w14:paraId="18EE626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F817B52">
            <w:pPr>
              <w:pStyle w:val="164"/>
            </w:pPr>
            <w:r>
              <w:t>泛化依赖先验</w:t>
            </w:r>
          </w:p>
        </w:tc>
        <w:tc>
          <w:tcPr>
            <w:tcW w:w="3600" w:type="dxa"/>
            <w:tcMar>
              <w:top w:w="80" w:type="dxa"/>
              <w:left w:w="120" w:type="dxa"/>
              <w:bottom w:w="80" w:type="dxa"/>
              <w:right w:w="120" w:type="dxa"/>
            </w:tcMar>
            <w:vAlign w:val="center"/>
          </w:tcPr>
          <w:p w14:paraId="0B13E56B">
            <w:pPr>
              <w:pStyle w:val="164"/>
            </w:pPr>
            <w:r>
              <w:t>新需求组合明显失效</w:t>
            </w:r>
          </w:p>
        </w:tc>
        <w:tc>
          <w:tcPr>
            <w:tcW w:w="3560" w:type="dxa"/>
            <w:tcMar>
              <w:top w:w="80" w:type="dxa"/>
              <w:left w:w="120" w:type="dxa"/>
              <w:bottom w:w="80" w:type="dxa"/>
              <w:right w:w="120" w:type="dxa"/>
            </w:tcMar>
            <w:vAlign w:val="center"/>
          </w:tcPr>
          <w:p w14:paraId="162D3843">
            <w:pPr>
              <w:pStyle w:val="164"/>
            </w:pPr>
            <w:r>
              <w:t>扩展训练覆盖与诚实报告边界</w:t>
            </w:r>
          </w:p>
        </w:tc>
      </w:tr>
    </w:tbl>
    <w:p w14:paraId="01735B8F">
      <w:pPr>
        <w:pStyle w:val="165"/>
      </w:pPr>
    </w:p>
    <w:p w14:paraId="4490616D">
      <w:r>
        <w:t>风险表用于指导预实验，不表示这些问题已经发生。真实场景的传感器、返回道路和目标精度未定，因此现阶段只能判断框架具有可实现路径，不能保证某个数值精度或论文结果。</w:t>
      </w:r>
    </w:p>
    <w:p w14:paraId="78534779">
      <w:pPr>
        <w:pStyle w:val="3"/>
        <w:pageBreakBefore/>
      </w:pPr>
      <w:bookmarkStart w:id="23" w:name="chapter_22"/>
      <w:r>
        <w:t>22 待讨论事项与决策登记</w:t>
      </w:r>
      <w:bookmarkEnd w:id="23"/>
    </w:p>
    <w:p w14:paraId="3CF8617E">
      <w:pPr>
        <w:pStyle w:val="4"/>
      </w:pPr>
      <w:r>
        <w:t>22.1 如何使用本章</w:t>
      </w:r>
    </w:p>
    <w:p w14:paraId="0F47FD1B">
      <w:r>
        <w:t>本章把未确定内容集中编号。编号在正文出现时，表示相关定义尚待选择或实验验证，不表示项目必须停下来。建议先固定可逆的调试配置开展接口验证，在影响研究问题的选择上与导师形成明确意见，再冻结正式实验协议。</w:t>
      </w:r>
    </w:p>
    <w:p w14:paraId="5F4E8D9B">
      <w:r>
        <w:t>最优先讨论D01、D02、D03、D04、D05和D16：它们分别决定目标、标签、能观察什么、能去哪里、已知信息和可用时间。网络大小与具体学习率不能替代这些前提。</w:t>
      </w:r>
    </w:p>
    <w:p w14:paraId="3C24BD6A">
      <w:pPr>
        <w:pStyle w:val="4"/>
      </w:pPr>
      <w:bookmarkStart w:id="24" w:name="decision_D01"/>
      <w:r>
        <w:t>D01 主任务关注过程还是终点</w:t>
      </w:r>
      <w:bookmarkEnd w:id="24"/>
    </w:p>
    <w:p w14:paraId="68303D97">
      <w:r>
        <w:t>问题：应用需要持续提供当前路口状态，还是收集一段时间后提供终点状态？建议先实现同时记录过程与终点误差的评价器，但正式训练主目标只能按明确权重定义。影响：奖励、策略行为、论文问题陈述及停止规则。验证：比较两种目标下的路线、全程误差和终点误差，不能只比较总回报。</w:t>
      </w:r>
    </w:p>
    <w:p w14:paraId="3BA8C7D9">
      <w:pPr>
        <w:pStyle w:val="4"/>
      </w:pPr>
      <w:bookmarkStart w:id="25" w:name="decision_D02"/>
      <w:r>
        <w:t>D02 目标变量、排队定义与监测边界</w:t>
      </w:r>
      <w:bookmarkEnd w:id="25"/>
    </w:p>
    <w:p w14:paraId="1DC714BE">
      <w:r>
        <w:t>问题：估计到车道还是进口组，输出米数还是车辆数，超出区域的队列如何处理？建议先以目标车道的米制队列为主，并固定队列阈值和溢出标记。影响：标签、可观测性、误差量纲和停止质量。验证：人工检查多个到达、排队、消散与溢出片段。</w:t>
      </w:r>
    </w:p>
    <w:p w14:paraId="5226959F">
      <w:pPr>
        <w:pStyle w:val="4"/>
      </w:pPr>
      <w:bookmarkStart w:id="26" w:name="decision_D03"/>
      <w:r>
        <w:t>D03 传感器观测假设</w:t>
      </w:r>
      <w:bookmarkEnd w:id="26"/>
    </w:p>
    <w:p w14:paraId="7C60D258">
      <w:r>
        <w:t>问题：传感器类型、范围、视场、遮挡、检测噪声及跟踪能力是什么？建议首版固定一个对象级模型，设置理想、遮挡和含噪对照。影响：单车能够获得的信息上限和最有价值的观察位置。验证：逐帧可见性回放，并检查策略是否拿到视野之外的信息。</w:t>
      </w:r>
    </w:p>
    <w:p w14:paraId="494FAA9F">
      <w:pPr>
        <w:pStyle w:val="4"/>
      </w:pPr>
      <w:bookmarkStart w:id="27" w:name="decision_D04"/>
      <w:r>
        <w:t>D04 外围地图与返回可达性</w:t>
      </w:r>
      <w:bookmarkEnd w:id="27"/>
    </w:p>
    <w:p w14:paraId="6D4E0A26">
      <w:r>
        <w:t>问题：哪些出口可连到哪些进口，外围有多少真实选择？建议先画小型可执行地图，每个连接有明确路线与时间。影响：动作可行性、返回耗时和策略空间。验证：在不同交通需求下回放全部候选返回组合。</w:t>
      </w:r>
    </w:p>
    <w:p w14:paraId="62C979BE">
      <w:pPr>
        <w:pStyle w:val="4"/>
      </w:pPr>
      <w:bookmarkStart w:id="28" w:name="decision_D05"/>
      <w:r>
        <w:t>D05 地图、信号与路况信息来源</w:t>
      </w:r>
      <w:bookmarkEnd w:id="28"/>
    </w:p>
    <w:p w14:paraId="285768E9">
      <w:r>
        <w:t>问题：是否已知配时，是否有V2X，是否提供外围ETA？建议逐字段写来源；可以先采用明确的已知信息简化，再单独做信息缺失实验。影响：POMDP难度及真实可部署性。验证：从可部署输入重建策略调用，不借助评测真值。</w:t>
      </w:r>
    </w:p>
    <w:p w14:paraId="4C593540">
      <w:pPr>
        <w:pStyle w:val="4"/>
      </w:pPr>
      <w:bookmarkStart w:id="29" w:name="decision_D06"/>
      <w:r>
        <w:t>D06 单元尺度</w:t>
      </w:r>
      <w:bookmarkEnd w:id="29"/>
    </w:p>
    <w:p w14:paraId="20276CB6">
      <w:r>
        <w:t>问题：单元是否等长，停止线和换道边界是否单独切分？建议20米仅作为调试值，之后比较10、20、40米等合理候选。影响：空间分辨率、输入大小和动作抽象。验证：共同物理评价与固定物理动作范围。</w:t>
      </w:r>
    </w:p>
    <w:p w14:paraId="71DBB5F3">
      <w:pPr>
        <w:pStyle w:val="4"/>
      </w:pPr>
      <w:bookmarkStart w:id="30" w:name="decision_D07"/>
      <w:r>
        <w:t>D07 动作粒度与字典</w:t>
      </w:r>
      <w:bookmarkEnd w:id="30"/>
    </w:p>
    <w:p w14:paraId="24C8774D">
      <w:r>
        <w:t>问题：六动作模板、候选短路径和粗入口选择，哪一个作为主版本？建议以车道级模板建立主线，入口选择为对照。影响：可学选择、执行任务状态和神经网络输出。验证：动作覆盖率、执行成功率和候选轨迹差异。</w:t>
      </w:r>
    </w:p>
    <w:p w14:paraId="036A4D47">
      <w:pPr>
        <w:pStyle w:val="4"/>
      </w:pPr>
      <w:bookmarkStart w:id="31" w:name="decision_D08"/>
      <w:r>
        <w:t>D08 时间尺度与调度</w:t>
      </w:r>
      <w:bookmarkEnd w:id="31"/>
    </w:p>
    <w:p w14:paraId="7321F050">
      <w:r>
        <w:t>问题：仿真、传感器、估计和策略分别多频率？建议先用整数tick对齐，0.1/0.5/1秒仅为起点。影响：采样量、延迟、奖励积分和折扣。验证：同一物理轨迹的时间账与奖励账是否一致。</w:t>
      </w:r>
    </w:p>
    <w:p w14:paraId="07C1739A">
      <w:pPr>
        <w:pStyle w:val="4"/>
      </w:pPr>
      <w:bookmarkStart w:id="32" w:name="decision_D09"/>
      <w:r>
        <w:t>D09 底层驾驶能力</w:t>
      </w:r>
      <w:bookmarkEnd w:id="32"/>
    </w:p>
    <w:p w14:paraId="490B330F">
      <w:r>
        <w:t>问题：是否使用持续换道、是否允许学习速度、碰撞检查如何配置？建议先固定正常纵向驾驶，按需要启用连续横向过程。影响：信息视角、交通扰动与结论范围。验证：动作请求和实际运动对照回放。</w:t>
      </w:r>
    </w:p>
    <w:p w14:paraId="7D1798FF">
      <w:pPr>
        <w:pStyle w:val="4"/>
      </w:pPr>
      <w:bookmarkStart w:id="33" w:name="decision_D10"/>
      <w:r>
        <w:t>D10 奖励构成、缩放与权重</w:t>
      </w:r>
      <w:bookmarkEnd w:id="33"/>
    </w:p>
    <w:p w14:paraId="7FC8083B">
      <w:r>
        <w:t>问题：主误差、终点项、里程和其他项怎样组合？建议先使用可解释误差主项，再逐项加入。影响：实际优化目标与Critic数值尺度。验证：分项日志、常数缩放检查、回报与物理指标的一致性。</w:t>
      </w:r>
    </w:p>
    <w:p w14:paraId="3D3391B4">
      <w:pPr>
        <w:pStyle w:val="4"/>
      </w:pPr>
      <w:bookmarkStart w:id="34" w:name="decision_D11"/>
      <w:r>
        <w:t>D11 失败与异常评分</w:t>
      </w:r>
      <w:bookmarkEnd w:id="34"/>
    </w:p>
    <w:p w14:paraId="154F92FD">
      <w:r>
        <w:t>问题：碰撞、探测车消失、不可恢复路线失败怎样评分？建议明确任务失败与基础设施故障的区别，补齐剩余预算的失败评分。影响：是否存在提前结束投机。验证：人为构造早失败与晚失败，不应因少计时间获得不合理优势。</w:t>
      </w:r>
    </w:p>
    <w:p w14:paraId="4B478EF7">
      <w:pPr>
        <w:pStyle w:val="4"/>
      </w:pPr>
      <w:bookmarkStart w:id="35" w:name="decision_D12"/>
      <w:r>
        <w:t>D12 质量阈值停止</w:t>
      </w:r>
      <w:bookmarkEnd w:id="35"/>
    </w:p>
    <w:p w14:paraId="75EDBF27">
      <w:r>
        <w:t>问题：部署时怎样知道已获得足够信息？建议在估计可靠性通过校准后，再实现基于预测风险的停止。影响：误停、超时和真实可用性。验证：整个停止程序的达标率与误停率，而非只检查单次区间覆盖。</w:t>
      </w:r>
    </w:p>
    <w:p w14:paraId="092F1CAF">
      <w:pPr>
        <w:pStyle w:val="4"/>
      </w:pPr>
      <w:bookmarkStart w:id="36" w:name="decision_D13"/>
      <w:r>
        <w:t>D13 估计器与不确定性方法</w:t>
      </w:r>
      <w:bookmarkEnd w:id="36"/>
    </w:p>
    <w:p w14:paraId="2457D64B">
      <w:r>
        <w:t>问题：采用机理、时序网络还是组合方法，输出何种可靠性？建议先建立无新增观测与固定路线基线，固定版本训练策略。影响：输入、奖励和可观测性结论。验证：独立场景误差、区间可靠性和结构性缺失下的表现。</w:t>
      </w:r>
    </w:p>
    <w:p w14:paraId="603C9C79">
      <w:pPr>
        <w:pStyle w:val="4"/>
      </w:pPr>
      <w:bookmarkStart w:id="37" w:name="decision_D14"/>
      <w:r>
        <w:t>D14 策略网络与循环掩码实现</w:t>
      </w:r>
      <w:bookmarkEnd w:id="37"/>
    </w:p>
    <w:p w14:paraId="13E881BD">
      <w:r>
        <w:t>问题：何时需要LSTM，采用哪个可核查实现？建议先以MaskablePPO跑通，再开展带记忆模型。影响：序列缓冲区、隐藏状态与训练复杂度。验证：边界测试、掩码概率一致性和记忆消融。</w:t>
      </w:r>
    </w:p>
    <w:p w14:paraId="0A3FAA31">
      <w:pPr>
        <w:pStyle w:val="4"/>
      </w:pPr>
      <w:bookmarkStart w:id="38" w:name="decision_D15"/>
      <w:r>
        <w:t>D15 场景分布与数据分割</w:t>
      </w:r>
      <w:bookmarkEnd w:id="38"/>
    </w:p>
    <w:p w14:paraId="06DD933D">
      <w:r>
        <w:t>问题：交通需求和驾驶参数的合理范围及留出方式是什么？建议先固定拓扑，分层构造需求与随机种子，再增加结构变化。影响：训练难度和泛化结论。验证：场景清单、分布统计与全链路测试隔离。</w:t>
      </w:r>
    </w:p>
    <w:p w14:paraId="1B65F331">
      <w:pPr>
        <w:pStyle w:val="4"/>
      </w:pPr>
      <w:bookmarkStart w:id="39" w:name="decision_D16"/>
      <w:r>
        <w:t>D16 预算、预热和起点</w:t>
      </w:r>
      <w:bookmarkEnd w:id="39"/>
    </w:p>
    <w:p w14:paraId="47D99043">
      <w:r>
        <w:t>问题：车辆从哪里开始，何时开始计费，预算能支持几次观察机会？建议根据返回时间分布与交通周期预实验选择。影响：任务是否可执行及不同场景公平性。验证：插入延迟、预热状态和有效决策次数。</w:t>
      </w:r>
    </w:p>
    <w:p w14:paraId="745105E5">
      <w:pPr>
        <w:pStyle w:val="4"/>
      </w:pPr>
      <w:bookmarkStart w:id="40" w:name="decision_D17"/>
      <w:r>
        <w:t>D17 Transformer及DT协议</w:t>
      </w:r>
      <w:bookmarkEnd w:id="40"/>
    </w:p>
    <w:p w14:paraId="0AA73868">
      <w:r>
        <w:t>问题：Transformer用于在线记忆、行为克隆还是回报条件学习？建议先同数据比较序列行为克隆；DT需解决真实误差奖励不可在线获得的问题。影响：输入、训练数据、目标回报更新和贡献表述。验证：闭环执行及部署信息审计。</w:t>
      </w:r>
    </w:p>
    <w:p w14:paraId="0182B50D">
      <w:pPr>
        <w:pStyle w:val="4"/>
      </w:pPr>
      <w:bookmarkStart w:id="41" w:name="decision_D18"/>
      <w:r>
        <w:t>D18 泛化目标</w:t>
      </w:r>
      <w:bookmarkEnd w:id="41"/>
    </w:p>
    <w:p w14:paraId="6E41E882">
      <w:r>
        <w:t>问题：目前主要要求新随机车流、新需求组合还是新路口结构？建议逐层提出结论，不一次混称“未知场景”。影响：图编码、数据量和测试划分。验证：明确的留出集合与逐层指标。</w:t>
      </w:r>
    </w:p>
    <w:p w14:paraId="5C1DB8FD">
      <w:pPr>
        <w:pStyle w:val="4"/>
      </w:pPr>
      <w:bookmarkStart w:id="42" w:name="decision_D19"/>
      <w:r>
        <w:t>D19 交通扰动定义</w:t>
      </w:r>
      <w:bookmarkEnd w:id="42"/>
    </w:p>
    <w:p w14:paraId="3F2040FA">
      <w:r>
        <w:t>问题：衡量新增车辆影响，还是主动策略相对正常巡回的额外影响？建议将局部代理指标与配对仿真影响分开报告。影响：奖励、约束及是否通过改变交通获得好成绩。验证：相同外生需求、完整车辆集合与删失处理。</w:t>
      </w:r>
    </w:p>
    <w:p w14:paraId="1B81C70A">
      <w:pPr>
        <w:pStyle w:val="4"/>
      </w:pPr>
      <w:bookmarkStart w:id="43" w:name="decision_D20"/>
      <w:r>
        <w:t>D20 实车或三维验证</w:t>
      </w:r>
      <w:bookmarkEnd w:id="43"/>
    </w:p>
    <w:p w14:paraId="05FB9688">
      <w:r>
        <w:t>问题：是否需要CARLA或受控实车验证，验证到哪个层次？建议先证明高层探测收益，再增加传感与执行失配。影响：工程规模、设备和论文结论范围。验证：真实接口能否提供训练所用字段及动作是否保持语义。</w:t>
      </w:r>
    </w:p>
    <w:p w14:paraId="470E7AAA">
      <w:pPr>
        <w:pStyle w:val="4"/>
      </w:pPr>
      <w:bookmarkStart w:id="44" w:name="decision_D21"/>
      <w:r>
        <w:t>D21 算力、人力与里程碑</w:t>
      </w:r>
      <w:bookmarkEnd w:id="44"/>
    </w:p>
    <w:p w14:paraId="644C0AE0">
      <w:r>
        <w:t>问题：可用CPU进程数、GPU、场景建设时间和实现人员配置是什么？目前对话未给出，不写确定的训练耗时或完成日期。建议先测单环境吞吐和模型推理时间，再估算正式实验规模。</w:t>
      </w:r>
    </w:p>
    <w:p w14:paraId="5F675E3F">
      <w:pPr>
        <w:pStyle w:val="4"/>
      </w:pPr>
      <w:bookmarkStart w:id="45" w:name="decision_D22"/>
      <w:r>
        <w:t>D22 创新定位与文献比较</w:t>
      </w:r>
      <w:bookmarkEnd w:id="45"/>
    </w:p>
    <w:p w14:paraId="2E3C360E">
      <w:r>
        <w:t>问题：最重要的独立贡献是动态信息价值、车道级决策、时间感知还是泛化？建议根据预实验和系统文献对照确定。本文参考文献支撑方法与接口，不构成穷尽性新颖性检索。验证：明确现有方法的失效条件以及本项目的直接对照。</w:t>
      </w:r>
    </w:p>
    <w:p w14:paraId="4DA32737">
      <w:pPr>
        <w:pStyle w:val="3"/>
        <w:pageBreakBefore/>
      </w:pPr>
      <w:bookmarkStart w:id="46" w:name="chapter_23"/>
      <w:r>
        <w:t>23 分阶段成果与导师汇报组织</w:t>
      </w:r>
      <w:bookmarkEnd w:id="46"/>
    </w:p>
    <w:p w14:paraId="6569A6A1">
      <w:pPr>
        <w:pStyle w:val="4"/>
      </w:pPr>
      <w:r>
        <w:t>23.1 按验收条件推进</w:t>
      </w:r>
    </w:p>
    <w:p w14:paraId="26446E29">
      <w:pPr>
        <w:pStyle w:val="15"/>
        <w:keepNext/>
      </w:pPr>
      <w:r>
        <w:t>表 26  里程碑 / 可交付结果</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2BABA18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7F0940F5">
            <w:pPr>
              <w:pStyle w:val="164"/>
              <w:keepNext/>
            </w:pPr>
            <w:r>
              <w:rPr>
                <w:b/>
              </w:rPr>
              <w:t>里程碑</w:t>
            </w:r>
          </w:p>
        </w:tc>
        <w:tc>
          <w:tcPr>
            <w:tcW w:w="3600" w:type="dxa"/>
            <w:shd w:val="clear" w:color="auto" w:fill="E8EEF5"/>
            <w:tcMar>
              <w:top w:w="80" w:type="dxa"/>
              <w:left w:w="120" w:type="dxa"/>
              <w:bottom w:w="80" w:type="dxa"/>
              <w:right w:w="120" w:type="dxa"/>
            </w:tcMar>
            <w:vAlign w:val="center"/>
          </w:tcPr>
          <w:p w14:paraId="2024A8EC">
            <w:pPr>
              <w:pStyle w:val="164"/>
              <w:keepNext/>
            </w:pPr>
            <w:r>
              <w:rPr>
                <w:b/>
              </w:rPr>
              <w:t>可交付结果</w:t>
            </w:r>
          </w:p>
        </w:tc>
        <w:tc>
          <w:tcPr>
            <w:tcW w:w="3560" w:type="dxa"/>
            <w:shd w:val="clear" w:color="auto" w:fill="E8EEF5"/>
            <w:tcMar>
              <w:top w:w="80" w:type="dxa"/>
              <w:left w:w="120" w:type="dxa"/>
              <w:bottom w:w="80" w:type="dxa"/>
              <w:right w:w="120" w:type="dxa"/>
            </w:tcMar>
            <w:vAlign w:val="center"/>
          </w:tcPr>
          <w:p w14:paraId="07E9E8C7">
            <w:pPr>
              <w:pStyle w:val="164"/>
              <w:keepNext/>
            </w:pPr>
            <w:r>
              <w:rPr>
                <w:b/>
              </w:rPr>
              <w:t>进入下一阶段的条件</w:t>
            </w:r>
          </w:p>
        </w:tc>
      </w:tr>
      <w:tr w14:paraId="566763A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6D89C6F">
            <w:pPr>
              <w:pStyle w:val="164"/>
            </w:pPr>
            <w:r>
              <w:t>M0 任务规格</w:t>
            </w:r>
          </w:p>
        </w:tc>
        <w:tc>
          <w:tcPr>
            <w:tcW w:w="3600" w:type="dxa"/>
            <w:tcMar>
              <w:top w:w="80" w:type="dxa"/>
              <w:left w:w="120" w:type="dxa"/>
              <w:bottom w:w="80" w:type="dxa"/>
              <w:right w:w="120" w:type="dxa"/>
            </w:tcMar>
            <w:vAlign w:val="center"/>
          </w:tcPr>
          <w:p w14:paraId="7CAB7E22">
            <w:pPr>
              <w:pStyle w:val="164"/>
            </w:pPr>
            <w:r>
              <w:t>目标、输入、动作、时钟、奖励和结束规则</w:t>
            </w:r>
          </w:p>
        </w:tc>
        <w:tc>
          <w:tcPr>
            <w:tcW w:w="3560" w:type="dxa"/>
            <w:tcMar>
              <w:top w:w="80" w:type="dxa"/>
              <w:left w:w="120" w:type="dxa"/>
              <w:bottom w:w="80" w:type="dxa"/>
              <w:right w:w="120" w:type="dxa"/>
            </w:tcMar>
            <w:vAlign w:val="center"/>
          </w:tcPr>
          <w:p w14:paraId="564F3A51">
            <w:pPr>
              <w:pStyle w:val="164"/>
            </w:pPr>
            <w:r>
              <w:t>核心待定项形成可执行假设</w:t>
            </w:r>
          </w:p>
        </w:tc>
      </w:tr>
      <w:tr w14:paraId="2FF5912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E4D7411">
            <w:pPr>
              <w:pStyle w:val="164"/>
            </w:pPr>
            <w:r>
              <w:t>M1 仿真闭环</w:t>
            </w:r>
          </w:p>
        </w:tc>
        <w:tc>
          <w:tcPr>
            <w:tcW w:w="3600" w:type="dxa"/>
            <w:tcMar>
              <w:top w:w="80" w:type="dxa"/>
              <w:left w:w="120" w:type="dxa"/>
              <w:bottom w:w="80" w:type="dxa"/>
              <w:right w:w="120" w:type="dxa"/>
            </w:tcMar>
            <w:vAlign w:val="center"/>
          </w:tcPr>
          <w:p w14:paraId="08EF1DDB">
            <w:pPr>
              <w:pStyle w:val="164"/>
            </w:pPr>
            <w:r>
              <w:t>固定路线回放、观测与时间日志</w:t>
            </w:r>
          </w:p>
        </w:tc>
        <w:tc>
          <w:tcPr>
            <w:tcW w:w="3560" w:type="dxa"/>
            <w:tcMar>
              <w:top w:w="80" w:type="dxa"/>
              <w:left w:w="120" w:type="dxa"/>
              <w:bottom w:w="80" w:type="dxa"/>
              <w:right w:w="120" w:type="dxa"/>
            </w:tcMar>
            <w:vAlign w:val="center"/>
          </w:tcPr>
          <w:p w14:paraId="48AE1E16">
            <w:pPr>
              <w:pStyle w:val="164"/>
            </w:pPr>
            <w:r>
              <w:t>合法返回、无时间或真值泄漏</w:t>
            </w:r>
          </w:p>
        </w:tc>
      </w:tr>
      <w:tr w14:paraId="4F4D5BF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FDF2C1E">
            <w:pPr>
              <w:pStyle w:val="164"/>
            </w:pPr>
            <w:r>
              <w:t>M2 估计基线</w:t>
            </w:r>
          </w:p>
        </w:tc>
        <w:tc>
          <w:tcPr>
            <w:tcW w:w="3600" w:type="dxa"/>
            <w:tcMar>
              <w:top w:w="80" w:type="dxa"/>
              <w:left w:w="120" w:type="dxa"/>
              <w:bottom w:w="80" w:type="dxa"/>
              <w:right w:w="120" w:type="dxa"/>
            </w:tcMar>
            <w:vAlign w:val="center"/>
          </w:tcPr>
          <w:p w14:paraId="779F56F3">
            <w:pPr>
              <w:pStyle w:val="164"/>
            </w:pPr>
            <w:r>
              <w:t>局部观测估计模型与可靠性报告</w:t>
            </w:r>
          </w:p>
        </w:tc>
        <w:tc>
          <w:tcPr>
            <w:tcW w:w="3560" w:type="dxa"/>
            <w:tcMar>
              <w:top w:w="80" w:type="dxa"/>
              <w:left w:w="120" w:type="dxa"/>
              <w:bottom w:w="80" w:type="dxa"/>
              <w:right w:w="120" w:type="dxa"/>
            </w:tcMar>
            <w:vAlign w:val="center"/>
          </w:tcPr>
          <w:p w14:paraId="240D7665">
            <w:pPr>
              <w:pStyle w:val="164"/>
            </w:pPr>
            <w:r>
              <w:t>数据能改善目标估计</w:t>
            </w:r>
          </w:p>
        </w:tc>
      </w:tr>
      <w:tr w14:paraId="0D768D8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A28114F">
            <w:pPr>
              <w:pStyle w:val="164"/>
            </w:pPr>
            <w:r>
              <w:t>M3 决策基线</w:t>
            </w:r>
          </w:p>
        </w:tc>
        <w:tc>
          <w:tcPr>
            <w:tcW w:w="3600" w:type="dxa"/>
            <w:tcMar>
              <w:top w:w="80" w:type="dxa"/>
              <w:left w:w="120" w:type="dxa"/>
              <w:bottom w:w="80" w:type="dxa"/>
              <w:right w:w="120" w:type="dxa"/>
            </w:tcMar>
            <w:vAlign w:val="center"/>
          </w:tcPr>
          <w:p w14:paraId="05C9A487">
            <w:pPr>
              <w:pStyle w:val="164"/>
            </w:pPr>
            <w:r>
              <w:t>固定、随机、最快返回及信息启发式</w:t>
            </w:r>
          </w:p>
        </w:tc>
        <w:tc>
          <w:tcPr>
            <w:tcW w:w="3560" w:type="dxa"/>
            <w:tcMar>
              <w:top w:w="80" w:type="dxa"/>
              <w:left w:w="120" w:type="dxa"/>
              <w:bottom w:w="80" w:type="dxa"/>
              <w:right w:w="120" w:type="dxa"/>
            </w:tcMar>
            <w:vAlign w:val="center"/>
          </w:tcPr>
          <w:p w14:paraId="5C1B4A85">
            <w:pPr>
              <w:pStyle w:val="164"/>
            </w:pPr>
            <w:r>
              <w:t>证明可选行为存在收益差异</w:t>
            </w:r>
          </w:p>
        </w:tc>
      </w:tr>
      <w:tr w14:paraId="21BB92B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4F21614">
            <w:pPr>
              <w:pStyle w:val="164"/>
            </w:pPr>
            <w:r>
              <w:t>M4 PPO主线</w:t>
            </w:r>
          </w:p>
        </w:tc>
        <w:tc>
          <w:tcPr>
            <w:tcW w:w="3600" w:type="dxa"/>
            <w:tcMar>
              <w:top w:w="80" w:type="dxa"/>
              <w:left w:w="120" w:type="dxa"/>
              <w:bottom w:w="80" w:type="dxa"/>
              <w:right w:w="120" w:type="dxa"/>
            </w:tcMar>
            <w:vAlign w:val="center"/>
          </w:tcPr>
          <w:p w14:paraId="415C0A9B">
            <w:pPr>
              <w:pStyle w:val="164"/>
            </w:pPr>
            <w:r>
              <w:t>训练模型、独立评测和失败分析</w:t>
            </w:r>
          </w:p>
        </w:tc>
        <w:tc>
          <w:tcPr>
            <w:tcW w:w="3560" w:type="dxa"/>
            <w:tcMar>
              <w:top w:w="80" w:type="dxa"/>
              <w:left w:w="120" w:type="dxa"/>
              <w:bottom w:w="80" w:type="dxa"/>
              <w:right w:w="120" w:type="dxa"/>
            </w:tcMar>
            <w:vAlign w:val="center"/>
          </w:tcPr>
          <w:p w14:paraId="6CEF23E0">
            <w:pPr>
              <w:pStyle w:val="164"/>
            </w:pPr>
            <w:r>
              <w:t>收益与物理目标一致</w:t>
            </w:r>
          </w:p>
        </w:tc>
      </w:tr>
      <w:tr w14:paraId="433EB9C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EF63964">
            <w:pPr>
              <w:pStyle w:val="164"/>
            </w:pPr>
            <w:r>
              <w:t>M5 机制验证</w:t>
            </w:r>
          </w:p>
        </w:tc>
        <w:tc>
          <w:tcPr>
            <w:tcW w:w="3600" w:type="dxa"/>
            <w:tcMar>
              <w:top w:w="80" w:type="dxa"/>
              <w:left w:w="120" w:type="dxa"/>
              <w:bottom w:w="80" w:type="dxa"/>
              <w:right w:w="120" w:type="dxa"/>
            </w:tcMar>
            <w:vAlign w:val="center"/>
          </w:tcPr>
          <w:p w14:paraId="1E85FA4F">
            <w:pPr>
              <w:pStyle w:val="164"/>
            </w:pPr>
            <w:r>
              <w:t>记忆、年龄、动作尺度等消融</w:t>
            </w:r>
          </w:p>
        </w:tc>
        <w:tc>
          <w:tcPr>
            <w:tcW w:w="3560" w:type="dxa"/>
            <w:tcMar>
              <w:top w:w="80" w:type="dxa"/>
              <w:left w:w="120" w:type="dxa"/>
              <w:bottom w:w="80" w:type="dxa"/>
              <w:right w:w="120" w:type="dxa"/>
            </w:tcMar>
            <w:vAlign w:val="center"/>
          </w:tcPr>
          <w:p w14:paraId="22D12C76">
            <w:pPr>
              <w:pStyle w:val="164"/>
            </w:pPr>
            <w:r>
              <w:t>改进可归因且稳定</w:t>
            </w:r>
          </w:p>
        </w:tc>
      </w:tr>
      <w:tr w14:paraId="6399C7B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DE2F8C6">
            <w:pPr>
              <w:pStyle w:val="164"/>
            </w:pPr>
            <w:r>
              <w:t>M6 泛化扩展</w:t>
            </w:r>
          </w:p>
        </w:tc>
        <w:tc>
          <w:tcPr>
            <w:tcW w:w="3600" w:type="dxa"/>
            <w:tcMar>
              <w:top w:w="80" w:type="dxa"/>
              <w:left w:w="120" w:type="dxa"/>
              <w:bottom w:w="80" w:type="dxa"/>
              <w:right w:w="120" w:type="dxa"/>
            </w:tcMar>
            <w:vAlign w:val="center"/>
          </w:tcPr>
          <w:p w14:paraId="6E3C88FE">
            <w:pPr>
              <w:pStyle w:val="164"/>
            </w:pPr>
            <w:r>
              <w:t>留出场景、序列学生和部署协议</w:t>
            </w:r>
          </w:p>
        </w:tc>
        <w:tc>
          <w:tcPr>
            <w:tcW w:w="3560" w:type="dxa"/>
            <w:tcMar>
              <w:top w:w="80" w:type="dxa"/>
              <w:left w:w="120" w:type="dxa"/>
              <w:bottom w:w="80" w:type="dxa"/>
              <w:right w:w="120" w:type="dxa"/>
            </w:tcMar>
            <w:vAlign w:val="center"/>
          </w:tcPr>
          <w:p w14:paraId="1AB3102B">
            <w:pPr>
              <w:pStyle w:val="164"/>
            </w:pPr>
            <w:r>
              <w:t>结论不超过测试证据</w:t>
            </w:r>
          </w:p>
        </w:tc>
      </w:tr>
    </w:tbl>
    <w:p w14:paraId="05FE34CB">
      <w:pPr>
        <w:pStyle w:val="165"/>
      </w:pPr>
    </w:p>
    <w:p w14:paraId="6FD86649">
      <w:r>
        <w:t>里程碑是依赖关系，不是已经完成的成果清单。具体日期由D21补充。每个阶段保留可回放示例和失败场景，便于导师判断问题来源。</w:t>
      </w:r>
    </w:p>
    <w:p w14:paraId="5E3BB3DE">
      <w:pPr>
        <w:pStyle w:val="4"/>
      </w:pPr>
      <w:r>
        <w:t>23.2 面向导师的研究表述草稿</w:t>
      </w:r>
    </w:p>
    <w:p w14:paraId="46263D6A">
      <w:r>
        <w:t>本研究拟面向固定感知设施不足的交叉口，利用单辆主动探测车在合法道路上获得局部车辆观测，估计目标进口车道的排队等交通状态，并根据已有信息与剩余预算选择后续探测行为。研究重点是动态交通下观察位置、信息过时、返回成本与估计质量之间的耦合关系。</w:t>
      </w:r>
    </w:p>
    <w:p w14:paraId="79444C2D">
      <w:r>
        <w:t>方法上拟构建车道单元有向图，将观测记录、时间与交通估计统一到结构化输入中；强化学习选择合法车道或后续连接片段，驾驶执行由已有模型完成。环境按固定物理时间推进，车辆不需要跨越单元才产生状态转移或奖励。训练真值只用于标签和评价，策略依据可部署观测及其历史决策。</w:t>
      </w:r>
    </w:p>
    <w:p w14:paraId="351C3FBA">
      <w:r>
        <w:t>实现上拟先建立SUMO与对象级传感器模型，验证局部观测能否改善交通状态估计，再固定估计器训练PPO基线。之后通过信息年龄、不确定性、历史记忆及动作粒度消融，判断各模块的作用。Transformer作为序列学习候选，是否采用DT取决于可部署回报条件协议。</w:t>
      </w:r>
    </w:p>
    <w:p w14:paraId="72AAF319">
      <w:r>
        <w:t>现阶段需要重点确认目标是持续跟踪还是终点估计、队列与监测范围的定义、传感器可用信息、合法返回地图及预算。这些前提决定任务难度和可行性。预期成果是可复现的环境、与目标一致的主动探测方法及其有效条件，具体精度与泛化水平待实验检验。</w:t>
      </w:r>
    </w:p>
    <w:p w14:paraId="22BE1450">
      <w:pPr>
        <w:pStyle w:val="4"/>
      </w:pPr>
      <w:r>
        <w:t>23.3 建议的汇报顺序</w:t>
      </w:r>
    </w:p>
    <w:p w14:paraId="309EFBB6">
      <w:r>
        <w:t>先讲真实问题和可观测条件，再讲一次探测闭环。用“同一单元内的一秒”说明空间、时间和奖励的区别。随后展示动作与驾驶分工、目标函数、训练与评测设计，最后列出尚待导师判断的高优先级事项。</w:t>
      </w:r>
    </w:p>
    <w:p w14:paraId="08F0233B">
      <w:r>
        <w:t>算法公式应围绕为什么能把延迟观察收益归因到此前行为展开。不要先罗列PPO、GNN和Transformer名称，再寻找它们的应用位置。若导师更关注方法创新，优先展示第21章假设和对应对照实验。</w:t>
      </w:r>
    </w:p>
    <w:p w14:paraId="74462A86">
      <w:pPr>
        <w:pStyle w:val="4"/>
      </w:pPr>
      <w:r>
        <w:t>23.4 汇报时需要准确使用的说法</w:t>
      </w:r>
    </w:p>
    <w:p w14:paraId="3D369F77">
      <w:pPr>
        <w:pStyle w:val="15"/>
        <w:keepNext/>
      </w:pPr>
      <w:r>
        <w:t>表 27  建议表述 / 需要避免的过度结论</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3000"/>
        <w:gridCol w:w="6360"/>
      </w:tblGrid>
      <w:tr w14:paraId="7CF8283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3000" w:type="dxa"/>
            <w:shd w:val="clear" w:color="auto" w:fill="E8EEF5"/>
            <w:tcMar>
              <w:top w:w="80" w:type="dxa"/>
              <w:left w:w="120" w:type="dxa"/>
              <w:bottom w:w="80" w:type="dxa"/>
              <w:right w:w="120" w:type="dxa"/>
            </w:tcMar>
            <w:vAlign w:val="center"/>
          </w:tcPr>
          <w:p w14:paraId="7FEF1A1A">
            <w:pPr>
              <w:pStyle w:val="164"/>
              <w:keepNext/>
            </w:pPr>
            <w:r>
              <w:rPr>
                <w:b/>
              </w:rPr>
              <w:t>建议表述</w:t>
            </w:r>
          </w:p>
        </w:tc>
        <w:tc>
          <w:tcPr>
            <w:tcW w:w="6360" w:type="dxa"/>
            <w:shd w:val="clear" w:color="auto" w:fill="E8EEF5"/>
            <w:tcMar>
              <w:top w:w="80" w:type="dxa"/>
              <w:left w:w="120" w:type="dxa"/>
              <w:bottom w:w="80" w:type="dxa"/>
              <w:right w:w="120" w:type="dxa"/>
            </w:tcMar>
            <w:vAlign w:val="center"/>
          </w:tcPr>
          <w:p w14:paraId="5128714A">
            <w:pPr>
              <w:pStyle w:val="164"/>
              <w:keepNext/>
            </w:pPr>
            <w:r>
              <w:rPr>
                <w:b/>
              </w:rPr>
              <w:t>需要避免的过度结论</w:t>
            </w:r>
          </w:p>
        </w:tc>
      </w:tr>
      <w:tr w14:paraId="43DEBD7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02ACCEE3">
            <w:pPr>
              <w:pStyle w:val="164"/>
            </w:pPr>
            <w:r>
              <w:t>车道单元用于组织信息与可行连接</w:t>
            </w:r>
          </w:p>
        </w:tc>
        <w:tc>
          <w:tcPr>
            <w:tcW w:w="6360" w:type="dxa"/>
            <w:tcMar>
              <w:top w:w="80" w:type="dxa"/>
              <w:left w:w="120" w:type="dxa"/>
              <w:bottom w:w="80" w:type="dxa"/>
              <w:right w:w="120" w:type="dxa"/>
            </w:tcMar>
            <w:vAlign w:val="center"/>
          </w:tcPr>
          <w:p w14:paraId="0ACC4C1F">
            <w:pPr>
              <w:pStyle w:val="164"/>
            </w:pPr>
            <w:r>
              <w:t>一个单元就是完整状态</w:t>
            </w:r>
          </w:p>
        </w:tc>
      </w:tr>
      <w:tr w14:paraId="17937F4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54F51EEF">
            <w:pPr>
              <w:pStyle w:val="164"/>
            </w:pPr>
            <w:r>
              <w:t>局部观测驱动全域目标状态估计</w:t>
            </w:r>
          </w:p>
        </w:tc>
        <w:tc>
          <w:tcPr>
            <w:tcW w:w="6360" w:type="dxa"/>
            <w:tcMar>
              <w:top w:w="80" w:type="dxa"/>
              <w:left w:w="120" w:type="dxa"/>
              <w:bottom w:w="80" w:type="dxa"/>
              <w:right w:w="120" w:type="dxa"/>
            </w:tcMar>
            <w:vAlign w:val="center"/>
          </w:tcPr>
          <w:p w14:paraId="11D05DED">
            <w:pPr>
              <w:pStyle w:val="164"/>
            </w:pPr>
            <w:r>
              <w:t>必然精确复原所有未见车辆</w:t>
            </w:r>
          </w:p>
        </w:tc>
      </w:tr>
      <w:tr w14:paraId="72FF1F1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318CAF21">
            <w:pPr>
              <w:pStyle w:val="164"/>
            </w:pPr>
            <w:r>
              <w:t>仿真真值用于训练评价</w:t>
            </w:r>
          </w:p>
        </w:tc>
        <w:tc>
          <w:tcPr>
            <w:tcW w:w="6360" w:type="dxa"/>
            <w:tcMar>
              <w:top w:w="80" w:type="dxa"/>
              <w:left w:w="120" w:type="dxa"/>
              <w:bottom w:w="80" w:type="dxa"/>
              <w:right w:w="120" w:type="dxa"/>
            </w:tcMar>
            <w:vAlign w:val="center"/>
          </w:tcPr>
          <w:p w14:paraId="7184F75F">
            <w:pPr>
              <w:pStyle w:val="164"/>
            </w:pPr>
            <w:r>
              <w:t>策略天然知道真实误差</w:t>
            </w:r>
          </w:p>
        </w:tc>
      </w:tr>
      <w:tr w14:paraId="1F7866F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5D835902">
            <w:pPr>
              <w:pStyle w:val="164"/>
            </w:pPr>
            <w:r>
              <w:t>研究带时间成本的主动选择</w:t>
            </w:r>
          </w:p>
        </w:tc>
        <w:tc>
          <w:tcPr>
            <w:tcW w:w="6360" w:type="dxa"/>
            <w:tcMar>
              <w:top w:w="80" w:type="dxa"/>
              <w:left w:w="120" w:type="dxa"/>
              <w:bottom w:w="80" w:type="dxa"/>
              <w:right w:w="120" w:type="dxa"/>
            </w:tcMar>
            <w:vAlign w:val="center"/>
          </w:tcPr>
          <w:p w14:paraId="32416FE9">
            <w:pPr>
              <w:pStyle w:val="164"/>
            </w:pPr>
            <w:r>
              <w:t>到达新格就固定增加恢复百分比</w:t>
            </w:r>
          </w:p>
        </w:tc>
      </w:tr>
      <w:tr w14:paraId="0C408B6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39765A10">
            <w:pPr>
              <w:pStyle w:val="164"/>
            </w:pPr>
            <w:r>
              <w:t>计划检验Transformer的增益</w:t>
            </w:r>
          </w:p>
        </w:tc>
        <w:tc>
          <w:tcPr>
            <w:tcW w:w="6360" w:type="dxa"/>
            <w:tcMar>
              <w:top w:w="80" w:type="dxa"/>
              <w:left w:w="120" w:type="dxa"/>
              <w:bottom w:w="80" w:type="dxa"/>
              <w:right w:w="120" w:type="dxa"/>
            </w:tcMar>
            <w:vAlign w:val="center"/>
          </w:tcPr>
          <w:p w14:paraId="1684F433">
            <w:pPr>
              <w:pStyle w:val="164"/>
            </w:pPr>
            <w:r>
              <w:t>Transformer天然保证泛化</w:t>
            </w:r>
          </w:p>
        </w:tc>
      </w:tr>
      <w:tr w14:paraId="4BADF11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587AB466">
            <w:pPr>
              <w:pStyle w:val="164"/>
            </w:pPr>
            <w:r>
              <w:t>当前形成可实现的研究规格</w:t>
            </w:r>
          </w:p>
        </w:tc>
        <w:tc>
          <w:tcPr>
            <w:tcW w:w="6360" w:type="dxa"/>
            <w:tcMar>
              <w:top w:w="80" w:type="dxa"/>
              <w:left w:w="120" w:type="dxa"/>
              <w:bottom w:w="80" w:type="dxa"/>
              <w:right w:w="120" w:type="dxa"/>
            </w:tcMar>
            <w:vAlign w:val="center"/>
          </w:tcPr>
          <w:p w14:paraId="6BCE297E">
            <w:pPr>
              <w:pStyle w:val="164"/>
            </w:pPr>
            <w:r>
              <w:t>已获得高精度或最优策略</w:t>
            </w:r>
          </w:p>
        </w:tc>
      </w:tr>
    </w:tbl>
    <w:p w14:paraId="74E785E7">
      <w:pPr>
        <w:pStyle w:val="165"/>
      </w:pPr>
    </w:p>
    <w:p w14:paraId="1CB486F0">
      <w:pPr>
        <w:pStyle w:val="4"/>
      </w:pPr>
      <w:r>
        <w:t>23.5 近期最具体的下一项工作</w:t>
      </w:r>
    </w:p>
    <w:p w14:paraId="55516246">
      <w:r>
        <w:t>先用一个固定策略完成完整episode，输出同步回放：自车位置、可见区域、单元历史、车道估计、真实标签、奖励分项和执行状态。尤其检查在原单元等待、驶出目标区、外围绕行、重新进入和预算结束时，这些量是否按同一时间逻辑变化。</w:t>
      </w:r>
    </w:p>
    <w:p w14:paraId="0264AA2C">
      <w:r>
        <w:t>这项工作通过后，再开始算法性能研究。它提供的是可检查的任务实现依据，能把“代码是否按定义运行”与“学习算法是否学得好”分开定位。</w:t>
      </w:r>
    </w:p>
    <w:p w14:paraId="78CDE66B">
      <w:pPr>
        <w:pStyle w:val="3"/>
        <w:pageBreakBefore/>
      </w:pPr>
      <w:bookmarkStart w:id="47" w:name="chapter_24"/>
      <w:r>
        <w:t>附录A 符号、术语与单位</w:t>
      </w:r>
      <w:bookmarkEnd w:id="47"/>
    </w:p>
    <w:p w14:paraId="72DA840D">
      <w:pPr>
        <w:pStyle w:val="15"/>
        <w:keepNext/>
      </w:pPr>
      <w:r>
        <w:t>表 28  符号或术语 / 本文含义</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760"/>
        <w:gridCol w:w="3300"/>
        <w:gridCol w:w="3300"/>
      </w:tblGrid>
      <w:tr w14:paraId="16CFB15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760" w:type="dxa"/>
            <w:shd w:val="clear" w:color="auto" w:fill="E8EEF5"/>
            <w:tcMar>
              <w:top w:w="80" w:type="dxa"/>
              <w:left w:w="120" w:type="dxa"/>
              <w:bottom w:w="80" w:type="dxa"/>
              <w:right w:w="120" w:type="dxa"/>
            </w:tcMar>
            <w:vAlign w:val="center"/>
          </w:tcPr>
          <w:p w14:paraId="13AD7114">
            <w:pPr>
              <w:pStyle w:val="164"/>
              <w:keepNext/>
            </w:pPr>
            <w:r>
              <w:rPr>
                <w:b/>
              </w:rPr>
              <w:t>符号或术语</w:t>
            </w:r>
          </w:p>
        </w:tc>
        <w:tc>
          <w:tcPr>
            <w:tcW w:w="3300" w:type="dxa"/>
            <w:shd w:val="clear" w:color="auto" w:fill="E8EEF5"/>
            <w:tcMar>
              <w:top w:w="80" w:type="dxa"/>
              <w:left w:w="120" w:type="dxa"/>
              <w:bottom w:w="80" w:type="dxa"/>
              <w:right w:w="120" w:type="dxa"/>
            </w:tcMar>
            <w:vAlign w:val="center"/>
          </w:tcPr>
          <w:p w14:paraId="17BBA21B">
            <w:pPr>
              <w:pStyle w:val="164"/>
              <w:keepNext/>
            </w:pPr>
            <w:r>
              <w:rPr>
                <w:b/>
              </w:rPr>
              <w:t>本文含义</w:t>
            </w:r>
          </w:p>
        </w:tc>
        <w:tc>
          <w:tcPr>
            <w:tcW w:w="3300" w:type="dxa"/>
            <w:shd w:val="clear" w:color="auto" w:fill="E8EEF5"/>
            <w:tcMar>
              <w:top w:w="80" w:type="dxa"/>
              <w:left w:w="120" w:type="dxa"/>
              <w:bottom w:w="80" w:type="dxa"/>
              <w:right w:w="120" w:type="dxa"/>
            </w:tcMar>
            <w:vAlign w:val="center"/>
          </w:tcPr>
          <w:p w14:paraId="1D933FD7">
            <w:pPr>
              <w:pStyle w:val="164"/>
              <w:keepNext/>
            </w:pPr>
            <w:r>
              <w:rPr>
                <w:b/>
              </w:rPr>
              <w:t>常见混淆</w:t>
            </w:r>
          </w:p>
        </w:tc>
      </w:tr>
      <w:tr w14:paraId="747730C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30F08D9">
            <w:pPr>
              <w:pStyle w:val="164"/>
            </w:pPr>
            <w:r>
              <w:t>Ω_tar / Ω_nav</w:t>
            </w:r>
          </w:p>
        </w:tc>
        <w:tc>
          <w:tcPr>
            <w:tcW w:w="3300" w:type="dxa"/>
            <w:tcMar>
              <w:top w:w="80" w:type="dxa"/>
              <w:left w:w="120" w:type="dxa"/>
              <w:bottom w:w="80" w:type="dxa"/>
              <w:right w:w="120" w:type="dxa"/>
            </w:tcMar>
            <w:vAlign w:val="center"/>
          </w:tcPr>
          <w:p w14:paraId="25E684B0">
            <w:pPr>
              <w:pStyle w:val="164"/>
            </w:pPr>
            <w:r>
              <w:t>目标估计区域 / 允许通行区域</w:t>
            </w:r>
          </w:p>
        </w:tc>
        <w:tc>
          <w:tcPr>
            <w:tcW w:w="3300" w:type="dxa"/>
            <w:tcMar>
              <w:top w:w="80" w:type="dxa"/>
              <w:left w:w="120" w:type="dxa"/>
              <w:bottom w:w="80" w:type="dxa"/>
              <w:right w:w="120" w:type="dxa"/>
            </w:tcMar>
            <w:vAlign w:val="center"/>
          </w:tcPr>
          <w:p w14:paraId="224ED036">
            <w:pPr>
              <w:pStyle w:val="164"/>
            </w:pPr>
            <w:r>
              <w:t>外围通行不等于扩大估计目标</w:t>
            </w:r>
          </w:p>
        </w:tc>
      </w:tr>
      <w:tr w14:paraId="272653B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1E34852E">
            <w:pPr>
              <w:pStyle w:val="164"/>
            </w:pPr>
            <w:r>
              <w:t>G=(V,E)</w:t>
            </w:r>
          </w:p>
        </w:tc>
        <w:tc>
          <w:tcPr>
            <w:tcW w:w="3300" w:type="dxa"/>
            <w:tcMar>
              <w:top w:w="80" w:type="dxa"/>
              <w:left w:w="120" w:type="dxa"/>
              <w:bottom w:w="80" w:type="dxa"/>
              <w:right w:w="120" w:type="dxa"/>
            </w:tcMar>
            <w:vAlign w:val="center"/>
          </w:tcPr>
          <w:p w14:paraId="38CF8F66">
            <w:pPr>
              <w:pStyle w:val="164"/>
            </w:pPr>
            <w:r>
              <w:t>车道单元有向图</w:t>
            </w:r>
          </w:p>
        </w:tc>
        <w:tc>
          <w:tcPr>
            <w:tcW w:w="3300" w:type="dxa"/>
            <w:tcMar>
              <w:top w:w="80" w:type="dxa"/>
              <w:left w:w="120" w:type="dxa"/>
              <w:bottom w:w="80" w:type="dxa"/>
              <w:right w:w="120" w:type="dxa"/>
            </w:tcMar>
            <w:vAlign w:val="center"/>
          </w:tcPr>
          <w:p w14:paraId="51A65BB4">
            <w:pPr>
              <w:pStyle w:val="164"/>
            </w:pPr>
            <w:r>
              <w:t>不是完整RL状态转移图</w:t>
            </w:r>
          </w:p>
        </w:tc>
      </w:tr>
      <w:tr w14:paraId="33FC01B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A77FA26">
            <w:pPr>
              <w:pStyle w:val="164"/>
            </w:pPr>
            <w:r>
              <w:t>i / ℓ / k / j</w:t>
            </w:r>
          </w:p>
        </w:tc>
        <w:tc>
          <w:tcPr>
            <w:tcW w:w="3300" w:type="dxa"/>
            <w:tcMar>
              <w:top w:w="80" w:type="dxa"/>
              <w:left w:w="120" w:type="dxa"/>
              <w:bottom w:w="80" w:type="dxa"/>
              <w:right w:w="120" w:type="dxa"/>
            </w:tcMar>
            <w:vAlign w:val="center"/>
          </w:tcPr>
          <w:p w14:paraId="45436D86">
            <w:pPr>
              <w:pStyle w:val="164"/>
            </w:pPr>
            <w:r>
              <w:t>单元 / 车道 / RL步 / 内部评价时刻</w:t>
            </w:r>
          </w:p>
        </w:tc>
        <w:tc>
          <w:tcPr>
            <w:tcW w:w="3300" w:type="dxa"/>
            <w:tcMar>
              <w:top w:w="80" w:type="dxa"/>
              <w:left w:w="120" w:type="dxa"/>
              <w:bottom w:w="80" w:type="dxa"/>
              <w:right w:w="120" w:type="dxa"/>
            </w:tcMar>
            <w:vAlign w:val="center"/>
          </w:tcPr>
          <w:p w14:paraId="773D34DC">
            <w:pPr>
              <w:pStyle w:val="164"/>
            </w:pPr>
            <w:r>
              <w:t>不共用一个索引表达所有层面</w:t>
            </w:r>
          </w:p>
        </w:tc>
      </w:tr>
      <w:tr w14:paraId="3BE8FC8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591B3C72">
            <w:pPr>
              <w:pStyle w:val="164"/>
            </w:pPr>
            <w:r>
              <w:t>S_k</w:t>
            </w:r>
          </w:p>
        </w:tc>
        <w:tc>
          <w:tcPr>
            <w:tcW w:w="3300" w:type="dxa"/>
            <w:tcMar>
              <w:top w:w="80" w:type="dxa"/>
              <w:left w:w="120" w:type="dxa"/>
              <w:bottom w:w="80" w:type="dxa"/>
              <w:right w:w="120" w:type="dxa"/>
            </w:tcMar>
            <w:vAlign w:val="center"/>
          </w:tcPr>
          <w:p w14:paraId="09B480D8">
            <w:pPr>
              <w:pStyle w:val="164"/>
            </w:pPr>
            <w:r>
              <w:t>完整环境状态</w:t>
            </w:r>
          </w:p>
        </w:tc>
        <w:tc>
          <w:tcPr>
            <w:tcW w:w="3300" w:type="dxa"/>
            <w:tcMar>
              <w:top w:w="80" w:type="dxa"/>
              <w:left w:w="120" w:type="dxa"/>
              <w:bottom w:w="80" w:type="dxa"/>
              <w:right w:w="120" w:type="dxa"/>
            </w:tcMar>
            <w:vAlign w:val="center"/>
          </w:tcPr>
          <w:p w14:paraId="57C02580">
            <w:pPr>
              <w:pStyle w:val="164"/>
            </w:pPr>
            <w:r>
              <w:t>包含隐藏交通及必要内部记忆</w:t>
            </w:r>
          </w:p>
        </w:tc>
      </w:tr>
      <w:tr w14:paraId="736E7CD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BC9BA0B">
            <w:pPr>
              <w:pStyle w:val="164"/>
            </w:pPr>
            <w:r>
              <w:t>X_k</w:t>
            </w:r>
          </w:p>
        </w:tc>
        <w:tc>
          <w:tcPr>
            <w:tcW w:w="3300" w:type="dxa"/>
            <w:tcMar>
              <w:top w:w="80" w:type="dxa"/>
              <w:left w:w="120" w:type="dxa"/>
              <w:bottom w:w="80" w:type="dxa"/>
              <w:right w:w="120" w:type="dxa"/>
            </w:tcMar>
            <w:vAlign w:val="center"/>
          </w:tcPr>
          <w:p w14:paraId="06981272">
            <w:pPr>
              <w:pStyle w:val="164"/>
            </w:pPr>
            <w:r>
              <w:t>交通物理状态</w:t>
            </w:r>
          </w:p>
        </w:tc>
        <w:tc>
          <w:tcPr>
            <w:tcW w:w="3300" w:type="dxa"/>
            <w:tcMar>
              <w:top w:w="80" w:type="dxa"/>
              <w:left w:w="120" w:type="dxa"/>
              <w:bottom w:w="80" w:type="dxa"/>
              <w:right w:w="120" w:type="dxa"/>
            </w:tcMar>
            <w:vAlign w:val="center"/>
          </w:tcPr>
          <w:p w14:paraId="00352ACE">
            <w:pPr>
              <w:pStyle w:val="164"/>
            </w:pPr>
            <w:r>
              <w:t>不全部提供给策略</w:t>
            </w:r>
          </w:p>
        </w:tc>
      </w:tr>
      <w:tr w14:paraId="4CDB350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6BAB93F">
            <w:pPr>
              <w:pStyle w:val="164"/>
            </w:pPr>
            <w:r>
              <w:t>z_j</w:t>
            </w:r>
          </w:p>
        </w:tc>
        <w:tc>
          <w:tcPr>
            <w:tcW w:w="3300" w:type="dxa"/>
            <w:tcMar>
              <w:top w:w="80" w:type="dxa"/>
              <w:left w:w="120" w:type="dxa"/>
              <w:bottom w:w="80" w:type="dxa"/>
              <w:right w:w="120" w:type="dxa"/>
            </w:tcMar>
            <w:vAlign w:val="center"/>
          </w:tcPr>
          <w:p w14:paraId="226D3D96">
            <w:pPr>
              <w:pStyle w:val="164"/>
            </w:pPr>
            <w:r>
              <w:t>原始局部观测</w:t>
            </w:r>
          </w:p>
        </w:tc>
        <w:tc>
          <w:tcPr>
            <w:tcW w:w="3300" w:type="dxa"/>
            <w:tcMar>
              <w:top w:w="80" w:type="dxa"/>
              <w:left w:w="120" w:type="dxa"/>
              <w:bottom w:w="80" w:type="dxa"/>
              <w:right w:w="120" w:type="dxa"/>
            </w:tcMar>
            <w:vAlign w:val="center"/>
          </w:tcPr>
          <w:p w14:paraId="7626138E">
            <w:pPr>
              <w:pStyle w:val="164"/>
            </w:pPr>
            <w:r>
              <w:t>不等于全域真实交通</w:t>
            </w:r>
          </w:p>
        </w:tc>
      </w:tr>
      <w:tr w14:paraId="6513041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358FA812">
            <w:pPr>
              <w:pStyle w:val="164"/>
            </w:pPr>
            <w:r>
              <w:t>ξ_k</w:t>
            </w:r>
          </w:p>
        </w:tc>
        <w:tc>
          <w:tcPr>
            <w:tcW w:w="3300" w:type="dxa"/>
            <w:tcMar>
              <w:top w:w="80" w:type="dxa"/>
              <w:left w:w="120" w:type="dxa"/>
              <w:bottom w:w="80" w:type="dxa"/>
              <w:right w:w="120" w:type="dxa"/>
            </w:tcMar>
            <w:vAlign w:val="center"/>
          </w:tcPr>
          <w:p w14:paraId="3F8933FF">
            <w:pPr>
              <w:pStyle w:val="164"/>
            </w:pPr>
            <w:r>
              <w:t>估计器内部状态</w:t>
            </w:r>
          </w:p>
        </w:tc>
        <w:tc>
          <w:tcPr>
            <w:tcW w:w="3300" w:type="dxa"/>
            <w:tcMar>
              <w:top w:w="80" w:type="dxa"/>
              <w:left w:w="120" w:type="dxa"/>
              <w:bottom w:w="80" w:type="dxa"/>
              <w:right w:w="120" w:type="dxa"/>
            </w:tcMar>
            <w:vAlign w:val="center"/>
          </w:tcPr>
          <w:p w14:paraId="443E011E">
            <w:pPr>
              <w:pStyle w:val="164"/>
            </w:pPr>
            <w:r>
              <w:t>不等于Critic</w:t>
            </w:r>
          </w:p>
        </w:tc>
      </w:tr>
      <w:tr w14:paraId="3C01C3B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1A3743F3">
            <w:pPr>
              <w:pStyle w:val="164"/>
            </w:pPr>
            <w:r>
              <w:t>c_k</w:t>
            </w:r>
          </w:p>
        </w:tc>
        <w:tc>
          <w:tcPr>
            <w:tcW w:w="3300" w:type="dxa"/>
            <w:tcMar>
              <w:top w:w="80" w:type="dxa"/>
              <w:left w:w="120" w:type="dxa"/>
              <w:bottom w:w="80" w:type="dxa"/>
              <w:right w:w="120" w:type="dxa"/>
            </w:tcMar>
            <w:vAlign w:val="center"/>
          </w:tcPr>
          <w:p w14:paraId="0DDC3C5C">
            <w:pPr>
              <w:pStyle w:val="164"/>
            </w:pPr>
            <w:r>
              <w:t>执行任务状态</w:t>
            </w:r>
          </w:p>
        </w:tc>
        <w:tc>
          <w:tcPr>
            <w:tcW w:w="3300" w:type="dxa"/>
            <w:tcMar>
              <w:top w:w="80" w:type="dxa"/>
              <w:left w:w="120" w:type="dxa"/>
              <w:bottom w:w="80" w:type="dxa"/>
              <w:right w:w="120" w:type="dxa"/>
            </w:tcMar>
            <w:vAlign w:val="center"/>
          </w:tcPr>
          <w:p w14:paraId="1A477640">
            <w:pPr>
              <w:pStyle w:val="164"/>
            </w:pPr>
            <w:r>
              <w:t>不等于动作成本C</w:t>
            </w:r>
          </w:p>
        </w:tc>
      </w:tr>
      <w:tr w14:paraId="342995A9">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66FC3514">
            <w:pPr>
              <w:pStyle w:val="164"/>
            </w:pPr>
            <w:r>
              <w:t>o_k</w:t>
            </w:r>
          </w:p>
        </w:tc>
        <w:tc>
          <w:tcPr>
            <w:tcW w:w="3300" w:type="dxa"/>
            <w:tcMar>
              <w:top w:w="80" w:type="dxa"/>
              <w:left w:w="120" w:type="dxa"/>
              <w:bottom w:w="80" w:type="dxa"/>
              <w:right w:w="120" w:type="dxa"/>
            </w:tcMar>
            <w:vAlign w:val="center"/>
          </w:tcPr>
          <w:p w14:paraId="4727FA4B">
            <w:pPr>
              <w:pStyle w:val="164"/>
            </w:pPr>
            <w:r>
              <w:t>策略输入观测</w:t>
            </w:r>
          </w:p>
        </w:tc>
        <w:tc>
          <w:tcPr>
            <w:tcW w:w="3300" w:type="dxa"/>
            <w:tcMar>
              <w:top w:w="80" w:type="dxa"/>
              <w:left w:w="120" w:type="dxa"/>
              <w:bottom w:w="80" w:type="dxa"/>
              <w:right w:w="120" w:type="dxa"/>
            </w:tcMar>
            <w:vAlign w:val="center"/>
          </w:tcPr>
          <w:p w14:paraId="27CB4284">
            <w:pPr>
              <w:pStyle w:val="164"/>
            </w:pPr>
            <w:r>
              <w:t>代码state变量可能实际指它</w:t>
            </w:r>
          </w:p>
        </w:tc>
      </w:tr>
      <w:tr w14:paraId="2F1789A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83BEA6C">
            <w:pPr>
              <w:pStyle w:val="164"/>
            </w:pPr>
            <w:r>
              <w:t>H_k / b_k</w:t>
            </w:r>
          </w:p>
        </w:tc>
        <w:tc>
          <w:tcPr>
            <w:tcW w:w="3300" w:type="dxa"/>
            <w:tcMar>
              <w:top w:w="80" w:type="dxa"/>
              <w:left w:w="120" w:type="dxa"/>
              <w:bottom w:w="80" w:type="dxa"/>
              <w:right w:w="120" w:type="dxa"/>
            </w:tcMar>
            <w:vAlign w:val="center"/>
          </w:tcPr>
          <w:p w14:paraId="1E9A4A0A">
            <w:pPr>
              <w:pStyle w:val="164"/>
            </w:pPr>
            <w:r>
              <w:t>可用历史 / 完整条件信念</w:t>
            </w:r>
          </w:p>
        </w:tc>
        <w:tc>
          <w:tcPr>
            <w:tcW w:w="3300" w:type="dxa"/>
            <w:tcMar>
              <w:top w:w="80" w:type="dxa"/>
              <w:left w:w="120" w:type="dxa"/>
              <w:bottom w:w="80" w:type="dxa"/>
              <w:right w:w="120" w:type="dxa"/>
            </w:tcMar>
            <w:vAlign w:val="center"/>
          </w:tcPr>
          <w:p w14:paraId="0F83295E">
            <w:pPr>
              <w:pStyle w:val="164"/>
            </w:pPr>
            <w:r>
              <w:t>神经网络只能近似压缩</w:t>
            </w:r>
          </w:p>
        </w:tc>
      </w:tr>
      <w:tr w14:paraId="65F10E2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2F860F9">
            <w:pPr>
              <w:pStyle w:val="164"/>
            </w:pPr>
            <w:r>
              <w:t>h_k</w:t>
            </w:r>
          </w:p>
        </w:tc>
        <w:tc>
          <w:tcPr>
            <w:tcW w:w="3300" w:type="dxa"/>
            <w:tcMar>
              <w:top w:w="80" w:type="dxa"/>
              <w:left w:w="120" w:type="dxa"/>
              <w:bottom w:w="80" w:type="dxa"/>
              <w:right w:w="120" w:type="dxa"/>
            </w:tcMar>
            <w:vAlign w:val="center"/>
          </w:tcPr>
          <w:p w14:paraId="5DE8D953">
            <w:pPr>
              <w:pStyle w:val="164"/>
            </w:pPr>
            <w:r>
              <w:t>策略循环隐藏状态</w:t>
            </w:r>
          </w:p>
        </w:tc>
        <w:tc>
          <w:tcPr>
            <w:tcW w:w="3300" w:type="dxa"/>
            <w:tcMar>
              <w:top w:w="80" w:type="dxa"/>
              <w:left w:w="120" w:type="dxa"/>
              <w:bottom w:w="80" w:type="dxa"/>
              <w:right w:w="120" w:type="dxa"/>
            </w:tcMar>
            <w:vAlign w:val="center"/>
          </w:tcPr>
          <w:p w14:paraId="5FEF7CB9">
            <w:pPr>
              <w:pStyle w:val="164"/>
            </w:pPr>
            <w:r>
              <w:t>不是场景真值</w:t>
            </w:r>
          </w:p>
        </w:tc>
      </w:tr>
      <w:tr w14:paraId="23D1836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77D8CD26">
            <w:pPr>
              <w:pStyle w:val="164"/>
            </w:pPr>
            <w:r>
              <w:t>Y(t) / L_ℓ(t)</w:t>
            </w:r>
          </w:p>
        </w:tc>
        <w:tc>
          <w:tcPr>
            <w:tcW w:w="3300" w:type="dxa"/>
            <w:tcMar>
              <w:top w:w="80" w:type="dxa"/>
              <w:left w:w="120" w:type="dxa"/>
              <w:bottom w:w="80" w:type="dxa"/>
              <w:right w:w="120" w:type="dxa"/>
            </w:tcMar>
            <w:vAlign w:val="center"/>
          </w:tcPr>
          <w:p w14:paraId="156FA72F">
            <w:pPr>
              <w:pStyle w:val="164"/>
            </w:pPr>
            <w:r>
              <w:t>目标向量 / 车道队列真值</w:t>
            </w:r>
          </w:p>
        </w:tc>
        <w:tc>
          <w:tcPr>
            <w:tcW w:w="3300" w:type="dxa"/>
            <w:tcMar>
              <w:top w:w="80" w:type="dxa"/>
              <w:left w:w="120" w:type="dxa"/>
              <w:bottom w:w="80" w:type="dxa"/>
              <w:right w:w="120" w:type="dxa"/>
            </w:tcMar>
            <w:vAlign w:val="center"/>
          </w:tcPr>
          <w:p w14:paraId="7A54511E">
            <w:pPr>
              <w:pStyle w:val="164"/>
            </w:pPr>
            <w:r>
              <w:t>单位与队列定义固定</w:t>
            </w:r>
          </w:p>
        </w:tc>
      </w:tr>
      <w:tr w14:paraId="437FA03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70B1CB90">
            <w:pPr>
              <w:pStyle w:val="164"/>
            </w:pPr>
            <w:r>
              <w:t>Ŷ(t) / U(t)</w:t>
            </w:r>
          </w:p>
        </w:tc>
        <w:tc>
          <w:tcPr>
            <w:tcW w:w="3300" w:type="dxa"/>
            <w:tcMar>
              <w:top w:w="80" w:type="dxa"/>
              <w:left w:w="120" w:type="dxa"/>
              <w:bottom w:w="80" w:type="dxa"/>
              <w:right w:w="120" w:type="dxa"/>
            </w:tcMar>
            <w:vAlign w:val="center"/>
          </w:tcPr>
          <w:p w14:paraId="4EF0E388">
            <w:pPr>
              <w:pStyle w:val="164"/>
            </w:pPr>
            <w:r>
              <w:t>估计 / 可靠性描述</w:t>
            </w:r>
          </w:p>
        </w:tc>
        <w:tc>
          <w:tcPr>
            <w:tcW w:w="3300" w:type="dxa"/>
            <w:tcMar>
              <w:top w:w="80" w:type="dxa"/>
              <w:left w:w="120" w:type="dxa"/>
              <w:bottom w:w="80" w:type="dxa"/>
              <w:right w:w="120" w:type="dxa"/>
            </w:tcMar>
            <w:vAlign w:val="center"/>
          </w:tcPr>
          <w:p w14:paraId="1FCF204C">
            <w:pPr>
              <w:pStyle w:val="164"/>
            </w:pPr>
            <w:r>
              <w:t>U不自动等于真实误差</w:t>
            </w:r>
          </w:p>
        </w:tc>
      </w:tr>
      <w:tr w14:paraId="04D2BAE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DA5157D">
            <w:pPr>
              <w:pStyle w:val="164"/>
            </w:pPr>
            <w:r>
              <w:t>F_k</w:t>
            </w:r>
          </w:p>
        </w:tc>
        <w:tc>
          <w:tcPr>
            <w:tcW w:w="3300" w:type="dxa"/>
            <w:tcMar>
              <w:top w:w="80" w:type="dxa"/>
              <w:left w:w="120" w:type="dxa"/>
              <w:bottom w:w="80" w:type="dxa"/>
              <w:right w:w="120" w:type="dxa"/>
            </w:tcMar>
            <w:vAlign w:val="center"/>
          </w:tcPr>
          <w:p w14:paraId="1953642A">
            <w:pPr>
              <w:pStyle w:val="164"/>
            </w:pPr>
            <w:r>
              <w:t>单元信息矩阵</w:t>
            </w:r>
          </w:p>
        </w:tc>
        <w:tc>
          <w:tcPr>
            <w:tcW w:w="3300" w:type="dxa"/>
            <w:tcMar>
              <w:top w:w="80" w:type="dxa"/>
              <w:left w:w="120" w:type="dxa"/>
              <w:bottom w:w="80" w:type="dxa"/>
              <w:right w:w="120" w:type="dxa"/>
            </w:tcMar>
            <w:vAlign w:val="center"/>
          </w:tcPr>
          <w:p w14:paraId="44B9A54B">
            <w:pPr>
              <w:pStyle w:val="164"/>
            </w:pPr>
            <w:r>
              <w:t>每一行只是局部描述</w:t>
            </w:r>
          </w:p>
        </w:tc>
      </w:tr>
      <w:tr w14:paraId="425AE67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B84B18B">
            <w:pPr>
              <w:pStyle w:val="164"/>
            </w:pPr>
            <w:r>
              <w:t>a_k / u_j</w:t>
            </w:r>
          </w:p>
        </w:tc>
        <w:tc>
          <w:tcPr>
            <w:tcW w:w="3300" w:type="dxa"/>
            <w:tcMar>
              <w:top w:w="80" w:type="dxa"/>
              <w:left w:w="120" w:type="dxa"/>
              <w:bottom w:w="80" w:type="dxa"/>
              <w:right w:w="120" w:type="dxa"/>
            </w:tcMar>
            <w:vAlign w:val="center"/>
          </w:tcPr>
          <w:p w14:paraId="27F7AC7D">
            <w:pPr>
              <w:pStyle w:val="164"/>
            </w:pPr>
            <w:r>
              <w:t>策略请求 / 底层控制</w:t>
            </w:r>
          </w:p>
        </w:tc>
        <w:tc>
          <w:tcPr>
            <w:tcW w:w="3300" w:type="dxa"/>
            <w:tcMar>
              <w:top w:w="80" w:type="dxa"/>
              <w:left w:w="120" w:type="dxa"/>
              <w:bottom w:w="80" w:type="dxa"/>
              <w:right w:w="120" w:type="dxa"/>
            </w:tcMar>
            <w:vAlign w:val="center"/>
          </w:tcPr>
          <w:p w14:paraId="14DD4F52">
            <w:pPr>
              <w:pStyle w:val="164"/>
            </w:pPr>
            <w:r>
              <w:t>PPO概率针对请求动作</w:t>
            </w:r>
          </w:p>
        </w:tc>
      </w:tr>
      <w:tr w14:paraId="6CEEAF9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EA8B111">
            <w:pPr>
              <w:pStyle w:val="164"/>
            </w:pPr>
            <w:r>
              <w:t>M_k(a)</w:t>
            </w:r>
          </w:p>
        </w:tc>
        <w:tc>
          <w:tcPr>
            <w:tcW w:w="3300" w:type="dxa"/>
            <w:tcMar>
              <w:top w:w="80" w:type="dxa"/>
              <w:left w:w="120" w:type="dxa"/>
              <w:bottom w:w="80" w:type="dxa"/>
              <w:right w:w="120" w:type="dxa"/>
            </w:tcMar>
            <w:vAlign w:val="center"/>
          </w:tcPr>
          <w:p w14:paraId="548A28DF">
            <w:pPr>
              <w:pStyle w:val="164"/>
            </w:pPr>
            <w:r>
              <w:t>合法动作掩码</w:t>
            </w:r>
          </w:p>
        </w:tc>
        <w:tc>
          <w:tcPr>
            <w:tcW w:w="3300" w:type="dxa"/>
            <w:tcMar>
              <w:top w:w="80" w:type="dxa"/>
              <w:left w:w="120" w:type="dxa"/>
              <w:bottom w:w="80" w:type="dxa"/>
              <w:right w:w="120" w:type="dxa"/>
            </w:tcMar>
            <w:vAlign w:val="center"/>
          </w:tcPr>
          <w:p w14:paraId="07831FD8">
            <w:pPr>
              <w:pStyle w:val="164"/>
            </w:pPr>
            <w:r>
              <w:t>与观测缺失掩码不同</w:t>
            </w:r>
          </w:p>
        </w:tc>
      </w:tr>
      <w:tr w14:paraId="186086A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46DFE6B">
            <w:pPr>
              <w:pStyle w:val="164"/>
            </w:pPr>
            <w:r>
              <w:t>δ_sim / ΔT</w:t>
            </w:r>
          </w:p>
        </w:tc>
        <w:tc>
          <w:tcPr>
            <w:tcW w:w="3300" w:type="dxa"/>
            <w:tcMar>
              <w:top w:w="80" w:type="dxa"/>
              <w:left w:w="120" w:type="dxa"/>
              <w:bottom w:w="80" w:type="dxa"/>
              <w:right w:w="120" w:type="dxa"/>
            </w:tcMar>
            <w:vAlign w:val="center"/>
          </w:tcPr>
          <w:p w14:paraId="0CBD3896">
            <w:pPr>
              <w:pStyle w:val="164"/>
            </w:pPr>
            <w:r>
              <w:t>仿真微步 / RL交互时长</w:t>
            </w:r>
          </w:p>
        </w:tc>
        <w:tc>
          <w:tcPr>
            <w:tcW w:w="3300" w:type="dxa"/>
            <w:tcMar>
              <w:top w:w="80" w:type="dxa"/>
              <w:left w:w="120" w:type="dxa"/>
              <w:bottom w:w="80" w:type="dxa"/>
              <w:right w:w="120" w:type="dxa"/>
            </w:tcMar>
            <w:vAlign w:val="center"/>
          </w:tcPr>
          <w:p w14:paraId="4D9053F3">
            <w:pPr>
              <w:pStyle w:val="164"/>
            </w:pPr>
            <w:r>
              <w:t>与单元长度无绑定</w:t>
            </w:r>
          </w:p>
        </w:tc>
      </w:tr>
      <w:tr w14:paraId="40D34A8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6EEDCCF">
            <w:pPr>
              <w:pStyle w:val="164"/>
            </w:pPr>
            <w:r>
              <w:t>B</w:t>
            </w:r>
          </w:p>
        </w:tc>
        <w:tc>
          <w:tcPr>
            <w:tcW w:w="3300" w:type="dxa"/>
            <w:tcMar>
              <w:top w:w="80" w:type="dxa"/>
              <w:left w:w="120" w:type="dxa"/>
              <w:bottom w:w="80" w:type="dxa"/>
              <w:right w:w="120" w:type="dxa"/>
            </w:tcMar>
            <w:vAlign w:val="center"/>
          </w:tcPr>
          <w:p w14:paraId="61C8BB0E">
            <w:pPr>
              <w:pStyle w:val="164"/>
            </w:pPr>
            <w:r>
              <w:t>探测预算，秒</w:t>
            </w:r>
          </w:p>
        </w:tc>
        <w:tc>
          <w:tcPr>
            <w:tcW w:w="3300" w:type="dxa"/>
            <w:tcMar>
              <w:top w:w="80" w:type="dxa"/>
              <w:left w:w="120" w:type="dxa"/>
              <w:bottom w:w="80" w:type="dxa"/>
              <w:right w:w="120" w:type="dxa"/>
            </w:tcMar>
            <w:vAlign w:val="center"/>
          </w:tcPr>
          <w:p w14:paraId="2AC1B44F">
            <w:pPr>
              <w:pStyle w:val="164"/>
            </w:pPr>
            <w:r>
              <w:t>与训练rollout长度不同</w:t>
            </w:r>
          </w:p>
        </w:tc>
      </w:tr>
      <w:tr w14:paraId="5CCB340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357E634D">
            <w:pPr>
              <w:pStyle w:val="164"/>
            </w:pPr>
            <w:r>
              <w:t>E(t) / e(t)</w:t>
            </w:r>
          </w:p>
        </w:tc>
        <w:tc>
          <w:tcPr>
            <w:tcW w:w="3300" w:type="dxa"/>
            <w:tcMar>
              <w:top w:w="80" w:type="dxa"/>
              <w:left w:w="120" w:type="dxa"/>
              <w:bottom w:w="80" w:type="dxa"/>
              <w:right w:w="120" w:type="dxa"/>
            </w:tcMar>
            <w:vAlign w:val="center"/>
          </w:tcPr>
          <w:p w14:paraId="30D030F8">
            <w:pPr>
              <w:pStyle w:val="164"/>
            </w:pPr>
            <w:r>
              <w:t>米制误差 / 归一化误差</w:t>
            </w:r>
          </w:p>
        </w:tc>
        <w:tc>
          <w:tcPr>
            <w:tcW w:w="3300" w:type="dxa"/>
            <w:tcMar>
              <w:top w:w="80" w:type="dxa"/>
              <w:left w:w="120" w:type="dxa"/>
              <w:bottom w:w="80" w:type="dxa"/>
              <w:right w:w="120" w:type="dxa"/>
            </w:tcMar>
            <w:vAlign w:val="center"/>
          </w:tcPr>
          <w:p w14:paraId="09E04B76">
            <w:pPr>
              <w:pStyle w:val="164"/>
            </w:pPr>
            <w:r>
              <w:t>不直接称为恢复百分比</w:t>
            </w:r>
          </w:p>
        </w:tc>
      </w:tr>
      <w:tr w14:paraId="278735D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2DAE0F9">
            <w:pPr>
              <w:pStyle w:val="164"/>
            </w:pPr>
            <w:r>
              <w:t>C / D</w:t>
            </w:r>
          </w:p>
        </w:tc>
        <w:tc>
          <w:tcPr>
            <w:tcW w:w="3300" w:type="dxa"/>
            <w:tcMar>
              <w:top w:w="80" w:type="dxa"/>
              <w:left w:w="120" w:type="dxa"/>
              <w:bottom w:w="80" w:type="dxa"/>
              <w:right w:w="120" w:type="dxa"/>
            </w:tcMar>
            <w:vAlign w:val="center"/>
          </w:tcPr>
          <w:p w14:paraId="5E7F77BD">
            <w:pPr>
              <w:pStyle w:val="164"/>
            </w:pPr>
            <w:r>
              <w:t>行驶成本 / 交通扰动</w:t>
            </w:r>
          </w:p>
        </w:tc>
        <w:tc>
          <w:tcPr>
            <w:tcW w:w="3300" w:type="dxa"/>
            <w:tcMar>
              <w:top w:w="80" w:type="dxa"/>
              <w:left w:w="120" w:type="dxa"/>
              <w:bottom w:w="80" w:type="dxa"/>
              <w:right w:w="120" w:type="dxa"/>
            </w:tcMar>
            <w:vAlign w:val="center"/>
          </w:tcPr>
          <w:p w14:paraId="7EAF2068">
            <w:pPr>
              <w:pStyle w:val="164"/>
            </w:pPr>
            <w:r>
              <w:t>定义和缩放分别固定</w:t>
            </w:r>
          </w:p>
        </w:tc>
      </w:tr>
      <w:tr w14:paraId="766C4E7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9DF7DEF">
            <w:pPr>
              <w:pStyle w:val="164"/>
            </w:pPr>
            <w:r>
              <w:t>φ / θ / ψ</w:t>
            </w:r>
          </w:p>
        </w:tc>
        <w:tc>
          <w:tcPr>
            <w:tcW w:w="3300" w:type="dxa"/>
            <w:tcMar>
              <w:top w:w="80" w:type="dxa"/>
              <w:left w:w="120" w:type="dxa"/>
              <w:bottom w:w="80" w:type="dxa"/>
              <w:right w:w="120" w:type="dxa"/>
            </w:tcMar>
            <w:vAlign w:val="center"/>
          </w:tcPr>
          <w:p w14:paraId="4FD75D33">
            <w:pPr>
              <w:pStyle w:val="164"/>
            </w:pPr>
            <w:r>
              <w:t>估计器 / 策略 / 价值网络参数</w:t>
            </w:r>
          </w:p>
        </w:tc>
        <w:tc>
          <w:tcPr>
            <w:tcW w:w="3300" w:type="dxa"/>
            <w:tcMar>
              <w:top w:w="80" w:type="dxa"/>
              <w:left w:w="120" w:type="dxa"/>
              <w:bottom w:w="80" w:type="dxa"/>
              <w:right w:w="120" w:type="dxa"/>
            </w:tcMar>
            <w:vAlign w:val="center"/>
          </w:tcPr>
          <w:p w14:paraId="4DF0EDEF">
            <w:pPr>
              <w:pStyle w:val="164"/>
            </w:pPr>
            <w:r>
              <w:t>首版φ冻结</w:t>
            </w:r>
          </w:p>
        </w:tc>
      </w:tr>
      <w:tr w14:paraId="25E726C4">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6B107DE">
            <w:pPr>
              <w:pStyle w:val="164"/>
            </w:pPr>
            <w:r>
              <w:t>γ / λ</w:t>
            </w:r>
          </w:p>
        </w:tc>
        <w:tc>
          <w:tcPr>
            <w:tcW w:w="3300" w:type="dxa"/>
            <w:tcMar>
              <w:top w:w="80" w:type="dxa"/>
              <w:left w:w="120" w:type="dxa"/>
              <w:bottom w:w="80" w:type="dxa"/>
              <w:right w:w="120" w:type="dxa"/>
            </w:tcMar>
            <w:vAlign w:val="center"/>
          </w:tcPr>
          <w:p w14:paraId="33851F6E">
            <w:pPr>
              <w:pStyle w:val="164"/>
            </w:pPr>
            <w:r>
              <w:t>奖励折扣 / GAE参数</w:t>
            </w:r>
          </w:p>
        </w:tc>
        <w:tc>
          <w:tcPr>
            <w:tcW w:w="3300" w:type="dxa"/>
            <w:tcMar>
              <w:top w:w="80" w:type="dxa"/>
              <w:left w:w="120" w:type="dxa"/>
              <w:bottom w:w="80" w:type="dxa"/>
              <w:right w:w="120" w:type="dxa"/>
            </w:tcMar>
            <w:vAlign w:val="center"/>
          </w:tcPr>
          <w:p w14:paraId="2D66C7E6">
            <w:pPr>
              <w:pStyle w:val="164"/>
            </w:pPr>
            <w:r>
              <w:t>与奖励权重λ_C、λ_D不同</w:t>
            </w:r>
          </w:p>
        </w:tc>
      </w:tr>
      <w:tr w14:paraId="6646AE9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774E29AB">
            <w:pPr>
              <w:pStyle w:val="164"/>
            </w:pPr>
            <w:r>
              <w:t>G_k / V / A_k</w:t>
            </w:r>
          </w:p>
        </w:tc>
        <w:tc>
          <w:tcPr>
            <w:tcW w:w="3300" w:type="dxa"/>
            <w:tcMar>
              <w:top w:w="80" w:type="dxa"/>
              <w:left w:w="120" w:type="dxa"/>
              <w:bottom w:w="80" w:type="dxa"/>
              <w:right w:w="120" w:type="dxa"/>
            </w:tcMar>
            <w:vAlign w:val="center"/>
          </w:tcPr>
          <w:p w14:paraId="14B8F9EF">
            <w:pPr>
              <w:pStyle w:val="164"/>
            </w:pPr>
            <w:r>
              <w:t>回报 / 价值 / 优势</w:t>
            </w:r>
          </w:p>
        </w:tc>
        <w:tc>
          <w:tcPr>
            <w:tcW w:w="3300" w:type="dxa"/>
            <w:tcMar>
              <w:top w:w="80" w:type="dxa"/>
              <w:left w:w="120" w:type="dxa"/>
              <w:bottom w:w="80" w:type="dxa"/>
              <w:right w:w="120" w:type="dxa"/>
            </w:tcMar>
            <w:vAlign w:val="center"/>
          </w:tcPr>
          <w:p w14:paraId="06EEA76A">
            <w:pPr>
              <w:pStyle w:val="164"/>
            </w:pPr>
            <w:r>
              <w:t>价值不是最初几次奖励平均</w:t>
            </w:r>
          </w:p>
        </w:tc>
      </w:tr>
      <w:tr w14:paraId="48BD05C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633B2779">
            <w:pPr>
              <w:pStyle w:val="164"/>
            </w:pPr>
            <w:r>
              <w:t>b_k^boot / c_k^trace</w:t>
            </w:r>
          </w:p>
        </w:tc>
        <w:tc>
          <w:tcPr>
            <w:tcW w:w="3300" w:type="dxa"/>
            <w:tcMar>
              <w:top w:w="80" w:type="dxa"/>
              <w:left w:w="120" w:type="dxa"/>
              <w:bottom w:w="80" w:type="dxa"/>
              <w:right w:w="120" w:type="dxa"/>
            </w:tcMar>
            <w:vAlign w:val="center"/>
          </w:tcPr>
          <w:p w14:paraId="3B1675EA">
            <w:pPr>
              <w:pStyle w:val="164"/>
            </w:pPr>
            <w:r>
              <w:t>自举 / 优势继续掩码</w:t>
            </w:r>
          </w:p>
        </w:tc>
        <w:tc>
          <w:tcPr>
            <w:tcW w:w="3300" w:type="dxa"/>
            <w:tcMar>
              <w:top w:w="80" w:type="dxa"/>
              <w:left w:w="120" w:type="dxa"/>
              <w:bottom w:w="80" w:type="dxa"/>
              <w:right w:w="120" w:type="dxa"/>
            </w:tcMar>
            <w:vAlign w:val="center"/>
          </w:tcPr>
          <w:p w14:paraId="5B358983">
            <w:pPr>
              <w:pStyle w:val="164"/>
            </w:pPr>
            <w:r>
              <w:t>与POMDP信念b_k区分上下标</w:t>
            </w:r>
          </w:p>
        </w:tc>
      </w:tr>
      <w:tr w14:paraId="30777577">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0F6764BB">
            <w:pPr>
              <w:pStyle w:val="164"/>
            </w:pPr>
            <w:r>
              <w:t>terminated / truncated</w:t>
            </w:r>
          </w:p>
        </w:tc>
        <w:tc>
          <w:tcPr>
            <w:tcW w:w="3300" w:type="dxa"/>
            <w:tcMar>
              <w:top w:w="80" w:type="dxa"/>
              <w:left w:w="120" w:type="dxa"/>
              <w:bottom w:w="80" w:type="dxa"/>
              <w:right w:w="120" w:type="dxa"/>
            </w:tcMar>
            <w:vAlign w:val="center"/>
          </w:tcPr>
          <w:p w14:paraId="48DCC60C">
            <w:pPr>
              <w:pStyle w:val="164"/>
            </w:pPr>
            <w:r>
              <w:t>任务终止 / 外部截断</w:t>
            </w:r>
          </w:p>
        </w:tc>
        <w:tc>
          <w:tcPr>
            <w:tcW w:w="3300" w:type="dxa"/>
            <w:tcMar>
              <w:top w:w="80" w:type="dxa"/>
              <w:left w:w="120" w:type="dxa"/>
              <w:bottom w:w="80" w:type="dxa"/>
              <w:right w:w="120" w:type="dxa"/>
            </w:tcMar>
            <w:vAlign w:val="center"/>
          </w:tcPr>
          <w:p w14:paraId="76807C9B">
            <w:pPr>
              <w:pStyle w:val="164"/>
            </w:pPr>
            <w:r>
              <w:t>影响是否自举</w:t>
            </w:r>
          </w:p>
        </w:tc>
      </w:tr>
      <w:tr w14:paraId="2952AB98">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49ECA5AD">
            <w:pPr>
              <w:pStyle w:val="164"/>
            </w:pPr>
            <w:r>
              <w:t>episode / rollout</w:t>
            </w:r>
          </w:p>
        </w:tc>
        <w:tc>
          <w:tcPr>
            <w:tcW w:w="3300" w:type="dxa"/>
            <w:tcMar>
              <w:top w:w="80" w:type="dxa"/>
              <w:left w:w="120" w:type="dxa"/>
              <w:bottom w:w="80" w:type="dxa"/>
              <w:right w:w="120" w:type="dxa"/>
            </w:tcMar>
            <w:vAlign w:val="center"/>
          </w:tcPr>
          <w:p w14:paraId="7493C29F">
            <w:pPr>
              <w:pStyle w:val="164"/>
            </w:pPr>
            <w:r>
              <w:t>完整任务 / 训练采样批次</w:t>
            </w:r>
          </w:p>
        </w:tc>
        <w:tc>
          <w:tcPr>
            <w:tcW w:w="3300" w:type="dxa"/>
            <w:tcMar>
              <w:top w:w="80" w:type="dxa"/>
              <w:left w:w="120" w:type="dxa"/>
              <w:bottom w:w="80" w:type="dxa"/>
              <w:right w:w="120" w:type="dxa"/>
            </w:tcMar>
            <w:vAlign w:val="center"/>
          </w:tcPr>
          <w:p w14:paraId="533315C3">
            <w:pPr>
              <w:pStyle w:val="164"/>
            </w:pPr>
            <w:r>
              <w:t>不要求一一对应</w:t>
            </w:r>
          </w:p>
        </w:tc>
      </w:tr>
      <w:tr w14:paraId="2F8B81D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760" w:type="dxa"/>
            <w:tcMar>
              <w:top w:w="80" w:type="dxa"/>
              <w:left w:w="120" w:type="dxa"/>
              <w:bottom w:w="80" w:type="dxa"/>
              <w:right w:w="120" w:type="dxa"/>
            </w:tcMar>
            <w:vAlign w:val="center"/>
          </w:tcPr>
          <w:p w14:paraId="2B40BE9E">
            <w:pPr>
              <w:pStyle w:val="164"/>
            </w:pPr>
            <w:r>
              <w:t>BC / DT</w:t>
            </w:r>
          </w:p>
        </w:tc>
        <w:tc>
          <w:tcPr>
            <w:tcW w:w="3300" w:type="dxa"/>
            <w:tcMar>
              <w:top w:w="80" w:type="dxa"/>
              <w:left w:w="120" w:type="dxa"/>
              <w:bottom w:w="80" w:type="dxa"/>
              <w:right w:w="120" w:type="dxa"/>
            </w:tcMar>
            <w:vAlign w:val="center"/>
          </w:tcPr>
          <w:p w14:paraId="413C915B">
            <w:pPr>
              <w:pStyle w:val="164"/>
            </w:pPr>
            <w:r>
              <w:t>行为克隆 / 回报条件序列模型</w:t>
            </w:r>
          </w:p>
        </w:tc>
        <w:tc>
          <w:tcPr>
            <w:tcW w:w="3300" w:type="dxa"/>
            <w:tcMar>
              <w:top w:w="80" w:type="dxa"/>
              <w:left w:w="120" w:type="dxa"/>
              <w:bottom w:w="80" w:type="dxa"/>
              <w:right w:w="120" w:type="dxa"/>
            </w:tcMar>
            <w:vAlign w:val="center"/>
          </w:tcPr>
          <w:p w14:paraId="5B88722B">
            <w:pPr>
              <w:pStyle w:val="164"/>
            </w:pPr>
            <w:r>
              <w:t>不是所有Transformer都叫DT</w:t>
            </w:r>
          </w:p>
        </w:tc>
      </w:tr>
    </w:tbl>
    <w:p w14:paraId="7DD169EE">
      <w:pPr>
        <w:pStyle w:val="165"/>
      </w:pPr>
    </w:p>
    <w:p w14:paraId="579B24EA">
      <w:r>
        <w:t>单位约定：位置、队列和道路长度用米；速度用米/秒；时间用秒；覆盖比例用0至1；不确定性需按方法标明标准差、方差或区间宽度。日志中同时保存原始物理单位与必要的归一化值，避免复现时无法还原。</w:t>
      </w:r>
    </w:p>
    <w:p w14:paraId="0EFBEF3D">
      <w:pPr>
        <w:pStyle w:val="3"/>
        <w:pageBreakBefore/>
      </w:pPr>
      <w:bookmarkStart w:id="48" w:name="chapter_25"/>
      <w:r>
        <w:t>附录B 配置草案与参数依据</w:t>
      </w:r>
      <w:bookmarkEnd w:id="48"/>
    </w:p>
    <w:p w14:paraId="7A17B3D9">
      <w:pPr>
        <w:pStyle w:val="4"/>
      </w:pPr>
      <w:r>
        <w:t>B.1 可填写配置模板</w:t>
      </w:r>
    </w:p>
    <w:p w14:paraId="02E2AD80">
      <w:r>
        <w:t>以下是配置结构示例，null表示必须选择或测量后填写。不能把null静默替换成任意默认值。代码骨架与正式实验应读取同一配置来源。</w:t>
      </w:r>
    </w:p>
    <w:p w14:paraId="09DE5E6F">
      <w:pPr>
        <w:pStyle w:val="15"/>
        <w:keepNext/>
      </w:pPr>
      <w:r>
        <w:t>配置模板</w:t>
      </w:r>
    </w:p>
    <w:p w14:paraId="40F910FB">
      <w:pPr>
        <w:pStyle w:val="171"/>
      </w:pPr>
      <w:r>
        <w:t>schema_version: probe_rl_v1_draft</w:t>
      </w:r>
    </w:p>
    <w:p w14:paraId="5C79899B">
      <w:pPr>
        <w:pStyle w:val="171"/>
      </w:pPr>
      <w:r>
        <w:t>task:</w:t>
      </w:r>
    </w:p>
    <w:p w14:paraId="7C09AD05">
      <w:pPr>
        <w:pStyle w:val="171"/>
      </w:pPr>
      <w:r>
        <w:t xml:space="preserve">  objective: tracking_plus_terminal  # 待定D01</w:t>
      </w:r>
    </w:p>
    <w:p w14:paraId="0089E516">
      <w:pPr>
        <w:pStyle w:val="171"/>
      </w:pPr>
      <w:r>
        <w:t xml:space="preserve">  budget_seconds: null              # 待定D16</w:t>
      </w:r>
    </w:p>
    <w:p w14:paraId="568BC0DA">
      <w:pPr>
        <w:pStyle w:val="171"/>
      </w:pPr>
      <w:r>
        <w:t xml:space="preserve">  target_lane_ids: []               # 待定D02</w:t>
      </w:r>
    </w:p>
    <w:p w14:paraId="4B7BFC01">
      <w:pPr>
        <w:pStyle w:val="171"/>
      </w:pPr>
      <w:r>
        <w:t xml:space="preserve">  monitored_length_m: null</w:t>
      </w:r>
    </w:p>
    <w:p w14:paraId="687CCD68">
      <w:pPr>
        <w:pStyle w:val="171"/>
      </w:pPr>
      <w:r>
        <w:t xml:space="preserve">  queue_definition_version: null</w:t>
      </w:r>
    </w:p>
    <w:p w14:paraId="3C688253">
      <w:pPr>
        <w:pStyle w:val="171"/>
      </w:pPr>
      <w:r>
        <w:t>map:</w:t>
      </w:r>
    </w:p>
    <w:p w14:paraId="7C7EA8C6">
      <w:pPr>
        <w:pStyle w:val="171"/>
      </w:pPr>
      <w:r>
        <w:t xml:space="preserve">  network_file: null</w:t>
      </w:r>
    </w:p>
    <w:p w14:paraId="40831FE4">
      <w:pPr>
        <w:pStyle w:val="171"/>
      </w:pPr>
      <w:r>
        <w:t xml:space="preserve">  navigation_region: null</w:t>
      </w:r>
    </w:p>
    <w:p w14:paraId="15C8D1E0">
      <w:pPr>
        <w:pStyle w:val="171"/>
      </w:pPr>
      <w:r>
        <w:t xml:space="preserve">  cell_length_m: 20.0               # 调试起点，不是最优值</w:t>
      </w:r>
    </w:p>
    <w:p w14:paraId="01A8AE1A">
      <w:pPr>
        <w:pStyle w:val="171"/>
      </w:pPr>
      <w:r>
        <w:t xml:space="preserve">  split_at_stoplines: true</w:t>
      </w:r>
    </w:p>
    <w:p w14:paraId="5ED7F645">
      <w:pPr>
        <w:pStyle w:val="171"/>
      </w:pPr>
      <w:r>
        <w:t>sensor:</w:t>
      </w:r>
    </w:p>
    <w:p w14:paraId="194C8E46">
      <w:pPr>
        <w:pStyle w:val="171"/>
      </w:pPr>
      <w:r>
        <w:t xml:space="preserve">  model: object_level</w:t>
      </w:r>
    </w:p>
    <w:p w14:paraId="76F6CF8E">
      <w:pPr>
        <w:pStyle w:val="171"/>
      </w:pPr>
      <w:r>
        <w:t xml:space="preserve">  range_m: null</w:t>
      </w:r>
    </w:p>
    <w:p w14:paraId="18FEF88A">
      <w:pPr>
        <w:pStyle w:val="171"/>
      </w:pPr>
      <w:r>
        <w:t xml:space="preserve">  field_of_view_deg: null</w:t>
      </w:r>
    </w:p>
    <w:p w14:paraId="2C597E10">
      <w:pPr>
        <w:pStyle w:val="171"/>
      </w:pPr>
      <w:r>
        <w:t xml:space="preserve">  occlusion_model: null</w:t>
      </w:r>
    </w:p>
    <w:p w14:paraId="6D748EEB">
      <w:pPr>
        <w:pStyle w:val="171"/>
      </w:pPr>
      <w:r>
        <w:t xml:space="preserve">  noise_model: null</w:t>
      </w:r>
    </w:p>
    <w:p w14:paraId="56D47257">
      <w:pPr>
        <w:pStyle w:val="171"/>
      </w:pPr>
      <w:r>
        <w:t xml:space="preserve">  latency_seconds: 0.0              # 首版简化假设</w:t>
      </w:r>
    </w:p>
    <w:p w14:paraId="5318836E">
      <w:pPr>
        <w:pStyle w:val="171"/>
      </w:pPr>
      <w:r>
        <w:t>clock:</w:t>
      </w:r>
    </w:p>
    <w:p w14:paraId="72B63ED6">
      <w:pPr>
        <w:pStyle w:val="171"/>
      </w:pPr>
      <w:r>
        <w:t xml:space="preserve">  simulation_dt: 0.1</w:t>
      </w:r>
    </w:p>
    <w:p w14:paraId="02F4B485">
      <w:pPr>
        <w:pStyle w:val="171"/>
      </w:pPr>
      <w:r>
        <w:t xml:space="preserve">  observation_ticks: 5</w:t>
      </w:r>
    </w:p>
    <w:p w14:paraId="02AD6F69">
      <w:pPr>
        <w:pStyle w:val="171"/>
      </w:pPr>
      <w:r>
        <w:t xml:space="preserve">  evaluation_ticks: 5</w:t>
      </w:r>
    </w:p>
    <w:p w14:paraId="78B60A40">
      <w:pPr>
        <w:pStyle w:val="171"/>
      </w:pPr>
      <w:r>
        <w:t xml:space="preserve">  decision_ticks: 10</w:t>
      </w:r>
    </w:p>
    <w:p w14:paraId="0DA53FB1">
      <w:pPr>
        <w:pStyle w:val="171"/>
      </w:pPr>
      <w:r>
        <w:t>estimator:</w:t>
      </w:r>
    </w:p>
    <w:p w14:paraId="1D3A28F3">
      <w:pPr>
        <w:pStyle w:val="171"/>
      </w:pPr>
      <w:r>
        <w:t xml:space="preserve">  checkpoint: null</w:t>
      </w:r>
    </w:p>
    <w:p w14:paraId="0B0F1284">
      <w:pPr>
        <w:pStyle w:val="171"/>
      </w:pPr>
      <w:r>
        <w:t xml:space="preserve">  frozen_during_policy_training: true</w:t>
      </w:r>
    </w:p>
    <w:p w14:paraId="415209EC">
      <w:pPr>
        <w:pStyle w:val="171"/>
      </w:pPr>
      <w:r>
        <w:t xml:space="preserve">  uncertainty_semantics: null</w:t>
      </w:r>
    </w:p>
    <w:p w14:paraId="5435655C">
      <w:pPr>
        <w:pStyle w:val="171"/>
      </w:pPr>
      <w:r>
        <w:t>action:</w:t>
      </w:r>
    </w:p>
    <w:p w14:paraId="0688F0EC">
      <w:pPr>
        <w:pStyle w:val="171"/>
      </w:pPr>
      <w:r>
        <w:t xml:space="preserve">  dictionary: six_behavior_templates_v1</w:t>
      </w:r>
    </w:p>
    <w:p w14:paraId="6305ACD5">
      <w:pPr>
        <w:pStyle w:val="171"/>
      </w:pPr>
      <w:r>
        <w:t xml:space="preserve">  decision_zone_definition: null</w:t>
      </w:r>
    </w:p>
    <w:p w14:paraId="4F4F73ED">
      <w:pPr>
        <w:pStyle w:val="171"/>
      </w:pPr>
      <w:r>
        <w:t xml:space="preserve">  commitment_rule_version: null</w:t>
      </w:r>
    </w:p>
    <w:p w14:paraId="0E9086AC">
      <w:pPr>
        <w:pStyle w:val="171"/>
      </w:pPr>
      <w:r>
        <w:t xml:space="preserve">  learn_speed: false</w:t>
      </w:r>
    </w:p>
    <w:p w14:paraId="0F2E3BF4">
      <w:pPr>
        <w:pStyle w:val="171"/>
      </w:pPr>
      <w:r>
        <w:t>reward:</w:t>
      </w:r>
    </w:p>
    <w:p w14:paraId="4B146875">
      <w:pPr>
        <w:pStyle w:val="171"/>
      </w:pPr>
      <w:r>
        <w:t xml:space="preserve">  reference_length_m: 100.0          # 仅示例缩放</w:t>
      </w:r>
    </w:p>
    <w:p w14:paraId="215665E8">
      <w:pPr>
        <w:pStyle w:val="171"/>
      </w:pPr>
      <w:r>
        <w:t xml:space="preserve">  terminal_error_weight: null</w:t>
      </w:r>
    </w:p>
    <w:p w14:paraId="304DC063">
      <w:pPr>
        <w:pStyle w:val="171"/>
      </w:pPr>
      <w:r>
        <w:t xml:space="preserve">  travel_cost_weight: null</w:t>
      </w:r>
    </w:p>
    <w:p w14:paraId="67FC8C2C">
      <w:pPr>
        <w:pStyle w:val="171"/>
      </w:pPr>
      <w:r>
        <w:t xml:space="preserve">  disturbance_weight: null</w:t>
      </w:r>
    </w:p>
    <w:p w14:paraId="058FE500">
      <w:pPr>
        <w:pStyle w:val="171"/>
      </w:pPr>
      <w:r>
        <w:t xml:space="preserve">  failure_scoring_version: null</w:t>
      </w:r>
    </w:p>
    <w:p w14:paraId="01F2E001">
      <w:pPr>
        <w:pStyle w:val="171"/>
      </w:pPr>
      <w:r>
        <w:t>algorithm:</w:t>
      </w:r>
    </w:p>
    <w:p w14:paraId="578482EA">
      <w:pPr>
        <w:pStyle w:val="171"/>
      </w:pPr>
      <w:r>
        <w:t xml:space="preserve">  baseline: masked_ppo</w:t>
      </w:r>
    </w:p>
    <w:p w14:paraId="562120AF">
      <w:pPr>
        <w:pStyle w:val="171"/>
      </w:pPr>
      <w:r>
        <w:t xml:space="preserve">  recurrent_extension: pending</w:t>
      </w:r>
    </w:p>
    <w:p w14:paraId="48C44130">
      <w:pPr>
        <w:pStyle w:val="171"/>
      </w:pPr>
      <w:r>
        <w:t xml:space="preserve">  gamma: 1.0                       # 对应有限预算无折扣目标</w:t>
      </w:r>
    </w:p>
    <w:p w14:paraId="5812F4C7">
      <w:pPr>
        <w:pStyle w:val="171"/>
      </w:pPr>
      <w:r>
        <w:t xml:space="preserve">  learning_rate: 0.0003             # 调试起点</w:t>
      </w:r>
    </w:p>
    <w:p w14:paraId="4C9BC9CF">
      <w:pPr>
        <w:pStyle w:val="171"/>
      </w:pPr>
      <w:r>
        <w:t xml:space="preserve">  clip_range: 0.2                  # 调试起点</w:t>
      </w:r>
    </w:p>
    <w:p w14:paraId="45EC8C42">
      <w:pPr>
        <w:pStyle w:val="171"/>
      </w:pPr>
      <w:r>
        <w:t xml:space="preserve">  gae_lambda: 0.95                 # 调试起点</w:t>
      </w:r>
    </w:p>
    <w:p w14:paraId="10464BE2">
      <w:pPr>
        <w:pStyle w:val="171"/>
      </w:pPr>
      <w:r>
        <w:t xml:space="preserve">  n_envs: null</w:t>
      </w:r>
    </w:p>
    <w:p w14:paraId="69D07A20">
      <w:pPr>
        <w:pStyle w:val="171"/>
      </w:pPr>
      <w:r>
        <w:t xml:space="preserve">  rollout_steps_per_env: null</w:t>
      </w:r>
    </w:p>
    <w:p w14:paraId="4A7A7022">
      <w:pPr>
        <w:pStyle w:val="171"/>
      </w:pPr>
      <w:r>
        <w:t xml:space="preserve">  sequence_length: null</w:t>
      </w:r>
    </w:p>
    <w:p w14:paraId="6C8D023E">
      <w:pPr>
        <w:pStyle w:val="171"/>
      </w:pPr>
      <w:r>
        <w:t>experiment:</w:t>
      </w:r>
    </w:p>
    <w:p w14:paraId="406B8CDD">
      <w:pPr>
        <w:pStyle w:val="171"/>
      </w:pPr>
      <w:r>
        <w:t xml:space="preserve">  training_scene_manifest: null</w:t>
      </w:r>
    </w:p>
    <w:p w14:paraId="4C368C87">
      <w:pPr>
        <w:pStyle w:val="171"/>
      </w:pPr>
      <w:r>
        <w:t xml:space="preserve">  validation_scene_manifest: null</w:t>
      </w:r>
    </w:p>
    <w:p w14:paraId="280BCB2F">
      <w:pPr>
        <w:pStyle w:val="171"/>
      </w:pPr>
      <w:r>
        <w:t xml:space="preserve">  test_scene_manifest: null</w:t>
      </w:r>
    </w:p>
    <w:p w14:paraId="4F251E5B">
      <w:pPr>
        <w:pStyle w:val="171"/>
      </w:pPr>
      <w:r>
        <w:t xml:space="preserve">  training_seeds: []</w:t>
      </w:r>
    </w:p>
    <w:p w14:paraId="3D1D0D78">
      <w:pPr>
        <w:pStyle w:val="171"/>
      </w:pPr>
      <w:r>
        <w:t xml:space="preserve">  software_lockfile: null</w:t>
      </w:r>
    </w:p>
    <w:p w14:paraId="253730B1">
      <w:pPr>
        <w:pStyle w:val="165"/>
      </w:pPr>
    </w:p>
    <w:p w14:paraId="23E08D7A">
      <w:pPr>
        <w:pStyle w:val="4"/>
      </w:pPr>
      <w:r>
        <w:t>B.2 选择参数时的先后顺序</w:t>
      </w:r>
    </w:p>
    <w:p w14:paraId="0FD516D6">
      <w:r>
        <w:t>先确定目标、允许信息和道路可达性，再确定预算与时钟；之后定义动作和奖励，最后选择网络与优化参数。调整γ不能修复未计入外围时间的问题，增加网络宽度不能修复观测泄漏。</w:t>
      </w:r>
    </w:p>
    <w:p w14:paraId="5840BA42">
      <w:r>
        <w:t>参考长度100米只控制数值缩放。如果研究目标区域更长，或把车道误差按各自长度归一化，实际车道权重可能变化，应重新说明目标。相同权重下的整体常数缩放与逐车道不同缩放不是一回事。</w:t>
      </w:r>
    </w:p>
    <w:p w14:paraId="6FF5D0C4">
      <w:pPr>
        <w:pStyle w:val="4"/>
      </w:pPr>
      <w:r>
        <w:t>B.3 实验运行清单</w:t>
      </w:r>
    </w:p>
    <w:p w14:paraId="1D93A51D">
      <w:r>
        <w:t>每次运行至少生成run_id、完整配置快照、代码版本、依赖版本、输入文件哈希、估计器哈希、训练与评测种子、累计样本数和输出位置。保存策略选择依据所用的允许信息配置，使不同实验的信息条件可以核对。</w:t>
      </w:r>
    </w:p>
    <w:p w14:paraId="6AADAEEB">
      <w:pPr>
        <w:pStyle w:val="3"/>
        <w:pageBreakBefore/>
      </w:pPr>
      <w:bookmarkStart w:id="49" w:name="chapter_26"/>
      <w:r>
        <w:t>附录C 核心伪代码与接口契约</w:t>
      </w:r>
      <w:bookmarkEnd w:id="49"/>
    </w:p>
    <w:p w14:paraId="622C84AC">
      <w:pPr>
        <w:pStyle w:val="4"/>
      </w:pPr>
      <w:r>
        <w:t>C.1 代码范围说明</w:t>
      </w:r>
    </w:p>
    <w:p w14:paraId="2E4B50A6">
      <w:pPr>
        <w:pStyle w:val="174"/>
      </w:pPr>
      <w:r>
        <w:t>本附录是供实现和评审使用的结构伪代码。它明确模块职责、计算顺序和数据字段，但SensorModel、Estimator、SimulatorAdapter等仍需按实际场景实现，不是一套可直接启动SUMO训练的完整项目。正式实现应以第22章的决策结果补齐配置和异常策略。</w:t>
      </w:r>
    </w:p>
    <w:p w14:paraId="1951AB2F">
      <w:pPr>
        <w:pStyle w:val="4"/>
      </w:pPr>
      <w:r>
        <w:t>C.2 数据对象</w:t>
      </w:r>
    </w:p>
    <w:p w14:paraId="7D335584">
      <w:pPr>
        <w:pStyle w:val="15"/>
        <w:keepNext/>
      </w:pPr>
      <w:r>
        <w:t>结构伪代码</w:t>
      </w:r>
    </w:p>
    <w:p w14:paraId="248CF01E">
      <w:pPr>
        <w:pStyle w:val="171"/>
        <w:keepNext/>
      </w:pPr>
      <w:r>
        <w:t>@dataclass</w:t>
      </w:r>
    </w:p>
    <w:p w14:paraId="6C061601">
      <w:pPr>
        <w:pStyle w:val="171"/>
        <w:keepNext/>
      </w:pPr>
      <w:r>
        <w:t>class SensorPacket:</w:t>
      </w:r>
    </w:p>
    <w:p w14:paraId="0C94C861">
      <w:pPr>
        <w:pStyle w:val="171"/>
      </w:pPr>
      <w:r>
        <w:t xml:space="preserve">    capture_time: float</w:t>
      </w:r>
    </w:p>
    <w:p w14:paraId="496D434B">
      <w:pPr>
        <w:pStyle w:val="171"/>
      </w:pPr>
      <w:r>
        <w:t xml:space="preserve">    receive_time: float</w:t>
      </w:r>
    </w:p>
    <w:p w14:paraId="015DF723">
      <w:pPr>
        <w:pStyle w:val="171"/>
      </w:pPr>
      <w:r>
        <w:t xml:space="preserve">    ego_pose_at_capture: object</w:t>
      </w:r>
    </w:p>
    <w:p w14:paraId="0FDA0532">
      <w:pPr>
        <w:pStyle w:val="171"/>
      </w:pPr>
      <w:r>
        <w:t xml:space="preserve">    detections: list</w:t>
      </w:r>
    </w:p>
    <w:p w14:paraId="63B506C8">
      <w:pPr>
        <w:pStyle w:val="171"/>
      </w:pPr>
      <w:r>
        <w:t xml:space="preserve">    visible_region: object</w:t>
      </w:r>
    </w:p>
    <w:p w14:paraId="60C91012">
      <w:pPr>
        <w:pStyle w:val="171"/>
      </w:pPr>
      <w:r>
        <w:t xml:space="preserve">    valid: bool</w:t>
      </w:r>
    </w:p>
    <w:p w14:paraId="06B6A8D4">
      <w:pPr>
        <w:pStyle w:val="171"/>
      </w:pPr>
      <w:r>
        <w:t xml:space="preserve"> </w:t>
      </w:r>
    </w:p>
    <w:p w14:paraId="431F616D">
      <w:pPr>
        <w:pStyle w:val="171"/>
        <w:keepNext/>
      </w:pPr>
      <w:r>
        <w:t>@dataclass</w:t>
      </w:r>
    </w:p>
    <w:p w14:paraId="4D7DA366">
      <w:pPr>
        <w:pStyle w:val="171"/>
        <w:keepNext/>
      </w:pPr>
      <w:r>
        <w:t>class EstimateReadout:</w:t>
      </w:r>
    </w:p>
    <w:p w14:paraId="3E42022C">
      <w:pPr>
        <w:pStyle w:val="171"/>
      </w:pPr>
      <w:r>
        <w:t xml:space="preserve">    target_time: float</w:t>
      </w:r>
    </w:p>
    <w:p w14:paraId="56750855">
      <w:pPr>
        <w:pStyle w:val="171"/>
      </w:pPr>
      <w:r>
        <w:t xml:space="preserve">    lane_ids: tuple</w:t>
      </w:r>
    </w:p>
    <w:p w14:paraId="0CB7D583">
      <w:pPr>
        <w:pStyle w:val="171"/>
      </w:pPr>
      <w:r>
        <w:t xml:space="preserve">    queue_length_m: ndarray</w:t>
      </w:r>
    </w:p>
    <w:p w14:paraId="3E90CBF7">
      <w:pPr>
        <w:pStyle w:val="171"/>
      </w:pPr>
      <w:r>
        <w:t xml:space="preserve">    uncertainty: ndarray</w:t>
      </w:r>
    </w:p>
    <w:p w14:paraId="0969D843">
      <w:pPr>
        <w:pStyle w:val="171"/>
      </w:pPr>
      <w:r>
        <w:t xml:space="preserve">    uncertainty_kind: str</w:t>
      </w:r>
    </w:p>
    <w:p w14:paraId="141FAE85">
      <w:pPr>
        <w:pStyle w:val="171"/>
      </w:pPr>
      <w:r>
        <w:t xml:space="preserve">    valid_mask: ndarray</w:t>
      </w:r>
    </w:p>
    <w:p w14:paraId="7D2BF739">
      <w:pPr>
        <w:pStyle w:val="171"/>
      </w:pPr>
      <w:r>
        <w:t xml:space="preserve">    overflow_flags: ndarray</w:t>
      </w:r>
    </w:p>
    <w:p w14:paraId="52E7D4D9">
      <w:pPr>
        <w:pStyle w:val="171"/>
      </w:pPr>
      <w:r>
        <w:t xml:space="preserve"> </w:t>
      </w:r>
    </w:p>
    <w:p w14:paraId="33F3BA94">
      <w:pPr>
        <w:pStyle w:val="171"/>
        <w:keepNext/>
      </w:pPr>
      <w:r>
        <w:t>@dataclass</w:t>
      </w:r>
    </w:p>
    <w:p w14:paraId="42E2E8CE">
      <w:pPr>
        <w:pStyle w:val="171"/>
        <w:keepNext/>
      </w:pPr>
      <w:r>
        <w:t>class ActionRequest:</w:t>
      </w:r>
    </w:p>
    <w:p w14:paraId="1AA75B00">
      <w:pPr>
        <w:pStyle w:val="171"/>
      </w:pPr>
      <w:r>
        <w:t xml:space="preserve">    request_id: str</w:t>
      </w:r>
    </w:p>
    <w:p w14:paraId="128AC31C">
      <w:pPr>
        <w:pStyle w:val="171"/>
      </w:pPr>
      <w:r>
        <w:t xml:space="preserve">    sampled_action_id: int</w:t>
      </w:r>
    </w:p>
    <w:p w14:paraId="058BF24F">
      <w:pPr>
        <w:pStyle w:val="171"/>
      </w:pPr>
      <w:r>
        <w:t xml:space="preserve">    target_lane_or_connection: str</w:t>
      </w:r>
    </w:p>
    <w:p w14:paraId="3B399177">
      <w:pPr>
        <w:pStyle w:val="171"/>
      </w:pPr>
      <w:r>
        <w:t xml:space="preserve">    path_fragment: tuple</w:t>
      </w:r>
    </w:p>
    <w:p w14:paraId="230AA072">
      <w:pPr>
        <w:pStyle w:val="171"/>
      </w:pPr>
      <w:r>
        <w:t xml:space="preserve">    created_at: float</w:t>
      </w:r>
    </w:p>
    <w:p w14:paraId="394485AA">
      <w:pPr>
        <w:pStyle w:val="171"/>
      </w:pPr>
      <w:r>
        <w:t xml:space="preserve">    completion_rule: str</w:t>
      </w:r>
    </w:p>
    <w:p w14:paraId="1D4D90B5">
      <w:pPr>
        <w:pStyle w:val="171"/>
      </w:pPr>
      <w:r>
        <w:t xml:space="preserve">    replan_rule: str</w:t>
      </w:r>
    </w:p>
    <w:p w14:paraId="1B75361E">
      <w:pPr>
        <w:pStyle w:val="165"/>
      </w:pPr>
    </w:p>
    <w:p w14:paraId="420AC3A2">
      <w:pPr>
        <w:pStyle w:val="174"/>
      </w:pPr>
      <w:r>
        <w:t>SensorPacket不含全域真实队列；EstimateReadout中的有效性不等于该估计必然正确；ActionRequest保留采样时编译出的目标身份。执行器可以返回accepted、pending、completed或failed等状态，不用实际动作覆盖采样动作。</w:t>
      </w:r>
    </w:p>
    <w:p w14:paraId="718B1EBB">
      <w:pPr>
        <w:pStyle w:val="4"/>
      </w:pPr>
      <w:r>
        <w:t>C.3 观测构造</w:t>
      </w:r>
    </w:p>
    <w:p w14:paraId="2ADF5CE6">
      <w:pPr>
        <w:pStyle w:val="15"/>
        <w:keepNext/>
      </w:pPr>
      <w:r>
        <w:t>结构伪代码</w:t>
      </w:r>
    </w:p>
    <w:p w14:paraId="02BDB0C9">
      <w:pPr>
        <w:pStyle w:val="171"/>
        <w:keepNext/>
      </w:pPr>
      <w:r>
        <w:t>def build_observation(allowed_view, estimate, memory, task):</w:t>
      </w:r>
    </w:p>
    <w:p w14:paraId="2A330DD9">
      <w:pPr>
        <w:pStyle w:val="171"/>
      </w:pPr>
      <w:r>
        <w:t xml:space="preserve">    # allowed_view只公开自车、局部观测和声明的已知信息</w:t>
      </w:r>
    </w:p>
    <w:p w14:paraId="6DB782B1">
      <w:pPr>
        <w:pStyle w:val="171"/>
      </w:pPr>
      <w:r>
        <w:t xml:space="preserve">    ego = encode_ego(allowed_view.ego)</w:t>
      </w:r>
    </w:p>
    <w:p w14:paraId="7D03E1A4">
      <w:pPr>
        <w:pStyle w:val="171"/>
      </w:pPr>
      <w:r>
        <w:t xml:space="preserve">    cells = encode_cell_memory(memory)</w:t>
      </w:r>
    </w:p>
    <w:p w14:paraId="1574E729">
      <w:pPr>
        <w:pStyle w:val="171"/>
      </w:pPr>
      <w:r>
        <w:t xml:space="preserve">    lanes = encode_estimate(estimate)</w:t>
      </w:r>
    </w:p>
    <w:p w14:paraId="09B2762C">
      <w:pPr>
        <w:pStyle w:val="171"/>
      </w:pPr>
      <w:r>
        <w:t xml:space="preserve">    task_features = encode_task(task)</w:t>
      </w:r>
    </w:p>
    <w:p w14:paraId="6E9F09FB">
      <w:pPr>
        <w:pStyle w:val="171"/>
      </w:pPr>
      <w:r>
        <w:t xml:space="preserve">    candidates = make_candidates(allowed_view, task)</w:t>
      </w:r>
    </w:p>
    <w:p w14:paraId="198D16CB">
      <w:pPr>
        <w:pStyle w:val="171"/>
      </w:pPr>
      <w:r>
        <w:t xml:space="preserve">    mask = make_request_mask(candidates, allowed_view, task)</w:t>
      </w:r>
    </w:p>
    <w:p w14:paraId="05EA34EE">
      <w:pPr>
        <w:pStyle w:val="171"/>
      </w:pPr>
      <w:r>
        <w:t xml:space="preserve">    if not mask.any():</w:t>
      </w:r>
    </w:p>
    <w:p w14:paraId="7F824124">
      <w:pPr>
        <w:pStyle w:val="171"/>
      </w:pPr>
      <w:r>
        <w:t xml:space="preserve">        raise EnvironmentLogicError("no fallback action")</w:t>
      </w:r>
    </w:p>
    <w:p w14:paraId="25855175">
      <w:pPr>
        <w:pStyle w:val="171"/>
      </w:pPr>
      <w:r>
        <w:t xml:space="preserve">    obs = {</w:t>
      </w:r>
    </w:p>
    <w:p w14:paraId="466A8781">
      <w:pPr>
        <w:pStyle w:val="171"/>
      </w:pPr>
      <w:r>
        <w:t xml:space="preserve">        "ego": ego,</w:t>
      </w:r>
    </w:p>
    <w:p w14:paraId="286E90E6">
      <w:pPr>
        <w:pStyle w:val="171"/>
      </w:pPr>
      <w:r>
        <w:t xml:space="preserve">        "cells": cells,</w:t>
      </w:r>
    </w:p>
    <w:p w14:paraId="589152FD">
      <w:pPr>
        <w:pStyle w:val="171"/>
      </w:pPr>
      <w:r>
        <w:t xml:space="preserve">        "lanes": lanes,</w:t>
      </w:r>
    </w:p>
    <w:p w14:paraId="3F45334E">
      <w:pPr>
        <w:pStyle w:val="171"/>
      </w:pPr>
      <w:r>
        <w:t xml:space="preserve">        "task": task_features,</w:t>
      </w:r>
    </w:p>
    <w:p w14:paraId="75DD0897">
      <w:pPr>
        <w:pStyle w:val="171"/>
      </w:pPr>
      <w:r>
        <w:t xml:space="preserve">        "candidates": candidates.public_features,</w:t>
      </w:r>
    </w:p>
    <w:p w14:paraId="0173AFDB">
      <w:pPr>
        <w:pStyle w:val="171"/>
      </w:pPr>
      <w:r>
        <w:t xml:space="preserve">    }</w:t>
      </w:r>
    </w:p>
    <w:p w14:paraId="2BAE5F85">
      <w:pPr>
        <w:pStyle w:val="171"/>
      </w:pPr>
      <w:r>
        <w:t xml:space="preserve">    obs = frozen_or_training_normalizer.transform(obs)</w:t>
      </w:r>
    </w:p>
    <w:p w14:paraId="60C392E2">
      <w:pPr>
        <w:pStyle w:val="171"/>
      </w:pPr>
      <w:r>
        <w:t xml:space="preserve">    return obs, mask, candidates.snapshot()</w:t>
      </w:r>
    </w:p>
    <w:p w14:paraId="5B3ED73B">
      <w:pPr>
        <w:pStyle w:val="165"/>
      </w:pPr>
    </w:p>
    <w:p w14:paraId="12032F10">
      <w:pPr>
        <w:pStyle w:val="174"/>
      </w:pPr>
      <w:r>
        <w:t>允许的训练归一化器可以在线累计训练统计，但验证与测试固定。函数不接收SimulatorTruth，避免误把教师字段接入。候选快照与mask一起缓存，用于解释下一次调用step时收到的动作。</w:t>
      </w:r>
    </w:p>
    <w:p w14:paraId="342FA835">
      <w:pPr>
        <w:pStyle w:val="4"/>
      </w:pPr>
      <w:r>
        <w:t>C.4 reset伪代码</w:t>
      </w:r>
    </w:p>
    <w:p w14:paraId="31B1E6F5">
      <w:pPr>
        <w:pStyle w:val="15"/>
        <w:keepNext/>
      </w:pPr>
      <w:r>
        <w:t>结构伪代码</w:t>
      </w:r>
    </w:p>
    <w:p w14:paraId="6DF656B4">
      <w:pPr>
        <w:pStyle w:val="171"/>
        <w:keepNext/>
      </w:pPr>
      <w:r>
        <w:t>def reset(self, seed=None, options=None):</w:t>
      </w:r>
    </w:p>
    <w:p w14:paraId="52BA0E36">
      <w:pPr>
        <w:pStyle w:val="171"/>
      </w:pPr>
      <w:r>
        <w:t xml:space="preserve">    super().reset(seed=seed)</w:t>
      </w:r>
    </w:p>
    <w:p w14:paraId="128A2625">
      <w:pPr>
        <w:pStyle w:val="171"/>
      </w:pPr>
      <w:r>
        <w:t xml:space="preserve">    scene = self.scene_sampler.sample(self.np_random, options)</w:t>
      </w:r>
    </w:p>
    <w:p w14:paraId="36037821">
      <w:pPr>
        <w:pStyle w:val="171"/>
      </w:pPr>
      <w:r>
        <w:t xml:space="preserve">    self.sim.start(scene)</w:t>
      </w:r>
    </w:p>
    <w:p w14:paraId="6664265A">
      <w:pPr>
        <w:pStyle w:val="171"/>
      </w:pPr>
      <w:r>
        <w:t xml:space="preserve">    self.sim.warm_up(scene.warmup_rule)</w:t>
      </w:r>
    </w:p>
    <w:p w14:paraId="78CF2DEA">
      <w:pPr>
        <w:pStyle w:val="171"/>
      </w:pPr>
      <w:r>
        <w:t xml:space="preserve">    self.sim.insert_probe_legally(scene.probe_start)</w:t>
      </w:r>
    </w:p>
    <w:p w14:paraId="7E24337A">
      <w:pPr>
        <w:pStyle w:val="171"/>
      </w:pPr>
      <w:r>
        <w:t xml:space="preserve">    self.executor.reset(scene.default_legal_route)</w:t>
      </w:r>
    </w:p>
    <w:p w14:paraId="76C43F89">
      <w:pPr>
        <w:pStyle w:val="171"/>
      </w:pPr>
      <w:r>
        <w:t xml:space="preserve">    self.tick = 0</w:t>
      </w:r>
    </w:p>
    <w:p w14:paraId="0DF689B3">
      <w:pPr>
        <w:pStyle w:val="171"/>
      </w:pPr>
      <w:r>
        <w:t xml:space="preserve">    self.last_score_time = 0.0</w:t>
      </w:r>
    </w:p>
    <w:p w14:paraId="20F1B245">
      <w:pPr>
        <w:pStyle w:val="171"/>
      </w:pPr>
      <w:r>
        <w:t xml:space="preserve">    self.reward_account.reset()</w:t>
      </w:r>
    </w:p>
    <w:p w14:paraId="5108B02A">
      <w:pPr>
        <w:pStyle w:val="171"/>
      </w:pPr>
      <w:r>
        <w:t xml:space="preserve">    self.cell_memory.clear()</w:t>
      </w:r>
    </w:p>
    <w:p w14:paraId="237E35C3">
      <w:pPr>
        <w:pStyle w:val="171"/>
      </w:pPr>
      <w:r>
        <w:t xml:space="preserve">    self.estimator.reset(self.allowed_prior(scene), time=0.0)</w:t>
      </w:r>
    </w:p>
    <w:p w14:paraId="7708F3B8">
      <w:pPr>
        <w:pStyle w:val="171"/>
      </w:pPr>
      <w:r>
        <w:t xml:space="preserve">    packet = self.sensor.capture(task_time=0.0)</w:t>
      </w:r>
    </w:p>
    <w:p w14:paraId="3FE76353">
      <w:pPr>
        <w:pStyle w:val="171"/>
      </w:pPr>
      <w:r>
        <w:t xml:space="preserve">    self.estimator.assimilate(packet)</w:t>
      </w:r>
    </w:p>
    <w:p w14:paraId="4AE2DC1E">
      <w:pPr>
        <w:pStyle w:val="171"/>
      </w:pPr>
      <w:r>
        <w:t xml:space="preserve">    self.cell_memory.update(packet)</w:t>
      </w:r>
    </w:p>
    <w:p w14:paraId="5CBC9BD8">
      <w:pPr>
        <w:pStyle w:val="171"/>
      </w:pPr>
      <w:r>
        <w:t xml:space="preserve">    estimate = self.estimator.readout(time=0.0)</w:t>
      </w:r>
    </w:p>
    <w:p w14:paraId="3E848E92">
      <w:pPr>
        <w:pStyle w:val="171"/>
      </w:pPr>
      <w:r>
        <w:t xml:space="preserve">    obs, mask, snapshot = self.observe(estimate)</w:t>
      </w:r>
    </w:p>
    <w:p w14:paraId="69ADB56A">
      <w:pPr>
        <w:pStyle w:val="171"/>
      </w:pPr>
      <w:r>
        <w:t xml:space="preserve">    self.cached_mask = mask</w:t>
      </w:r>
    </w:p>
    <w:p w14:paraId="0815F343">
      <w:pPr>
        <w:pStyle w:val="171"/>
      </w:pPr>
      <w:r>
        <w:t xml:space="preserve">    self.cached_candidates = snapshot</w:t>
      </w:r>
    </w:p>
    <w:p w14:paraId="77C6C52D">
      <w:pPr>
        <w:pStyle w:val="171"/>
      </w:pPr>
      <w:r>
        <w:t xml:space="preserve">    return obs, self.public_reset_info(mask)</w:t>
      </w:r>
    </w:p>
    <w:p w14:paraId="1417939E">
      <w:pPr>
        <w:pStyle w:val="165"/>
      </w:pPr>
    </w:p>
    <w:p w14:paraId="34C1D2D0">
      <w:pPr>
        <w:pStyle w:val="174"/>
      </w:pPr>
      <w:r>
        <w:t>allowed_prior不能直接读取此时隐藏队列。若插入等待计入任务成本，应改写计时起点并同步修改reward定义。是否把mask置于obs或独立接口，由所用算法适配器决定，语义必须一致。</w:t>
      </w:r>
    </w:p>
    <w:p w14:paraId="61C9FFFE">
      <w:pPr>
        <w:pStyle w:val="4"/>
      </w:pPr>
      <w:r>
        <w:t>C.5 step伪代码</w:t>
      </w:r>
    </w:p>
    <w:p w14:paraId="2812DF38">
      <w:pPr>
        <w:pStyle w:val="15"/>
        <w:keepNext/>
      </w:pPr>
      <w:r>
        <w:t>结构伪代码</w:t>
      </w:r>
    </w:p>
    <w:p w14:paraId="108D4819">
      <w:pPr>
        <w:pStyle w:val="171"/>
        <w:keepNext/>
      </w:pPr>
      <w:r>
        <w:t>def step(self, sampled_action):</w:t>
      </w:r>
    </w:p>
    <w:p w14:paraId="0876B825">
      <w:pPr>
        <w:pStyle w:val="171"/>
      </w:pPr>
      <w:r>
        <w:t xml:space="preserve">    request = self.compiler.compile(</w:t>
      </w:r>
    </w:p>
    <w:p w14:paraId="632A23DD">
      <w:pPr>
        <w:pStyle w:val="171"/>
      </w:pPr>
      <w:r>
        <w:t xml:space="preserve">        sampled_action, self.cached_candidates, self.cached_mask</w:t>
      </w:r>
    </w:p>
    <w:p w14:paraId="7581CD5C">
      <w:pPr>
        <w:pStyle w:val="171"/>
      </w:pPr>
      <w:r>
        <w:t xml:space="preserve">    )</w:t>
      </w:r>
    </w:p>
    <w:p w14:paraId="793A513C">
      <w:pPr>
        <w:pStyle w:val="171"/>
      </w:pPr>
      <w:r>
        <w:t xml:space="preserve">    self.executor.accept(request)</w:t>
      </w:r>
    </w:p>
    <w:p w14:paraId="5D31D643">
      <w:pPr>
        <w:pStyle w:val="171"/>
      </w:pPr>
      <w:r>
        <w:t xml:space="preserve">    self.reward_account.begin_interval()</w:t>
      </w:r>
    </w:p>
    <w:p w14:paraId="4141D800">
      <w:pPr>
        <w:pStyle w:val="171"/>
      </w:pPr>
      <w:r>
        <w:t xml:space="preserve">    stop_tick = min(</w:t>
      </w:r>
    </w:p>
    <w:p w14:paraId="417D1C25">
      <w:pPr>
        <w:pStyle w:val="171"/>
      </w:pPr>
      <w:r>
        <w:t xml:space="preserve">        self.tick + self.decision_ticks, self.budget_ticks</w:t>
      </w:r>
    </w:p>
    <w:p w14:paraId="484E2836">
      <w:pPr>
        <w:pStyle w:val="171"/>
      </w:pPr>
      <w:r>
        <w:t xml:space="preserve">    )</w:t>
      </w:r>
    </w:p>
    <w:p w14:paraId="332C8BF7">
      <w:pPr>
        <w:pStyle w:val="171"/>
      </w:pPr>
      <w:r>
        <w:t xml:space="preserve">    failure = None</w:t>
      </w:r>
    </w:p>
    <w:p w14:paraId="5CA11307">
      <w:pPr>
        <w:pStyle w:val="171"/>
      </w:pPr>
      <w:r>
        <w:t xml:space="preserve"> </w:t>
      </w:r>
    </w:p>
    <w:p w14:paraId="093F60BB">
      <w:pPr>
        <w:pStyle w:val="171"/>
      </w:pPr>
      <w:r>
        <w:t xml:space="preserve">    while self.tick &lt; stop_tick:</w:t>
      </w:r>
    </w:p>
    <w:p w14:paraId="12F7787A">
      <w:pPr>
        <w:pStyle w:val="171"/>
      </w:pPr>
      <w:r>
        <w:t xml:space="preserve">        command = self.executor.control(self.driver_view())</w:t>
      </w:r>
    </w:p>
    <w:p w14:paraId="47187B29">
      <w:pPr>
        <w:pStyle w:val="171"/>
      </w:pPr>
      <w:r>
        <w:t xml:space="preserve">        self.sim.apply(command)</w:t>
      </w:r>
    </w:p>
    <w:p w14:paraId="35223C61">
      <w:pPr>
        <w:pStyle w:val="171"/>
      </w:pPr>
      <w:r>
        <w:t xml:space="preserve">        self.sim.advance_one_tick()</w:t>
      </w:r>
    </w:p>
    <w:p w14:paraId="3D06CB31">
      <w:pPr>
        <w:pStyle w:val="171"/>
      </w:pPr>
      <w:r>
        <w:t xml:space="preserve">        self.tick += 1</w:t>
      </w:r>
    </w:p>
    <w:p w14:paraId="657B99BC">
      <w:pPr>
        <w:pStyle w:val="171"/>
      </w:pPr>
      <w:r>
        <w:t xml:space="preserve">        now = self.tick * self.simulation_dt</w:t>
      </w:r>
    </w:p>
    <w:p w14:paraId="07D7FECC">
      <w:pPr>
        <w:pStyle w:val="171"/>
      </w:pPr>
      <w:r>
        <w:t xml:space="preserve">        failure = self.detect_physical_task_failure()</w:t>
      </w:r>
    </w:p>
    <w:p w14:paraId="19402493">
      <w:pPr>
        <w:pStyle w:val="171"/>
      </w:pPr>
      <w:r>
        <w:t xml:space="preserve">        self.estimator.predict_to(now)</w:t>
      </w:r>
    </w:p>
    <w:p w14:paraId="58064F93">
      <w:pPr>
        <w:pStyle w:val="171"/>
      </w:pPr>
      <w:r>
        <w:t xml:space="preserve"> </w:t>
      </w:r>
    </w:p>
    <w:p w14:paraId="578EC95C">
      <w:pPr>
        <w:pStyle w:val="171"/>
      </w:pPr>
      <w:r>
        <w:t xml:space="preserve">        if failure is None and self.observation_due(self.tick):</w:t>
      </w:r>
    </w:p>
    <w:p w14:paraId="1E668EB8">
      <w:pPr>
        <w:pStyle w:val="171"/>
      </w:pPr>
      <w:r>
        <w:t xml:space="preserve">            packet = self.sensor.capture(task_time=now)</w:t>
      </w:r>
    </w:p>
    <w:p w14:paraId="1C11F21D">
      <w:pPr>
        <w:pStyle w:val="171"/>
      </w:pPr>
      <w:r>
        <w:t xml:space="preserve">            self.estimator.assimilate(packet)</w:t>
      </w:r>
    </w:p>
    <w:p w14:paraId="77B16D27">
      <w:pPr>
        <w:pStyle w:val="171"/>
      </w:pPr>
      <w:r>
        <w:t xml:space="preserve">            self.cell_memory.update(packet)</w:t>
      </w:r>
    </w:p>
    <w:p w14:paraId="13FFDA39">
      <w:pPr>
        <w:pStyle w:val="171"/>
      </w:pPr>
      <w:r>
        <w:t xml:space="preserve"> </w:t>
      </w:r>
    </w:p>
    <w:p w14:paraId="73E80FB1">
      <w:pPr>
        <w:pStyle w:val="171"/>
      </w:pPr>
      <w:r>
        <w:t xml:space="preserve">        at_budget = self.tick &gt;= self.budget_ticks</w:t>
      </w:r>
    </w:p>
    <w:p w14:paraId="06AD2710">
      <w:pPr>
        <w:pStyle w:val="171"/>
      </w:pPr>
      <w:r>
        <w:t xml:space="preserve">        if self.evaluation_due(self.tick) or failure or at_budget:</w:t>
      </w:r>
    </w:p>
    <w:p w14:paraId="678E5D27">
      <w:pPr>
        <w:pStyle w:val="171"/>
      </w:pPr>
      <w:r>
        <w:t xml:space="preserve">            prediction = self.estimator.readout(time=now)</w:t>
      </w:r>
    </w:p>
    <w:p w14:paraId="54BEA47C">
      <w:pPr>
        <w:pStyle w:val="171"/>
      </w:pPr>
      <w:r>
        <w:t xml:space="preserve">            truth = self.evaluator.target_truth(time=now)</w:t>
      </w:r>
    </w:p>
    <w:p w14:paraId="7A1D97B5">
      <w:pPr>
        <w:pStyle w:val="171"/>
      </w:pPr>
      <w:r>
        <w:t xml:space="preserve">            dt = now - self.last_score_time</w:t>
      </w:r>
    </w:p>
    <w:p w14:paraId="7F5C9228">
      <w:pPr>
        <w:pStyle w:val="171"/>
      </w:pPr>
      <w:r>
        <w:t xml:space="preserve">            self.reward_account.add_tracking(prediction, truth, dt)</w:t>
      </w:r>
    </w:p>
    <w:p w14:paraId="06D922F4">
      <w:pPr>
        <w:pStyle w:val="171"/>
      </w:pPr>
      <w:r>
        <w:t xml:space="preserve">            self.last_score_time = now</w:t>
      </w:r>
    </w:p>
    <w:p w14:paraId="16BD6F8E">
      <w:pPr>
        <w:pStyle w:val="171"/>
      </w:pPr>
      <w:r>
        <w:t xml:space="preserve"> </w:t>
      </w:r>
    </w:p>
    <w:p w14:paraId="37ED72CD">
      <w:pPr>
        <w:pStyle w:val="171"/>
      </w:pPr>
      <w:r>
        <w:t xml:space="preserve">        self.reward_account.add_costs(self.measure_cost_increment())</w:t>
      </w:r>
    </w:p>
    <w:p w14:paraId="0ECEAE57">
      <w:pPr>
        <w:pStyle w:val="171"/>
      </w:pPr>
      <w:r>
        <w:t xml:space="preserve">        if failure or at_budget:</w:t>
      </w:r>
    </w:p>
    <w:p w14:paraId="524BC123">
      <w:pPr>
        <w:pStyle w:val="171"/>
      </w:pPr>
      <w:r>
        <w:t xml:space="preserve">            break</w:t>
      </w:r>
    </w:p>
    <w:p w14:paraId="48CAD4F4">
      <w:pPr>
        <w:pStyle w:val="171"/>
      </w:pPr>
      <w:r>
        <w:t xml:space="preserve"> </w:t>
      </w:r>
    </w:p>
    <w:p w14:paraId="0F9E0710">
      <w:pPr>
        <w:pStyle w:val="171"/>
      </w:pPr>
      <w:r>
        <w:t xml:space="preserve">    terminated = bool(failure or self.tick &gt;= self.budget_ticks)</w:t>
      </w:r>
    </w:p>
    <w:p w14:paraId="1D80CAE4">
      <w:pPr>
        <w:pStyle w:val="171"/>
      </w:pPr>
      <w:r>
        <w:t xml:space="preserve">    truncated = False  # 本函数实现任务内固定预算</w:t>
      </w:r>
    </w:p>
    <w:p w14:paraId="341E9008">
      <w:pPr>
        <w:pStyle w:val="171"/>
      </w:pPr>
      <w:r>
        <w:t xml:space="preserve">    if terminated:</w:t>
      </w:r>
    </w:p>
    <w:p w14:paraId="01EE0675">
      <w:pPr>
        <w:pStyle w:val="171"/>
      </w:pPr>
      <w:r>
        <w:t xml:space="preserve">        self.reward_account.add_terminal_terms_once(failure)</w:t>
      </w:r>
    </w:p>
    <w:p w14:paraId="26AC8BE7">
      <w:pPr>
        <w:pStyle w:val="171"/>
      </w:pPr>
      <w:r>
        <w:t xml:space="preserve"> </w:t>
      </w:r>
    </w:p>
    <w:p w14:paraId="1C9C2DFB">
      <w:pPr>
        <w:pStyle w:val="171"/>
      </w:pPr>
      <w:r>
        <w:t xml:space="preserve">    next_obs, mask, snapshot = self.observe_terminal_safe()</w:t>
      </w:r>
    </w:p>
    <w:p w14:paraId="0F90DF48">
      <w:pPr>
        <w:pStyle w:val="171"/>
      </w:pPr>
      <w:r>
        <w:t xml:space="preserve">    self.cached_mask = mask</w:t>
      </w:r>
    </w:p>
    <w:p w14:paraId="18D410D6">
      <w:pPr>
        <w:pStyle w:val="171"/>
      </w:pPr>
      <w:r>
        <w:t xml:space="preserve">    self.cached_candidates = snapshot</w:t>
      </w:r>
    </w:p>
    <w:p w14:paraId="51695C0F">
      <w:pPr>
        <w:pStyle w:val="171"/>
      </w:pPr>
      <w:r>
        <w:t xml:space="preserve">    info = self.diagnostics(failure, mask)</w:t>
      </w:r>
    </w:p>
    <w:p w14:paraId="15F8EDBD">
      <w:pPr>
        <w:pStyle w:val="171"/>
      </w:pPr>
      <w:r>
        <w:t xml:space="preserve">    reward = self.reward_account.interval_total()</w:t>
      </w:r>
    </w:p>
    <w:p w14:paraId="1B03671D">
      <w:pPr>
        <w:pStyle w:val="171"/>
      </w:pPr>
      <w:r>
        <w:t xml:space="preserve">    return next_obs, reward, terminated, truncated, info</w:t>
      </w:r>
    </w:p>
    <w:p w14:paraId="002EF804">
      <w:pPr>
        <w:pStyle w:val="165"/>
      </w:pPr>
    </w:p>
    <w:p w14:paraId="64E4D706">
      <w:pPr>
        <w:pStyle w:val="174"/>
      </w:pPr>
      <w:r>
        <w:t>评价器按右端点估计与对应时长构成离散积分近似。若决策间隔不与评价间隔整除，还需在每次step末端处理未结算尾段；本首版配置要求两者整除。预算或失败的末段在代码中强制结算。基础设施异常由外层隔离，不在这里伪装为正常truncated样本。</w:t>
      </w:r>
    </w:p>
    <w:p w14:paraId="44798139">
      <w:pPr>
        <w:pStyle w:val="174"/>
      </w:pPr>
      <w:r>
        <w:t>observe_terminal_safe在车辆失效时返回明确的终点观测及有效性标志，不读取不存在车辆而崩溃。终点项只结算一次。奖励中的成本增量必须与单次tick对应，避免每次重复累计全程总里程。</w:t>
      </w:r>
    </w:p>
    <w:p w14:paraId="09D27AFB">
      <w:pPr>
        <w:pStyle w:val="4"/>
      </w:pPr>
      <w:r>
        <w:t>C.6 奖励账户的核心算式</w:t>
      </w:r>
    </w:p>
    <w:p w14:paraId="60B11678">
      <w:pPr>
        <w:pStyle w:val="15"/>
        <w:keepNext/>
      </w:pPr>
      <w:r>
        <w:t>结构伪代码</w:t>
      </w:r>
    </w:p>
    <w:p w14:paraId="469C474F">
      <w:pPr>
        <w:pStyle w:val="171"/>
        <w:keepNext/>
      </w:pPr>
      <w:r>
        <w:t>def tracking_reward(estimate_m, truth_m, dt, budget, length_ref):</w:t>
      </w:r>
    </w:p>
    <w:p w14:paraId="4322FACD">
      <w:pPr>
        <w:pStyle w:val="171"/>
      </w:pPr>
      <w:r>
        <w:t xml:space="preserve">    mae_m = mean(abs(estimate_m - truth_m))</w:t>
      </w:r>
    </w:p>
    <w:p w14:paraId="4409051E">
      <w:pPr>
        <w:pStyle w:val="171"/>
      </w:pPr>
      <w:r>
        <w:t xml:space="preserve">    return -(dt / budget) * (mae_m / length_ref)</w:t>
      </w:r>
    </w:p>
    <w:p w14:paraId="22126575">
      <w:pPr>
        <w:pStyle w:val="171"/>
      </w:pPr>
      <w:r>
        <w:t xml:space="preserve"> </w:t>
      </w:r>
    </w:p>
    <w:p w14:paraId="10A2DF80">
      <w:pPr>
        <w:pStyle w:val="171"/>
        <w:keepNext/>
      </w:pPr>
      <w:r>
        <w:t>def terminal_reward(estimate_m, truth_m, beta, length_ref):</w:t>
      </w:r>
    </w:p>
    <w:p w14:paraId="565504D6">
      <w:pPr>
        <w:pStyle w:val="171"/>
      </w:pPr>
      <w:r>
        <w:t xml:space="preserve">    mae_m = mean(abs(estimate_m - truth_m))</w:t>
      </w:r>
    </w:p>
    <w:p w14:paraId="11DB7505">
      <w:pPr>
        <w:pStyle w:val="171"/>
      </w:pPr>
      <w:r>
        <w:t xml:space="preserve">    return -beta * mae_m / length_ref</w:t>
      </w:r>
    </w:p>
    <w:p w14:paraId="5DD0D92D">
      <w:pPr>
        <w:pStyle w:val="165"/>
      </w:pPr>
    </w:p>
    <w:p w14:paraId="2C5C24B9">
      <w:pPr>
        <w:pStyle w:val="174"/>
      </w:pPr>
      <w:r>
        <w:t>代码假设所有目标车道都有按任务定义可用的估计输出。不能为降低误差而丢弃不确定或未观测车道。若定义允许缺失输出，应给出相应失败或惩罚规则；目标集合不能随策略表现任意缩小。</w:t>
      </w:r>
    </w:p>
    <w:p w14:paraId="1CC82C34">
      <w:pPr>
        <w:pStyle w:val="4"/>
      </w:pPr>
      <w:r>
        <w:t>C.7 采样与终点适配</w:t>
      </w:r>
    </w:p>
    <w:p w14:paraId="2BE39520">
      <w:pPr>
        <w:pStyle w:val="15"/>
        <w:keepNext/>
      </w:pPr>
      <w:r>
        <w:t>结构伪代码</w:t>
      </w:r>
    </w:p>
    <w:p w14:paraId="79D1EEF2">
      <w:pPr>
        <w:pStyle w:val="171"/>
      </w:pPr>
      <w:r>
        <w:t>while rollout_not_full:</w:t>
      </w:r>
    </w:p>
    <w:p w14:paraId="0A18578A">
      <w:pPr>
        <w:pStyle w:val="171"/>
      </w:pPr>
      <w:r>
        <w:t xml:space="preserve">    # 使用当前策略版本；循环状态按环境分别维护</w:t>
      </w:r>
    </w:p>
    <w:p w14:paraId="357665F6">
      <w:pPr>
        <w:pStyle w:val="171"/>
      </w:pPr>
      <w:r>
        <w:t xml:space="preserve">    action, logp_old, value_old, next_hidden = policy.act(</w:t>
      </w:r>
    </w:p>
    <w:p w14:paraId="00AB6F51">
      <w:pPr>
        <w:pStyle w:val="171"/>
      </w:pPr>
      <w:r>
        <w:t xml:space="preserve">        obs, action_mask, hidden, episode_start</w:t>
      </w:r>
    </w:p>
    <w:p w14:paraId="35AC0CE9">
      <w:pPr>
        <w:pStyle w:val="171"/>
      </w:pPr>
      <w:r>
        <w:t xml:space="preserve">    )</w:t>
      </w:r>
    </w:p>
    <w:p w14:paraId="33A094C5">
      <w:pPr>
        <w:pStyle w:val="171"/>
      </w:pPr>
      <w:r>
        <w:t xml:space="preserve">    transition = vector_env_adapter.step(action)</w:t>
      </w:r>
    </w:p>
    <w:p w14:paraId="5B96FD2B">
      <w:pPr>
        <w:pStyle w:val="171"/>
      </w:pPr>
      <w:r>
        <w:t xml:space="preserve">    # true_next_obs区别于自动reset后的reset_obs</w:t>
      </w:r>
    </w:p>
    <w:p w14:paraId="4EBF95C8">
      <w:pPr>
        <w:pStyle w:val="171"/>
      </w:pPr>
      <w:r>
        <w:t xml:space="preserve">    next_value = policy.value_for_transition_end(</w:t>
      </w:r>
    </w:p>
    <w:p w14:paraId="21BE61B5">
      <w:pPr>
        <w:pStyle w:val="171"/>
      </w:pPr>
      <w:r>
        <w:t xml:space="preserve">        transition.true_next_obs, next_hidden, action</w:t>
      </w:r>
    </w:p>
    <w:p w14:paraId="7173E584">
      <w:pPr>
        <w:pStyle w:val="171"/>
      </w:pPr>
      <w:r>
        <w:t xml:space="preserve">    )</w:t>
      </w:r>
    </w:p>
    <w:p w14:paraId="33DE58FD">
      <w:pPr>
        <w:pStyle w:val="171"/>
      </w:pPr>
      <w:r>
        <w:t xml:space="preserve">    buffer.add(</w:t>
      </w:r>
    </w:p>
    <w:p w14:paraId="5036EABC">
      <w:pPr>
        <w:pStyle w:val="171"/>
      </w:pPr>
      <w:r>
        <w:t xml:space="preserve">        obs=obs, action=action, reward=transition.reward,</w:t>
      </w:r>
    </w:p>
    <w:p w14:paraId="44385847">
      <w:pPr>
        <w:pStyle w:val="171"/>
      </w:pPr>
      <w:r>
        <w:t xml:space="preserve">        old_logp=logp_old, old_value=value_old,</w:t>
      </w:r>
    </w:p>
    <w:p w14:paraId="1BF47F92">
      <w:pPr>
        <w:pStyle w:val="171"/>
      </w:pPr>
      <w:r>
        <w:t xml:space="preserve">        next_value=next_value, action_mask=action_mask,</w:t>
      </w:r>
    </w:p>
    <w:p w14:paraId="11EC4CD5">
      <w:pPr>
        <w:pStyle w:val="171"/>
      </w:pPr>
      <w:r>
        <w:t xml:space="preserve">        terminated=transition.terminated,</w:t>
      </w:r>
    </w:p>
    <w:p w14:paraId="572B926E">
      <w:pPr>
        <w:pStyle w:val="171"/>
      </w:pPr>
      <w:r>
        <w:t xml:space="preserve">        truncated=transition.truncated,</w:t>
      </w:r>
    </w:p>
    <w:p w14:paraId="28A8C36C">
      <w:pPr>
        <w:pStyle w:val="171"/>
      </w:pPr>
      <w:r>
        <w:t xml:space="preserve">        hidden_before=hidden, episode_start=episode_start</w:t>
      </w:r>
    </w:p>
    <w:p w14:paraId="32D74BA5">
      <w:pPr>
        <w:pStyle w:val="171"/>
      </w:pPr>
      <w:r>
        <w:t xml:space="preserve">    )</w:t>
      </w:r>
    </w:p>
    <w:p w14:paraId="14DF5023">
      <w:pPr>
        <w:pStyle w:val="171"/>
      </w:pPr>
      <w:r>
        <w:t xml:space="preserve">    obs, action_mask, hidden, episode_start = adapter.prepare_next_action(</w:t>
      </w:r>
    </w:p>
    <w:p w14:paraId="6355290A">
      <w:pPr>
        <w:pStyle w:val="171"/>
      </w:pPr>
      <w:r>
        <w:t xml:space="preserve">        transition, next_hidden</w:t>
      </w:r>
    </w:p>
    <w:p w14:paraId="600545EE">
      <w:pPr>
        <w:pStyle w:val="171"/>
      </w:pPr>
      <w:r>
        <w:t xml:space="preserve">    )</w:t>
      </w:r>
    </w:p>
    <w:p w14:paraId="3E3F14C4">
      <w:pPr>
        <w:pStyle w:val="165"/>
      </w:pPr>
    </w:p>
    <w:p w14:paraId="272A9277">
      <w:pPr>
        <w:pStyle w:val="174"/>
      </w:pPr>
      <w:r>
        <w:t>真实终止的next_value在目标中屏蔽；有效外部截断需要终点信息下的预测。若记录候选可变列表，也把其快照保存到buffer。真实reset后清空对应环境的循环状态，不清空其他环境。</w:t>
      </w:r>
    </w:p>
    <w:p w14:paraId="07ECF922">
      <w:pPr>
        <w:pStyle w:val="4"/>
      </w:pPr>
      <w:r>
        <w:t>C.8 GAE计算</w:t>
      </w:r>
    </w:p>
    <w:p w14:paraId="1D40AD28">
      <w:pPr>
        <w:pStyle w:val="15"/>
        <w:keepNext/>
      </w:pPr>
      <w:r>
        <w:t>结构伪代码</w:t>
      </w:r>
    </w:p>
    <w:p w14:paraId="3CE65668">
      <w:pPr>
        <w:pStyle w:val="171"/>
      </w:pPr>
      <w:r>
        <w:t>next_advantage = zeros(number_of_envs)</w:t>
      </w:r>
    </w:p>
    <w:p w14:paraId="4F7EEED4">
      <w:pPr>
        <w:pStyle w:val="171"/>
      </w:pPr>
      <w:r>
        <w:t>for k in reversed(range(rollout_length)):</w:t>
      </w:r>
    </w:p>
    <w:p w14:paraId="4887BEA6">
      <w:pPr>
        <w:pStyle w:val="171"/>
      </w:pPr>
      <w:r>
        <w:t xml:space="preserve">    bootstrap = 1.0 - terminated[k]</w:t>
      </w:r>
    </w:p>
    <w:p w14:paraId="1354491E">
      <w:pPr>
        <w:pStyle w:val="171"/>
      </w:pPr>
      <w:r>
        <w:t xml:space="preserve">    delta = (</w:t>
      </w:r>
    </w:p>
    <w:p w14:paraId="16407387">
      <w:pPr>
        <w:pStyle w:val="171"/>
      </w:pPr>
      <w:r>
        <w:t xml:space="preserve">        reward[k]</w:t>
      </w:r>
    </w:p>
    <w:p w14:paraId="1EB705D9">
      <w:pPr>
        <w:pStyle w:val="171"/>
      </w:pPr>
      <w:r>
        <w:t xml:space="preserve">        + gamma * bootstrap * next_value[k]</w:t>
      </w:r>
    </w:p>
    <w:p w14:paraId="7C17E245">
      <w:pPr>
        <w:pStyle w:val="171"/>
      </w:pPr>
      <w:r>
        <w:t xml:space="preserve">        - old_value[k]</w:t>
      </w:r>
    </w:p>
    <w:p w14:paraId="2C5570F3">
      <w:pPr>
        <w:pStyle w:val="171"/>
      </w:pPr>
      <w:r>
        <w:t xml:space="preserve">    )</w:t>
      </w:r>
    </w:p>
    <w:p w14:paraId="1DA383B0">
      <w:pPr>
        <w:pStyle w:val="171"/>
      </w:pPr>
      <w:r>
        <w:t xml:space="preserve">    # trace_continue为0时不连接下一回合或缓冲区外记录</w:t>
      </w:r>
    </w:p>
    <w:p w14:paraId="3E35C06C">
      <w:pPr>
        <w:pStyle w:val="171"/>
      </w:pPr>
      <w:r>
        <w:t xml:space="preserve">    advantage[k] = (</w:t>
      </w:r>
    </w:p>
    <w:p w14:paraId="3A0F83F2">
      <w:pPr>
        <w:pStyle w:val="171"/>
      </w:pPr>
      <w:r>
        <w:t xml:space="preserve">        delta + gamma * gae_lambda</w:t>
      </w:r>
    </w:p>
    <w:p w14:paraId="5994870E">
      <w:pPr>
        <w:pStyle w:val="171"/>
      </w:pPr>
      <w:r>
        <w:t xml:space="preserve">        * trace_continue[k] * next_advantage</w:t>
      </w:r>
    </w:p>
    <w:p w14:paraId="10173CC7">
      <w:pPr>
        <w:pStyle w:val="171"/>
      </w:pPr>
      <w:r>
        <w:t xml:space="preserve">    )</w:t>
      </w:r>
    </w:p>
    <w:p w14:paraId="777143AB">
      <w:pPr>
        <w:pStyle w:val="171"/>
      </w:pPr>
      <w:r>
        <w:t xml:space="preserve">    next_advantage = advantage[k]</w:t>
      </w:r>
    </w:p>
    <w:p w14:paraId="03FBD3BC">
      <w:pPr>
        <w:pStyle w:val="171"/>
      </w:pPr>
      <w:r>
        <w:t>returns = advantage + old_value</w:t>
      </w:r>
    </w:p>
    <w:p w14:paraId="069EC2B1">
      <w:pPr>
        <w:pStyle w:val="165"/>
      </w:pPr>
    </w:p>
    <w:p w14:paraId="00FB26EF">
      <w:pPr>
        <w:pStyle w:val="174"/>
      </w:pPr>
      <w:r>
        <w:t>trace_continue应在任务结束、外部截断及rollout末端置0。外部截断的delta仍可含有效终点自举。循环训练的padding另有loss mask，不得让填充残差进入优势递推。</w:t>
      </w:r>
    </w:p>
    <w:p w14:paraId="4FB84DF6">
      <w:pPr>
        <w:pStyle w:val="4"/>
      </w:pPr>
      <w:r>
        <w:t>C.9 PPO更新</w:t>
      </w:r>
    </w:p>
    <w:p w14:paraId="440F7F29">
      <w:pPr>
        <w:pStyle w:val="15"/>
        <w:keepNext/>
      </w:pPr>
      <w:r>
        <w:t>结构伪代码</w:t>
      </w:r>
    </w:p>
    <w:p w14:paraId="1B6B923E">
      <w:pPr>
        <w:pStyle w:val="171"/>
      </w:pPr>
      <w:r>
        <w:t>for epoch in range(update_epochs):</w:t>
      </w:r>
    </w:p>
    <w:p w14:paraId="173B298A">
      <w:pPr>
        <w:pStyle w:val="171"/>
      </w:pPr>
      <w:r>
        <w:t xml:space="preserve">    for batch in sequence_or_feedforward_batches(buffer):</w:t>
      </w:r>
    </w:p>
    <w:p w14:paraId="28CE1463">
      <w:pPr>
        <w:pStyle w:val="171"/>
      </w:pPr>
      <w:r>
        <w:t xml:space="preserve">        logits, value = policy.forward_same_history(batch)</w:t>
      </w:r>
    </w:p>
    <w:p w14:paraId="2D6D22AD">
      <w:pPr>
        <w:pStyle w:val="171"/>
      </w:pPr>
      <w:r>
        <w:t xml:space="preserve">        distribution = masked_categorical(logits, batch.action_mask)</w:t>
      </w:r>
    </w:p>
    <w:p w14:paraId="1F55A9AA">
      <w:pPr>
        <w:pStyle w:val="171"/>
      </w:pPr>
      <w:r>
        <w:t xml:space="preserve">        logp = distribution.log_prob(batch.sampled_action)</w:t>
      </w:r>
    </w:p>
    <w:p w14:paraId="6D5A0C80">
      <w:pPr>
        <w:pStyle w:val="171"/>
      </w:pPr>
      <w:r>
        <w:t xml:space="preserve">        ratio = exp(logp - batch.old_logp)</w:t>
      </w:r>
    </w:p>
    <w:p w14:paraId="06933E16">
      <w:pPr>
        <w:pStyle w:val="171"/>
      </w:pPr>
      <w:r>
        <w:t xml:space="preserve">        adv = stop_gradient(batch.advantage)</w:t>
      </w:r>
    </w:p>
    <w:p w14:paraId="54B9277A">
      <w:pPr>
        <w:pStyle w:val="171"/>
      </w:pPr>
      <w:r>
        <w:t xml:space="preserve">        surrogate_1 = ratio * adv</w:t>
      </w:r>
    </w:p>
    <w:p w14:paraId="62EFF9F0">
      <w:pPr>
        <w:pStyle w:val="171"/>
      </w:pPr>
      <w:r>
        <w:t xml:space="preserve">        surrogate_2 = clip(ratio, 1-epsilon, 1+epsilon) * adv</w:t>
      </w:r>
    </w:p>
    <w:p w14:paraId="65A4BB27">
      <w:pPr>
        <w:pStyle w:val="171"/>
      </w:pPr>
      <w:r>
        <w:t xml:space="preserve">        actor_loss = -valid_mean(minimum(surrogate_1, surrogate_2))</w:t>
      </w:r>
    </w:p>
    <w:p w14:paraId="5EF5D6A1">
      <w:pPr>
        <w:pStyle w:val="171"/>
      </w:pPr>
      <w:r>
        <w:t xml:space="preserve">        critic_loss = valid_mean((value - batch.returns.detach()) ** 2)</w:t>
      </w:r>
    </w:p>
    <w:p w14:paraId="09D5806C">
      <w:pPr>
        <w:pStyle w:val="171"/>
      </w:pPr>
      <w:r>
        <w:t xml:space="preserve">        entropy = valid_mean(distribution.entropy())</w:t>
      </w:r>
    </w:p>
    <w:p w14:paraId="4FA48E03">
      <w:pPr>
        <w:pStyle w:val="171"/>
      </w:pPr>
      <w:r>
        <w:t xml:space="preserve">        loss = actor_loss + value_coef * critic_loss - entropy_coef * entropy</w:t>
      </w:r>
    </w:p>
    <w:p w14:paraId="4966B6AF">
      <w:pPr>
        <w:pStyle w:val="171"/>
      </w:pPr>
      <w:r>
        <w:t xml:space="preserve">        optimizer.zero_grad()</w:t>
      </w:r>
    </w:p>
    <w:p w14:paraId="3C76773E">
      <w:pPr>
        <w:pStyle w:val="171"/>
      </w:pPr>
      <w:r>
        <w:t xml:space="preserve">        loss.backward()</w:t>
      </w:r>
    </w:p>
    <w:p w14:paraId="4A6823B8">
      <w:pPr>
        <w:pStyle w:val="171"/>
      </w:pPr>
      <w:r>
        <w:t xml:space="preserve">        clip_grad_norm_(policy.parameters(), max_grad_norm)</w:t>
      </w:r>
    </w:p>
    <w:p w14:paraId="40E4352F">
      <w:pPr>
        <w:pStyle w:val="171"/>
      </w:pPr>
      <w:r>
        <w:t xml:space="preserve">        optimizer.step()</w:t>
      </w:r>
    </w:p>
    <w:p w14:paraId="38ED4FEF">
      <w:pPr>
        <w:pStyle w:val="165"/>
      </w:pPr>
    </w:p>
    <w:p w14:paraId="49BD1A17">
      <w:pPr>
        <w:pStyle w:val="174"/>
      </w:pPr>
      <w:r>
        <w:t>valid_mean排除padding，使用同一有效样本口径。masked_categorical需要正确处理无效动作与数值稳定性；不能直接计算0乘负无穷形成NaN。循环版forward_same_history必须遵守第16章的序列与隐藏状态规则。</w:t>
      </w:r>
    </w:p>
    <w:p w14:paraId="6F292B33">
      <w:pPr>
        <w:pStyle w:val="3"/>
        <w:pageBreakBefore/>
      </w:pPr>
      <w:bookmarkStart w:id="50" w:name="chapter_27"/>
      <w:r>
        <w:t>附录D 实现核对、故障定位与常见误解</w:t>
      </w:r>
      <w:bookmarkEnd w:id="50"/>
    </w:p>
    <w:p w14:paraId="7001C1EF">
      <w:pPr>
        <w:pStyle w:val="4"/>
      </w:pPr>
      <w:r>
        <w:t>D.1 上线训练前的环境核对</w:t>
      </w:r>
    </w:p>
    <w:p w14:paraId="640975DE">
      <w:pPr>
        <w:pStyle w:val="15"/>
        <w:keepNext/>
      </w:pPr>
      <w:r>
        <w:t>表 29  检查 / 预期结果</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2200"/>
        <w:gridCol w:w="3600"/>
        <w:gridCol w:w="3560"/>
      </w:tblGrid>
      <w:tr w14:paraId="04E6D272">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2200" w:type="dxa"/>
            <w:shd w:val="clear" w:color="auto" w:fill="E8EEF5"/>
            <w:tcMar>
              <w:top w:w="80" w:type="dxa"/>
              <w:left w:w="120" w:type="dxa"/>
              <w:bottom w:w="80" w:type="dxa"/>
              <w:right w:w="120" w:type="dxa"/>
            </w:tcMar>
            <w:vAlign w:val="center"/>
          </w:tcPr>
          <w:p w14:paraId="132DF95B">
            <w:pPr>
              <w:pStyle w:val="164"/>
              <w:keepNext/>
            </w:pPr>
            <w:r>
              <w:rPr>
                <w:b/>
              </w:rPr>
              <w:t>检查</w:t>
            </w:r>
          </w:p>
        </w:tc>
        <w:tc>
          <w:tcPr>
            <w:tcW w:w="3600" w:type="dxa"/>
            <w:shd w:val="clear" w:color="auto" w:fill="E8EEF5"/>
            <w:tcMar>
              <w:top w:w="80" w:type="dxa"/>
              <w:left w:w="120" w:type="dxa"/>
              <w:bottom w:w="80" w:type="dxa"/>
              <w:right w:w="120" w:type="dxa"/>
            </w:tcMar>
            <w:vAlign w:val="center"/>
          </w:tcPr>
          <w:p w14:paraId="5E1C4644">
            <w:pPr>
              <w:pStyle w:val="164"/>
              <w:keepNext/>
            </w:pPr>
            <w:r>
              <w:rPr>
                <w:b/>
              </w:rPr>
              <w:t>预期结果</w:t>
            </w:r>
          </w:p>
        </w:tc>
        <w:tc>
          <w:tcPr>
            <w:tcW w:w="3560" w:type="dxa"/>
            <w:shd w:val="clear" w:color="auto" w:fill="E8EEF5"/>
            <w:tcMar>
              <w:top w:w="80" w:type="dxa"/>
              <w:left w:w="120" w:type="dxa"/>
              <w:bottom w:w="80" w:type="dxa"/>
              <w:right w:w="120" w:type="dxa"/>
            </w:tcMar>
            <w:vAlign w:val="center"/>
          </w:tcPr>
          <w:p w14:paraId="40DF431E">
            <w:pPr>
              <w:pStyle w:val="164"/>
              <w:keepNext/>
            </w:pPr>
            <w:r>
              <w:rPr>
                <w:b/>
              </w:rPr>
              <w:t>失败通常意味着</w:t>
            </w:r>
          </w:p>
        </w:tc>
      </w:tr>
      <w:tr w14:paraId="428F8B2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EC2BE7A">
            <w:pPr>
              <w:pStyle w:val="164"/>
            </w:pPr>
            <w:r>
              <w:t>同格连续两步</w:t>
            </w:r>
          </w:p>
        </w:tc>
        <w:tc>
          <w:tcPr>
            <w:tcW w:w="3600" w:type="dxa"/>
            <w:tcMar>
              <w:top w:w="80" w:type="dxa"/>
              <w:left w:w="120" w:type="dxa"/>
              <w:bottom w:w="80" w:type="dxa"/>
              <w:right w:w="120" w:type="dxa"/>
            </w:tcMar>
            <w:vAlign w:val="center"/>
          </w:tcPr>
          <w:p w14:paraId="1DAFF5FA">
            <w:pPr>
              <w:pStyle w:val="164"/>
            </w:pPr>
            <w:r>
              <w:t>形成两条样本，预算正常减少</w:t>
            </w:r>
          </w:p>
        </w:tc>
        <w:tc>
          <w:tcPr>
            <w:tcW w:w="3560" w:type="dxa"/>
            <w:tcMar>
              <w:top w:w="80" w:type="dxa"/>
              <w:left w:w="120" w:type="dxa"/>
              <w:bottom w:w="80" w:type="dxa"/>
              <w:right w:w="120" w:type="dxa"/>
            </w:tcMar>
            <w:vAlign w:val="center"/>
          </w:tcPr>
          <w:p w14:paraId="1DEF626D">
            <w:pPr>
              <w:pStyle w:val="164"/>
            </w:pPr>
            <w:r>
              <w:t>把跨格错误当成唯一时间步</w:t>
            </w:r>
          </w:p>
        </w:tc>
      </w:tr>
      <w:tr w14:paraId="0DE8E7A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CB2DF3">
            <w:pPr>
              <w:pStyle w:val="164"/>
            </w:pPr>
            <w:r>
              <w:t>红灯等待</w:t>
            </w:r>
          </w:p>
        </w:tc>
        <w:tc>
          <w:tcPr>
            <w:tcW w:w="3600" w:type="dxa"/>
            <w:tcMar>
              <w:top w:w="80" w:type="dxa"/>
              <w:left w:w="120" w:type="dxa"/>
              <w:bottom w:w="80" w:type="dxa"/>
              <w:right w:w="120" w:type="dxa"/>
            </w:tcMar>
            <w:vAlign w:val="center"/>
          </w:tcPr>
          <w:p w14:paraId="4DFDA3B3">
            <w:pPr>
              <w:pStyle w:val="164"/>
            </w:pPr>
            <w:r>
              <w:t>车辆守规则，观测与估计继续</w:t>
            </w:r>
          </w:p>
        </w:tc>
        <w:tc>
          <w:tcPr>
            <w:tcW w:w="3560" w:type="dxa"/>
            <w:tcMar>
              <w:top w:w="80" w:type="dxa"/>
              <w:left w:w="120" w:type="dxa"/>
              <w:bottom w:w="80" w:type="dxa"/>
              <w:right w:w="120" w:type="dxa"/>
            </w:tcMar>
            <w:vAlign w:val="center"/>
          </w:tcPr>
          <w:p w14:paraId="3B1BF9D4">
            <w:pPr>
              <w:pStyle w:val="164"/>
            </w:pPr>
            <w:r>
              <w:t>运动、感知和任务时钟耦合错误</w:t>
            </w:r>
          </w:p>
        </w:tc>
      </w:tr>
      <w:tr w14:paraId="0E2900D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483D099">
            <w:pPr>
              <w:pStyle w:val="164"/>
            </w:pPr>
            <w:r>
              <w:t>视野外隐藏车辆</w:t>
            </w:r>
          </w:p>
        </w:tc>
        <w:tc>
          <w:tcPr>
            <w:tcW w:w="3600" w:type="dxa"/>
            <w:tcMar>
              <w:top w:w="80" w:type="dxa"/>
              <w:left w:w="120" w:type="dxa"/>
              <w:bottom w:w="80" w:type="dxa"/>
              <w:right w:w="120" w:type="dxa"/>
            </w:tcMar>
            <w:vAlign w:val="center"/>
          </w:tcPr>
          <w:p w14:paraId="194B5BD2">
            <w:pPr>
              <w:pStyle w:val="164"/>
            </w:pPr>
            <w:r>
              <w:t>不直接出现在局部输入</w:t>
            </w:r>
          </w:p>
        </w:tc>
        <w:tc>
          <w:tcPr>
            <w:tcW w:w="3560" w:type="dxa"/>
            <w:tcMar>
              <w:top w:w="80" w:type="dxa"/>
              <w:left w:w="120" w:type="dxa"/>
              <w:bottom w:w="80" w:type="dxa"/>
              <w:right w:w="120" w:type="dxa"/>
            </w:tcMar>
            <w:vAlign w:val="center"/>
          </w:tcPr>
          <w:p w14:paraId="6D7C03B1">
            <w:pPr>
              <w:pStyle w:val="164"/>
            </w:pPr>
            <w:r>
              <w:t>仿真真值泄漏</w:t>
            </w:r>
          </w:p>
        </w:tc>
      </w:tr>
      <w:tr w14:paraId="622082D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53EFC6D6">
            <w:pPr>
              <w:pStyle w:val="164"/>
            </w:pPr>
            <w:r>
              <w:t>部分覆盖单元</w:t>
            </w:r>
          </w:p>
        </w:tc>
        <w:tc>
          <w:tcPr>
            <w:tcW w:w="3600" w:type="dxa"/>
            <w:tcMar>
              <w:top w:w="80" w:type="dxa"/>
              <w:left w:w="120" w:type="dxa"/>
              <w:bottom w:w="80" w:type="dxa"/>
              <w:right w:w="120" w:type="dxa"/>
            </w:tcMar>
            <w:vAlign w:val="center"/>
          </w:tcPr>
          <w:p w14:paraId="4938289D">
            <w:pPr>
              <w:pStyle w:val="164"/>
            </w:pPr>
            <w:r>
              <w:t>保留覆盖与时间语义</w:t>
            </w:r>
          </w:p>
        </w:tc>
        <w:tc>
          <w:tcPr>
            <w:tcW w:w="3560" w:type="dxa"/>
            <w:tcMar>
              <w:top w:w="80" w:type="dxa"/>
              <w:left w:w="120" w:type="dxa"/>
              <w:bottom w:w="80" w:type="dxa"/>
              <w:right w:w="120" w:type="dxa"/>
            </w:tcMar>
            <w:vAlign w:val="center"/>
          </w:tcPr>
          <w:p w14:paraId="10BB8C11">
            <w:pPr>
              <w:pStyle w:val="164"/>
            </w:pPr>
            <w:r>
              <w:t>局部计数被当成完整真值</w:t>
            </w:r>
          </w:p>
        </w:tc>
      </w:tr>
      <w:tr w14:paraId="70FF411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EBDA729">
            <w:pPr>
              <w:pStyle w:val="164"/>
            </w:pPr>
            <w:r>
              <w:t>外围绕行</w:t>
            </w:r>
          </w:p>
        </w:tc>
        <w:tc>
          <w:tcPr>
            <w:tcW w:w="3600" w:type="dxa"/>
            <w:tcMar>
              <w:top w:w="80" w:type="dxa"/>
              <w:left w:w="120" w:type="dxa"/>
              <w:bottom w:w="80" w:type="dxa"/>
              <w:right w:w="120" w:type="dxa"/>
            </w:tcMar>
            <w:vAlign w:val="center"/>
          </w:tcPr>
          <w:p w14:paraId="31870507">
            <w:pPr>
              <w:pStyle w:val="164"/>
            </w:pPr>
            <w:r>
              <w:t>交通和奖励持续推进</w:t>
            </w:r>
          </w:p>
        </w:tc>
        <w:tc>
          <w:tcPr>
            <w:tcW w:w="3560" w:type="dxa"/>
            <w:tcMar>
              <w:top w:w="80" w:type="dxa"/>
              <w:left w:w="120" w:type="dxa"/>
              <w:bottom w:w="80" w:type="dxa"/>
              <w:right w:w="120" w:type="dxa"/>
            </w:tcMar>
            <w:vAlign w:val="center"/>
          </w:tcPr>
          <w:p w14:paraId="70E4FC46">
            <w:pPr>
              <w:pStyle w:val="164"/>
            </w:pPr>
            <w:r>
              <w:t>免费返回或冻结目标交通</w:t>
            </w:r>
          </w:p>
        </w:tc>
      </w:tr>
      <w:tr w14:paraId="305BB69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36B13AC2">
            <w:pPr>
              <w:pStyle w:val="164"/>
            </w:pPr>
            <w:r>
              <w:t>不足完整末步</w:t>
            </w:r>
          </w:p>
        </w:tc>
        <w:tc>
          <w:tcPr>
            <w:tcW w:w="3600" w:type="dxa"/>
            <w:tcMar>
              <w:top w:w="80" w:type="dxa"/>
              <w:left w:w="120" w:type="dxa"/>
              <w:bottom w:w="80" w:type="dxa"/>
              <w:right w:w="120" w:type="dxa"/>
            </w:tcMar>
            <w:vAlign w:val="center"/>
          </w:tcPr>
          <w:p w14:paraId="6A552666">
            <w:pPr>
              <w:pStyle w:val="164"/>
            </w:pPr>
            <w:r>
              <w:t>按实际持续时间结算</w:t>
            </w:r>
          </w:p>
        </w:tc>
        <w:tc>
          <w:tcPr>
            <w:tcW w:w="3560" w:type="dxa"/>
            <w:tcMar>
              <w:top w:w="80" w:type="dxa"/>
              <w:left w:w="120" w:type="dxa"/>
              <w:bottom w:w="80" w:type="dxa"/>
              <w:right w:w="120" w:type="dxa"/>
            </w:tcMar>
            <w:vAlign w:val="center"/>
          </w:tcPr>
          <w:p w14:paraId="61A1171E">
            <w:pPr>
              <w:pStyle w:val="164"/>
            </w:pPr>
            <w:r>
              <w:t>预算与奖励积分不一致</w:t>
            </w:r>
          </w:p>
        </w:tc>
      </w:tr>
      <w:tr w14:paraId="06775CD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28E6C282">
            <w:pPr>
              <w:pStyle w:val="164"/>
            </w:pPr>
            <w:r>
              <w:t>请求换道未完成</w:t>
            </w:r>
          </w:p>
        </w:tc>
        <w:tc>
          <w:tcPr>
            <w:tcW w:w="3600" w:type="dxa"/>
            <w:tcMar>
              <w:top w:w="80" w:type="dxa"/>
              <w:left w:w="120" w:type="dxa"/>
              <w:bottom w:w="80" w:type="dxa"/>
              <w:right w:w="120" w:type="dxa"/>
            </w:tcMar>
            <w:vAlign w:val="center"/>
          </w:tcPr>
          <w:p w14:paraId="1F3CF274">
            <w:pPr>
              <w:pStyle w:val="164"/>
            </w:pPr>
            <w:r>
              <w:t>记录pending及实际反馈</w:t>
            </w:r>
          </w:p>
        </w:tc>
        <w:tc>
          <w:tcPr>
            <w:tcW w:w="3560" w:type="dxa"/>
            <w:tcMar>
              <w:top w:w="80" w:type="dxa"/>
              <w:left w:w="120" w:type="dxa"/>
              <w:bottom w:w="80" w:type="dxa"/>
              <w:right w:w="120" w:type="dxa"/>
            </w:tcMar>
            <w:vAlign w:val="center"/>
          </w:tcPr>
          <w:p w14:paraId="7A9440B6">
            <w:pPr>
              <w:pStyle w:val="164"/>
            </w:pPr>
            <w:r>
              <w:t>请求动作被错误替换</w:t>
            </w:r>
          </w:p>
        </w:tc>
      </w:tr>
      <w:tr w14:paraId="3E125F7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C3C61A4">
            <w:pPr>
              <w:pStyle w:val="164"/>
            </w:pPr>
            <w:r>
              <w:t>预算内终止</w:t>
            </w:r>
          </w:p>
        </w:tc>
        <w:tc>
          <w:tcPr>
            <w:tcW w:w="3600" w:type="dxa"/>
            <w:tcMar>
              <w:top w:w="80" w:type="dxa"/>
              <w:left w:w="120" w:type="dxa"/>
              <w:bottom w:w="80" w:type="dxa"/>
              <w:right w:w="120" w:type="dxa"/>
            </w:tcMar>
            <w:vAlign w:val="center"/>
          </w:tcPr>
          <w:p w14:paraId="50646A8D">
            <w:pPr>
              <w:pStyle w:val="164"/>
            </w:pPr>
            <w:r>
              <w:t>不自举</w:t>
            </w:r>
          </w:p>
        </w:tc>
        <w:tc>
          <w:tcPr>
            <w:tcW w:w="3560" w:type="dxa"/>
            <w:tcMar>
              <w:top w:w="80" w:type="dxa"/>
              <w:left w:w="120" w:type="dxa"/>
              <w:bottom w:w="80" w:type="dxa"/>
              <w:right w:w="120" w:type="dxa"/>
            </w:tcMar>
            <w:vAlign w:val="center"/>
          </w:tcPr>
          <w:p w14:paraId="431E8023">
            <w:pPr>
              <w:pStyle w:val="164"/>
            </w:pPr>
            <w:r>
              <w:t>terminated定义错误</w:t>
            </w:r>
          </w:p>
        </w:tc>
      </w:tr>
      <w:tr w14:paraId="107AC32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7262C14F">
            <w:pPr>
              <w:pStyle w:val="164"/>
            </w:pPr>
            <w:r>
              <w:t>外部截断</w:t>
            </w:r>
          </w:p>
        </w:tc>
        <w:tc>
          <w:tcPr>
            <w:tcW w:w="3600" w:type="dxa"/>
            <w:tcMar>
              <w:top w:w="80" w:type="dxa"/>
              <w:left w:w="120" w:type="dxa"/>
              <w:bottom w:w="80" w:type="dxa"/>
              <w:right w:w="120" w:type="dxa"/>
            </w:tcMar>
            <w:vAlign w:val="center"/>
          </w:tcPr>
          <w:p w14:paraId="101BF1AF">
            <w:pPr>
              <w:pStyle w:val="164"/>
            </w:pPr>
            <w:r>
              <w:t>有效终点自举，不跨回合递推</w:t>
            </w:r>
          </w:p>
        </w:tc>
        <w:tc>
          <w:tcPr>
            <w:tcW w:w="3560" w:type="dxa"/>
            <w:tcMar>
              <w:top w:w="80" w:type="dxa"/>
              <w:left w:w="120" w:type="dxa"/>
              <w:bottom w:w="80" w:type="dxa"/>
              <w:right w:w="120" w:type="dxa"/>
            </w:tcMar>
            <w:vAlign w:val="center"/>
          </w:tcPr>
          <w:p w14:paraId="5F567DE9">
            <w:pPr>
              <w:pStyle w:val="164"/>
            </w:pPr>
            <w:r>
              <w:t>done掩码混用</w:t>
            </w:r>
          </w:p>
        </w:tc>
      </w:tr>
      <w:tr w14:paraId="760D892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737BF48">
            <w:pPr>
              <w:pStyle w:val="164"/>
            </w:pPr>
            <w:r>
              <w:t>自动reset</w:t>
            </w:r>
          </w:p>
        </w:tc>
        <w:tc>
          <w:tcPr>
            <w:tcW w:w="3600" w:type="dxa"/>
            <w:tcMar>
              <w:top w:w="80" w:type="dxa"/>
              <w:left w:w="120" w:type="dxa"/>
              <w:bottom w:w="80" w:type="dxa"/>
              <w:right w:w="120" w:type="dxa"/>
            </w:tcMar>
            <w:vAlign w:val="center"/>
          </w:tcPr>
          <w:p w14:paraId="250B8A3B">
            <w:pPr>
              <w:pStyle w:val="164"/>
            </w:pPr>
            <w:r>
              <w:t>区分终点和新初始观测</w:t>
            </w:r>
          </w:p>
        </w:tc>
        <w:tc>
          <w:tcPr>
            <w:tcW w:w="3560" w:type="dxa"/>
            <w:tcMar>
              <w:top w:w="80" w:type="dxa"/>
              <w:left w:w="120" w:type="dxa"/>
              <w:bottom w:w="80" w:type="dxa"/>
              <w:right w:w="120" w:type="dxa"/>
            </w:tcMar>
            <w:vAlign w:val="center"/>
          </w:tcPr>
          <w:p w14:paraId="292E4F48">
            <w:pPr>
              <w:pStyle w:val="164"/>
            </w:pPr>
            <w:r>
              <w:t>后继状态串回合</w:t>
            </w:r>
          </w:p>
        </w:tc>
      </w:tr>
      <w:tr w14:paraId="7290DDF3">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482EFB1">
            <w:pPr>
              <w:pStyle w:val="164"/>
            </w:pPr>
            <w:r>
              <w:t>提前碰撞</w:t>
            </w:r>
          </w:p>
        </w:tc>
        <w:tc>
          <w:tcPr>
            <w:tcW w:w="3600" w:type="dxa"/>
            <w:tcMar>
              <w:top w:w="80" w:type="dxa"/>
              <w:left w:w="120" w:type="dxa"/>
              <w:bottom w:w="80" w:type="dxa"/>
              <w:right w:w="120" w:type="dxa"/>
            </w:tcMar>
            <w:vAlign w:val="center"/>
          </w:tcPr>
          <w:p w14:paraId="424E8196">
            <w:pPr>
              <w:pStyle w:val="164"/>
            </w:pPr>
            <w:r>
              <w:t>不因少计负奖励获益</w:t>
            </w:r>
          </w:p>
        </w:tc>
        <w:tc>
          <w:tcPr>
            <w:tcW w:w="3560" w:type="dxa"/>
            <w:tcMar>
              <w:top w:w="80" w:type="dxa"/>
              <w:left w:w="120" w:type="dxa"/>
              <w:bottom w:w="80" w:type="dxa"/>
              <w:right w:w="120" w:type="dxa"/>
            </w:tcMar>
            <w:vAlign w:val="center"/>
          </w:tcPr>
          <w:p w14:paraId="2374FBEA">
            <w:pPr>
              <w:pStyle w:val="164"/>
            </w:pPr>
            <w:r>
              <w:t>失败目标存在漏洞</w:t>
            </w:r>
          </w:p>
        </w:tc>
      </w:tr>
      <w:tr w14:paraId="37805540">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6C5658B7">
            <w:pPr>
              <w:pStyle w:val="164"/>
            </w:pPr>
            <w:r>
              <w:t>固定种子回放</w:t>
            </w:r>
          </w:p>
        </w:tc>
        <w:tc>
          <w:tcPr>
            <w:tcW w:w="3600" w:type="dxa"/>
            <w:tcMar>
              <w:top w:w="80" w:type="dxa"/>
              <w:left w:w="120" w:type="dxa"/>
              <w:bottom w:w="80" w:type="dxa"/>
              <w:right w:w="120" w:type="dxa"/>
            </w:tcMar>
            <w:vAlign w:val="center"/>
          </w:tcPr>
          <w:p w14:paraId="6F7D7EDF">
            <w:pPr>
              <w:pStyle w:val="164"/>
            </w:pPr>
            <w:r>
              <w:t>配置相同能复现规定的随机过程</w:t>
            </w:r>
          </w:p>
        </w:tc>
        <w:tc>
          <w:tcPr>
            <w:tcW w:w="3560" w:type="dxa"/>
            <w:tcMar>
              <w:top w:w="80" w:type="dxa"/>
              <w:left w:w="120" w:type="dxa"/>
              <w:bottom w:w="80" w:type="dxa"/>
              <w:right w:w="120" w:type="dxa"/>
            </w:tcMar>
            <w:vAlign w:val="center"/>
          </w:tcPr>
          <w:p w14:paraId="3BA99E8C">
            <w:pPr>
              <w:pStyle w:val="164"/>
            </w:pPr>
            <w:r>
              <w:t>随机流或版本未记录</w:t>
            </w:r>
          </w:p>
        </w:tc>
      </w:tr>
    </w:tbl>
    <w:p w14:paraId="08737C54">
      <w:pPr>
        <w:pStyle w:val="165"/>
      </w:pPr>
    </w:p>
    <w:p w14:paraId="37FE9F46">
      <w:r>
        <w:t>这些检查验证研究任务是否被正确实现，优先于扩大训练步数。它们应使用少量具有明确预期结果的场景，而不是为了测试数量重复同一实现逻辑。</w:t>
      </w:r>
    </w:p>
    <w:p w14:paraId="59A7F811">
      <w:pPr>
        <w:pStyle w:val="4"/>
      </w:pPr>
      <w:r>
        <w:t>D.2 训练症状与定位方向</w:t>
      </w:r>
    </w:p>
    <w:p w14:paraId="553A58E4">
      <w:pPr>
        <w:pStyle w:val="15"/>
        <w:keepNext/>
      </w:pPr>
      <w:r>
        <w:t>表 30  症状 / 优先检查</w:t>
      </w:r>
    </w:p>
    <w:tbl>
      <w:tblPr>
        <w:tblStyle w:val="32"/>
        <w:tblW w:w="9360" w:type="dxa"/>
        <w:tblInd w:w="120" w:type="dxa"/>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Layout w:type="fixed"/>
        <w:tblCellMar>
          <w:top w:w="0" w:type="dxa"/>
          <w:left w:w="108" w:type="dxa"/>
          <w:bottom w:w="0" w:type="dxa"/>
          <w:right w:w="108" w:type="dxa"/>
        </w:tblCellMar>
      </w:tblPr>
      <w:tblGrid>
        <w:gridCol w:w="3000"/>
        <w:gridCol w:w="6360"/>
      </w:tblGrid>
      <w:tr w14:paraId="4D327F1E">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blHeader/>
        </w:trPr>
        <w:tc>
          <w:tcPr>
            <w:tcW w:w="3000" w:type="dxa"/>
            <w:shd w:val="clear" w:color="auto" w:fill="E8EEF5"/>
            <w:tcMar>
              <w:top w:w="80" w:type="dxa"/>
              <w:left w:w="120" w:type="dxa"/>
              <w:bottom w:w="80" w:type="dxa"/>
              <w:right w:w="120" w:type="dxa"/>
            </w:tcMar>
            <w:vAlign w:val="center"/>
          </w:tcPr>
          <w:p w14:paraId="268AC3BB">
            <w:pPr>
              <w:pStyle w:val="164"/>
              <w:keepNext/>
            </w:pPr>
            <w:r>
              <w:rPr>
                <w:b/>
              </w:rPr>
              <w:t>症状</w:t>
            </w:r>
          </w:p>
        </w:tc>
        <w:tc>
          <w:tcPr>
            <w:tcW w:w="6360" w:type="dxa"/>
            <w:shd w:val="clear" w:color="auto" w:fill="E8EEF5"/>
            <w:tcMar>
              <w:top w:w="80" w:type="dxa"/>
              <w:left w:w="120" w:type="dxa"/>
              <w:bottom w:w="80" w:type="dxa"/>
              <w:right w:w="120" w:type="dxa"/>
            </w:tcMar>
            <w:vAlign w:val="center"/>
          </w:tcPr>
          <w:p w14:paraId="1413135F">
            <w:pPr>
              <w:pStyle w:val="164"/>
              <w:keepNext/>
            </w:pPr>
            <w:r>
              <w:rPr>
                <w:b/>
              </w:rPr>
              <w:t>优先检查</w:t>
            </w:r>
          </w:p>
        </w:tc>
      </w:tr>
      <w:tr w14:paraId="6ACCA836">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338DDC92">
            <w:pPr>
              <w:pStyle w:val="164"/>
            </w:pPr>
            <w:r>
              <w:t>回报升高但队列误差不降</w:t>
            </w:r>
          </w:p>
        </w:tc>
        <w:tc>
          <w:tcPr>
            <w:tcW w:w="6360" w:type="dxa"/>
            <w:tcMar>
              <w:top w:w="80" w:type="dxa"/>
              <w:left w:w="120" w:type="dxa"/>
              <w:bottom w:w="80" w:type="dxa"/>
              <w:right w:w="120" w:type="dxa"/>
            </w:tcMar>
            <w:vAlign w:val="center"/>
          </w:tcPr>
          <w:p w14:paraId="62309BA0">
            <w:pPr>
              <w:pStyle w:val="164"/>
            </w:pPr>
            <w:r>
              <w:t>奖励权重、尺度、失败与目标集合</w:t>
            </w:r>
          </w:p>
        </w:tc>
      </w:tr>
      <w:tr w14:paraId="46AD84F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43C601D5">
            <w:pPr>
              <w:pStyle w:val="164"/>
            </w:pPr>
            <w:r>
              <w:t>总在一个方向循环</w:t>
            </w:r>
          </w:p>
        </w:tc>
        <w:tc>
          <w:tcPr>
            <w:tcW w:w="6360" w:type="dxa"/>
            <w:tcMar>
              <w:top w:w="80" w:type="dxa"/>
              <w:left w:w="120" w:type="dxa"/>
              <w:bottom w:w="80" w:type="dxa"/>
              <w:right w:w="120" w:type="dxa"/>
            </w:tcMar>
            <w:vAlign w:val="center"/>
          </w:tcPr>
          <w:p w14:paraId="2420460C">
            <w:pPr>
              <w:pStyle w:val="164"/>
            </w:pPr>
            <w:r>
              <w:t>候选可达性、信息输入与回报视野</w:t>
            </w:r>
          </w:p>
        </w:tc>
      </w:tr>
      <w:tr w14:paraId="43D6BC0B">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2DF8B5A8">
            <w:pPr>
              <w:pStyle w:val="164"/>
            </w:pPr>
            <w:r>
              <w:t>频繁提出但很少执行换道</w:t>
            </w:r>
          </w:p>
        </w:tc>
        <w:tc>
          <w:tcPr>
            <w:tcW w:w="6360" w:type="dxa"/>
            <w:tcMar>
              <w:top w:w="80" w:type="dxa"/>
              <w:left w:w="120" w:type="dxa"/>
              <w:bottom w:w="80" w:type="dxa"/>
              <w:right w:w="120" w:type="dxa"/>
            </w:tcMar>
            <w:vAlign w:val="center"/>
          </w:tcPr>
          <w:p w14:paraId="03BBED6E">
            <w:pPr>
              <w:pStyle w:val="164"/>
            </w:pPr>
            <w:r>
              <w:t>掩码、执行承诺、动作粒度</w:t>
            </w:r>
          </w:p>
        </w:tc>
      </w:tr>
      <w:tr w14:paraId="78DD98C1">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20E1E271">
            <w:pPr>
              <w:pStyle w:val="164"/>
            </w:pPr>
            <w:r>
              <w:t>Critic突然发散</w:t>
            </w:r>
          </w:p>
        </w:tc>
        <w:tc>
          <w:tcPr>
            <w:tcW w:w="6360" w:type="dxa"/>
            <w:tcMar>
              <w:top w:w="80" w:type="dxa"/>
              <w:left w:w="120" w:type="dxa"/>
              <w:bottom w:w="80" w:type="dxa"/>
              <w:right w:w="120" w:type="dxa"/>
            </w:tcMar>
            <w:vAlign w:val="center"/>
          </w:tcPr>
          <w:p w14:paraId="30310131">
            <w:pPr>
              <w:pStyle w:val="164"/>
            </w:pPr>
            <w:r>
              <w:t>NaN、终点自举、奖励跳变、观测尺度</w:t>
            </w:r>
          </w:p>
        </w:tc>
      </w:tr>
      <w:tr w14:paraId="6A48E76F">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49B60861">
            <w:pPr>
              <w:pStyle w:val="164"/>
            </w:pPr>
            <w:r>
              <w:t>LSTM明显差于MLP</w:t>
            </w:r>
          </w:p>
        </w:tc>
        <w:tc>
          <w:tcPr>
            <w:tcW w:w="6360" w:type="dxa"/>
            <w:tcMar>
              <w:top w:w="80" w:type="dxa"/>
              <w:left w:w="120" w:type="dxa"/>
              <w:bottom w:w="80" w:type="dxa"/>
              <w:right w:w="120" w:type="dxa"/>
            </w:tcMar>
            <w:vAlign w:val="center"/>
          </w:tcPr>
          <w:p w14:paraId="63C140FA">
            <w:pPr>
              <w:pStyle w:val="164"/>
            </w:pPr>
            <w:r>
              <w:t>隐藏状态reset、序列乱序、padding</w:t>
            </w:r>
          </w:p>
        </w:tc>
      </w:tr>
      <w:tr w14:paraId="717B611C">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2974707A">
            <w:pPr>
              <w:pStyle w:val="164"/>
            </w:pPr>
            <w:r>
              <w:t>训练好而测试差</w:t>
            </w:r>
          </w:p>
        </w:tc>
        <w:tc>
          <w:tcPr>
            <w:tcW w:w="6360" w:type="dxa"/>
            <w:tcMar>
              <w:top w:w="80" w:type="dxa"/>
              <w:left w:w="120" w:type="dxa"/>
              <w:bottom w:w="80" w:type="dxa"/>
              <w:right w:w="120" w:type="dxa"/>
            </w:tcMar>
            <w:vAlign w:val="center"/>
          </w:tcPr>
          <w:p w14:paraId="3AF078EE">
            <w:pPr>
              <w:pStyle w:val="164"/>
            </w:pPr>
            <w:r>
              <w:t>泄漏、先验依赖、需求范围和模型选择</w:t>
            </w:r>
          </w:p>
        </w:tc>
      </w:tr>
      <w:tr w14:paraId="7C98D8FD">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4EE8E7EC">
            <w:pPr>
              <w:pStyle w:val="164"/>
            </w:pPr>
            <w:r>
              <w:t>所有策略效果相近</w:t>
            </w:r>
          </w:p>
        </w:tc>
        <w:tc>
          <w:tcPr>
            <w:tcW w:w="6360" w:type="dxa"/>
            <w:tcMar>
              <w:top w:w="80" w:type="dxa"/>
              <w:left w:w="120" w:type="dxa"/>
              <w:bottom w:w="80" w:type="dxa"/>
              <w:right w:w="120" w:type="dxa"/>
            </w:tcMar>
            <w:vAlign w:val="center"/>
          </w:tcPr>
          <w:p w14:paraId="63B77CE5">
            <w:pPr>
              <w:pStyle w:val="164"/>
            </w:pPr>
            <w:r>
              <w:t>观察选择空间、传感器范围、估计器敏感性</w:t>
            </w:r>
          </w:p>
        </w:tc>
      </w:tr>
      <w:tr w14:paraId="162C63F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0E0EFD13">
            <w:pPr>
              <w:pStyle w:val="164"/>
            </w:pPr>
            <w:r>
              <w:t>覆盖很多但估计差</w:t>
            </w:r>
          </w:p>
        </w:tc>
        <w:tc>
          <w:tcPr>
            <w:tcW w:w="6360" w:type="dxa"/>
            <w:tcMar>
              <w:top w:w="80" w:type="dxa"/>
              <w:left w:w="120" w:type="dxa"/>
              <w:bottom w:w="80" w:type="dxa"/>
              <w:right w:w="120" w:type="dxa"/>
            </w:tcMar>
            <w:vAlign w:val="center"/>
          </w:tcPr>
          <w:p w14:paraId="57ADD280">
            <w:pPr>
              <w:pStyle w:val="164"/>
            </w:pPr>
            <w:r>
              <w:t>覆盖代理失配、数据时间过时、目标定义</w:t>
            </w:r>
          </w:p>
        </w:tc>
      </w:tr>
      <w:tr w14:paraId="20C4323A">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2C9E7A4C">
            <w:pPr>
              <w:pStyle w:val="164"/>
            </w:pPr>
            <w:r>
              <w:t>最短路径总是最优</w:t>
            </w:r>
          </w:p>
        </w:tc>
        <w:tc>
          <w:tcPr>
            <w:tcW w:w="6360" w:type="dxa"/>
            <w:tcMar>
              <w:top w:w="80" w:type="dxa"/>
              <w:left w:w="120" w:type="dxa"/>
              <w:bottom w:w="80" w:type="dxa"/>
              <w:right w:w="120" w:type="dxa"/>
            </w:tcMar>
            <w:vAlign w:val="center"/>
          </w:tcPr>
          <w:p w14:paraId="5CD7355F">
            <w:pPr>
              <w:pStyle w:val="164"/>
            </w:pPr>
            <w:r>
              <w:t>返回代价可能压倒信息价值，需分析任务</w:t>
            </w:r>
          </w:p>
        </w:tc>
      </w:tr>
      <w:tr w14:paraId="30FB48F5">
        <w:tblPrEx>
          <w:tblBorders>
            <w:top w:val="single" w:color="D4DCE5" w:sz="4" w:space="0"/>
            <w:left w:val="single" w:color="D4DCE5" w:sz="4" w:space="0"/>
            <w:bottom w:val="single" w:color="D4DCE5" w:sz="4" w:space="0"/>
            <w:right w:val="single" w:color="D4DCE5" w:sz="4" w:space="0"/>
            <w:insideH w:val="single" w:color="D4DCE5" w:sz="4" w:space="0"/>
            <w:insideV w:val="single" w:color="D4DCE5"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14:paraId="259974DC">
            <w:pPr>
              <w:pStyle w:val="164"/>
            </w:pPr>
            <w:r>
              <w:t>学会异常慢行</w:t>
            </w:r>
          </w:p>
        </w:tc>
        <w:tc>
          <w:tcPr>
            <w:tcW w:w="6360" w:type="dxa"/>
            <w:tcMar>
              <w:top w:w="80" w:type="dxa"/>
              <w:left w:w="120" w:type="dxa"/>
              <w:bottom w:w="80" w:type="dxa"/>
              <w:right w:w="120" w:type="dxa"/>
            </w:tcMar>
            <w:vAlign w:val="center"/>
          </w:tcPr>
          <w:p w14:paraId="24EAB238">
            <w:pPr>
              <w:pStyle w:val="164"/>
            </w:pPr>
            <w:r>
              <w:t>驾驶约束、扰动成本及目标可被操纵</w:t>
            </w:r>
          </w:p>
        </w:tc>
      </w:tr>
    </w:tbl>
    <w:p w14:paraId="50AF8540">
      <w:pPr>
        <w:pStyle w:val="165"/>
      </w:pPr>
    </w:p>
    <w:p w14:paraId="5EE37CC1">
      <w:pPr>
        <w:pStyle w:val="4"/>
      </w:pPr>
      <w:r>
        <w:t>D.3 对当前讨论中易混淆内容的澄清</w:t>
      </w:r>
    </w:p>
    <w:p w14:paraId="32078E25">
      <w:r>
        <w:t>单元是空间容器，完整输入是自车、全域信息摘要和任务条件的组合。道路图不需要枚举全部交通情境。车道连续位置可以保留，动作仍然是离散候选。</w:t>
      </w:r>
    </w:p>
    <w:p w14:paraId="7E407086">
      <w:r>
        <w:t>底层控制器执行驾驶，不替代策略的信息选择。若策略选定左侧观察片段，控制器负责安全实现或反馈无法执行；若控制器完全自由地换成另一条最短路线，研究动作就失去了原先语义。</w:t>
      </w:r>
    </w:p>
    <w:p w14:paraId="04AFD7F6">
      <w:r>
        <w:t>奖励不要求进入新格，也不要求每步为正。静止时有新观测、移动时没有新观测都可能发生。奖励根据目标定义，可以评价全域估计效果，而不是只评价车辆所在单元。</w:t>
      </w:r>
    </w:p>
    <w:p w14:paraId="53B0D49A">
      <w:r>
        <w:t>恢复整个路口不等于恢复每辆未见车辆的精确轨迹。未知区域需要靠观测、机理与先验推断，仍存在不可消除的不确定性。研究应说明目标变量和精度，而不使用未定义的“恢复百分比”。</w:t>
      </w:r>
    </w:p>
    <w:p w14:paraId="6DA8A427">
      <w:r>
        <w:t>训练奖励可用真值，不等于Actor可以看到真值。部署时不一定需要计算训练奖励，但Actor若依赖历史奖励或DT需要更新RTG，就必须处理在线可获得性。</w:t>
      </w:r>
    </w:p>
    <w:p w14:paraId="3D2ACB05">
      <w:r>
        <w:t>并行环境增加独立采样，不等于多车协同。一批rollout可能跨多个episode，n_steps也不等于道路格数、预算或完整轨迹长度。</w:t>
      </w:r>
    </w:p>
    <w:p w14:paraId="14429978">
      <w:r>
        <w:t>Critic的平均水平由条件回报学习而来，不是最初几次奖励平均。Advantage可为正而即时奖励为负。Actor对优势停止梯度，不妨碍共享编码器接受正常的策略与价值学习信号。</w:t>
      </w:r>
    </w:p>
    <w:p w14:paraId="282455D3">
      <w:r>
        <w:t>Transformer可以编码历史，也可以模仿轨迹。它不会仅因训练数据被称为高质量，就自动学会未见路口结构。DT的目标回报条件与实际未来回报必须区分，且部署更新不能借用隐藏真值。</w:t>
      </w:r>
    </w:p>
    <w:p w14:paraId="16B4B7AC">
      <w:pPr>
        <w:pStyle w:val="4"/>
      </w:pPr>
      <w:r>
        <w:t>D.4 导师可能关注的判断依据</w:t>
      </w:r>
    </w:p>
    <w:p w14:paraId="2546856C">
      <w:r>
        <w:t>对于“为何需要强化学习”，展示长期返回代价、信息过时和当前选择影响未来观察机会的实例，并与信息启发式比较。对于“为何需要车道级”，展示在同一进口内不同合法位置造成的可见性差异及误差收益。</w:t>
      </w:r>
    </w:p>
    <w:p w14:paraId="65CF6224">
      <w:r>
        <w:t>对于“信息不够怎么办”，报告单车在不同预算和遮挡下的误差边界，而不是仅增加模型。对于“创新在哪里”，给出现有方法失效条件、明确机制假设和直接对照。对于“能否落地”，说明允许输入、控制能力假设和后续验证层次。</w:t>
      </w:r>
    </w:p>
    <w:p w14:paraId="237FA368">
      <w:pPr>
        <w:pStyle w:val="3"/>
        <w:pageBreakBefore/>
      </w:pPr>
      <w:bookmarkStart w:id="51" w:name="chapter_28"/>
      <w:r>
        <w:t>附录E 依据、参考文献与来源使用范围</w:t>
      </w:r>
      <w:bookmarkEnd w:id="51"/>
    </w:p>
    <w:p w14:paraId="54AD55D3">
      <w:pPr>
        <w:pStyle w:val="4"/>
      </w:pPr>
      <w:r>
        <w:t>E.1 附件与讨论依据</w:t>
      </w:r>
    </w:p>
    <w:p w14:paraId="5AD7E649">
      <w:pPr>
        <w:pStyle w:val="166"/>
      </w:pPr>
      <w:r>
        <w:t>[A1] 用户上传“-2026 -0318.pdf”，共30页。本文页码采用PDF物理页码。第8–11页用于交通状态表示、重构与数据价值背景；第11–15页用于传感效能边界；第16页图8用于车道单元拓扑；第17页用于与原状态、动作、访问收益表述比较；第19页用于多场景仿真和序列泛化思路。本文对相关方案进行了重新划分与约束说明，不代表附件原作者已认可这些调整。</w:t>
      </w:r>
    </w:p>
    <w:p w14:paraId="589F347A">
      <w:pPr>
        <w:pStyle w:val="166"/>
      </w:pPr>
      <w:r>
        <w:t>[A2] 本轮连续讨论：单车、目标交叉口、合法外围返回、固定预算与质量阈值、车道离散与连续驾驶、显式估计器、PPO和Transformer候选。第22章保留尚未确定的内容。</w:t>
      </w:r>
    </w:p>
    <w:p w14:paraId="70FD4ECB">
      <w:pPr>
        <w:pStyle w:val="4"/>
      </w:pPr>
      <w:r>
        <w:t>E.2 基础与算法来源</w:t>
      </w:r>
    </w:p>
    <w:p w14:paraId="752DE4A2">
      <w:pPr>
        <w:pStyle w:val="166"/>
      </w:pPr>
      <w:r>
        <w:t>[R01] Farama Foundation. Cart Pole环境说明。用于核对连续观测、离散动作与逐步奖励的例子。</w:t>
      </w:r>
      <w:r>
        <w:fldChar w:fldCharType="begin"/>
      </w:r>
      <w:r>
        <w:instrText xml:space="preserve"> HYPERLINK "https://gymnasium.farama.org/environments/classic_control/cart_pole/" \h </w:instrText>
      </w:r>
      <w:r>
        <w:fldChar w:fldCharType="separate"/>
      </w:r>
      <w:r>
        <w:rPr>
          <w:color w:val="2E74B5"/>
        </w:rPr>
        <w:t>官方文档</w:t>
      </w:r>
      <w:r>
        <w:rPr>
          <w:color w:val="2E74B5"/>
        </w:rPr>
        <w:fldChar w:fldCharType="end"/>
      </w:r>
    </w:p>
    <w:p w14:paraId="28883BCD">
      <w:pPr>
        <w:pStyle w:val="166"/>
      </w:pPr>
      <w:r>
        <w:t>[R02] Farama Foundation. Fundamental Spaces。用于核对Box、Discrete与输入/动作空间的区别。</w:t>
      </w:r>
      <w:r>
        <w:fldChar w:fldCharType="begin"/>
      </w:r>
      <w:r>
        <w:instrText xml:space="preserve"> HYPERLINK "https://gymnasium.farama.org/api/spaces/fundamental/" \h </w:instrText>
      </w:r>
      <w:r>
        <w:fldChar w:fldCharType="separate"/>
      </w:r>
      <w:r>
        <w:rPr>
          <w:color w:val="2E74B5"/>
        </w:rPr>
        <w:t>官方文档</w:t>
      </w:r>
      <w:r>
        <w:rPr>
          <w:color w:val="2E74B5"/>
        </w:rPr>
        <w:fldChar w:fldCharType="end"/>
      </w:r>
    </w:p>
    <w:p w14:paraId="19CF6049">
      <w:pPr>
        <w:pStyle w:val="166"/>
      </w:pPr>
      <w:r>
        <w:t>[R03] Hausknecht M, Stone P. Deep Recurrent Q-Learning for Partially Observable MDPs. 2015. 用于历史记忆处理部分观测的方法背景，本文不采用其DQN算法作为主线。</w:t>
      </w:r>
      <w:r>
        <w:fldChar w:fldCharType="begin"/>
      </w:r>
      <w:r>
        <w:instrText xml:space="preserve"> HYPERLINK "https://arxiv.org/abs/1507.06527" \h </w:instrText>
      </w:r>
      <w:r>
        <w:fldChar w:fldCharType="separate"/>
      </w:r>
      <w:r>
        <w:rPr>
          <w:color w:val="2E74B5"/>
        </w:rPr>
        <w:t>原始论文</w:t>
      </w:r>
      <w:r>
        <w:rPr>
          <w:color w:val="2E74B5"/>
        </w:rPr>
        <w:fldChar w:fldCharType="end"/>
      </w:r>
    </w:p>
    <w:p w14:paraId="6DAC6A5A">
      <w:pPr>
        <w:pStyle w:val="166"/>
      </w:pPr>
      <w:r>
        <w:t>[R04] Schulman J, et al. Proximal Policy Optimization Algorithms. 2017. 用于PPO概率比与裁剪目标。</w:t>
      </w:r>
      <w:r>
        <w:fldChar w:fldCharType="begin"/>
      </w:r>
      <w:r>
        <w:instrText xml:space="preserve"> HYPERLINK "https://arxiv.org/abs/1707.06347" \h </w:instrText>
      </w:r>
      <w:r>
        <w:fldChar w:fldCharType="separate"/>
      </w:r>
      <w:r>
        <w:rPr>
          <w:color w:val="2E74B5"/>
        </w:rPr>
        <w:t>原始论文</w:t>
      </w:r>
      <w:r>
        <w:rPr>
          <w:color w:val="2E74B5"/>
        </w:rPr>
        <w:fldChar w:fldCharType="end"/>
      </w:r>
    </w:p>
    <w:p w14:paraId="326052CD">
      <w:pPr>
        <w:pStyle w:val="166"/>
      </w:pPr>
      <w:r>
        <w:t>[R05] Schulman J, et al. High-Dimensional Continuous Control Using Generalized Advantage Estimation. 2015/2016. 用于GAE与偏差—方差权衡。</w:t>
      </w:r>
      <w:r>
        <w:fldChar w:fldCharType="begin"/>
      </w:r>
      <w:r>
        <w:instrText xml:space="preserve"> HYPERLINK "https://arxiv.org/abs/1506.02438" \h </w:instrText>
      </w:r>
      <w:r>
        <w:fldChar w:fldCharType="separate"/>
      </w:r>
      <w:r>
        <w:rPr>
          <w:color w:val="2E74B5"/>
        </w:rPr>
        <w:t>原始论文</w:t>
      </w:r>
      <w:r>
        <w:rPr>
          <w:color w:val="2E74B5"/>
        </w:rPr>
        <w:fldChar w:fldCharType="end"/>
      </w:r>
    </w:p>
    <w:p w14:paraId="010BB604">
      <w:pPr>
        <w:pStyle w:val="166"/>
      </w:pPr>
      <w:r>
        <w:t>[R06] Huang S, Ontañón S. A Closer Look at Invalid Action Masking in Policy Gradient Algorithms. 2020/2022. 用于动作掩码机制，本文将其应用到合法探测行为。</w:t>
      </w:r>
      <w:r>
        <w:fldChar w:fldCharType="begin"/>
      </w:r>
      <w:r>
        <w:instrText xml:space="preserve"> HYPERLINK "https://arxiv.org/abs/2006.14171" \h </w:instrText>
      </w:r>
      <w:r>
        <w:fldChar w:fldCharType="separate"/>
      </w:r>
      <w:r>
        <w:rPr>
          <w:color w:val="2E74B5"/>
        </w:rPr>
        <w:t>原始论文</w:t>
      </w:r>
      <w:r>
        <w:rPr>
          <w:color w:val="2E74B5"/>
        </w:rPr>
        <w:fldChar w:fldCharType="end"/>
      </w:r>
    </w:p>
    <w:p w14:paraId="170B62B6">
      <w:pPr>
        <w:pStyle w:val="166"/>
      </w:pPr>
      <w:r>
        <w:t>[R07] Sutton R S, Precup D, Singh S. Between MDPs and Semi-MDPs: A Framework for Temporal Abstraction in Reinforcement Learning. 1999. 用于持续时间不同的选项和宏动作表述。</w:t>
      </w:r>
      <w:r>
        <w:fldChar w:fldCharType="begin"/>
      </w:r>
      <w:r>
        <w:instrText xml:space="preserve"> HYPERLINK "https://www-anw.cs.umass.edu/~barto/courses/cs687/Sutton-Precup-Singh-AIJ99.pdf" \h </w:instrText>
      </w:r>
      <w:r>
        <w:fldChar w:fldCharType="separate"/>
      </w:r>
      <w:r>
        <w:rPr>
          <w:color w:val="2E74B5"/>
        </w:rPr>
        <w:t>原始论文</w:t>
      </w:r>
      <w:r>
        <w:rPr>
          <w:color w:val="2E74B5"/>
        </w:rPr>
        <w:fldChar w:fldCharType="end"/>
      </w:r>
    </w:p>
    <w:p w14:paraId="4C8C8212">
      <w:pPr>
        <w:pStyle w:val="166"/>
      </w:pPr>
      <w:r>
        <w:t>[R08] Chen L, et al. Decision Transformer: Reinforcement Learning via Sequence Modeling. 2021. 用于区分回报条件序列建模与普通行为克隆。</w:t>
      </w:r>
      <w:r>
        <w:fldChar w:fldCharType="begin"/>
      </w:r>
      <w:r>
        <w:instrText xml:space="preserve"> HYPERLINK "https://arxiv.org/abs/2106.01345" \h </w:instrText>
      </w:r>
      <w:r>
        <w:fldChar w:fldCharType="separate"/>
      </w:r>
      <w:r>
        <w:rPr>
          <w:color w:val="2E74B5"/>
        </w:rPr>
        <w:t>原始论文</w:t>
      </w:r>
      <w:r>
        <w:rPr>
          <w:color w:val="2E74B5"/>
        </w:rPr>
        <w:fldChar w:fldCharType="end"/>
      </w:r>
    </w:p>
    <w:p w14:paraId="51DFFA49">
      <w:pPr>
        <w:pStyle w:val="166"/>
      </w:pPr>
      <w:r>
        <w:t>[R09] Paster K, McIlraith S, Ba J. You Can't Count on Luck: Why Decision Transformers and RvS Fail in Stochastic Environments. 2022. 用于解释随机环境中高回报与幸运结果混合的风险。</w:t>
      </w:r>
      <w:r>
        <w:fldChar w:fldCharType="begin"/>
      </w:r>
      <w:r>
        <w:instrText xml:space="preserve"> HYPERLINK "https://arxiv.org/abs/2205.15967" \h </w:instrText>
      </w:r>
      <w:r>
        <w:fldChar w:fldCharType="separate"/>
      </w:r>
      <w:r>
        <w:rPr>
          <w:color w:val="2E74B5"/>
        </w:rPr>
        <w:t>原始论文</w:t>
      </w:r>
      <w:r>
        <w:rPr>
          <w:color w:val="2E74B5"/>
        </w:rPr>
        <w:fldChar w:fldCharType="end"/>
      </w:r>
    </w:p>
    <w:p w14:paraId="7CA5BFAC">
      <w:pPr>
        <w:pStyle w:val="4"/>
      </w:pPr>
      <w:r>
        <w:t>E.3 仿真与软件接口来源</w:t>
      </w:r>
    </w:p>
    <w:p w14:paraId="1A6043A0">
      <w:pPr>
        <w:pStyle w:val="166"/>
      </w:pPr>
      <w:r>
        <w:t>[R10] Eclipse SUMO. Interfacing TraCI from Python。用于仿真推进、订阅和Python交互接口。</w:t>
      </w:r>
      <w:r>
        <w:fldChar w:fldCharType="begin"/>
      </w:r>
      <w:r>
        <w:instrText xml:space="preserve"> HYPERLINK "https://sumo.dlr.de/docs/TraCI/Interfacing_TraCI_from_Python.html" \h </w:instrText>
      </w:r>
      <w:r>
        <w:fldChar w:fldCharType="separate"/>
      </w:r>
      <w:r>
        <w:rPr>
          <w:color w:val="2E74B5"/>
        </w:rPr>
        <w:t>官方文档</w:t>
      </w:r>
      <w:r>
        <w:rPr>
          <w:color w:val="2E74B5"/>
        </w:rPr>
        <w:fldChar w:fldCharType="end"/>
      </w:r>
    </w:p>
    <w:p w14:paraId="6C0B0777">
      <w:pPr>
        <w:pStyle w:val="166"/>
      </w:pPr>
      <w:r>
        <w:t>[R11] Eclipse SUMO. Change Vehicle State。用于速度、换道与驾驶模式的执行含义。</w:t>
      </w:r>
      <w:r>
        <w:fldChar w:fldCharType="begin"/>
      </w:r>
      <w:r>
        <w:instrText xml:space="preserve"> HYPERLINK "https://sumo.dlr.de/docs/TraCI/Change_Vehicle_State.html" \h </w:instrText>
      </w:r>
      <w:r>
        <w:fldChar w:fldCharType="separate"/>
      </w:r>
      <w:r>
        <w:rPr>
          <w:color w:val="2E74B5"/>
        </w:rPr>
        <w:t>官方文档</w:t>
      </w:r>
      <w:r>
        <w:rPr>
          <w:color w:val="2E74B5"/>
        </w:rPr>
        <w:fldChar w:fldCharType="end"/>
      </w:r>
    </w:p>
    <w:p w14:paraId="2AB20997">
      <w:pPr>
        <w:pStyle w:val="166"/>
      </w:pPr>
      <w:r>
        <w:t>[R12] Eclipse SUMO. SublaneModel。用于默认瞬时换道与横向运动模型的区别。</w:t>
      </w:r>
      <w:r>
        <w:fldChar w:fldCharType="begin"/>
      </w:r>
      <w:r>
        <w:instrText xml:space="preserve"> HYPERLINK "https://sumo.dlr.de/docs/Simulation/SublaneModel.html" \h </w:instrText>
      </w:r>
      <w:r>
        <w:fldChar w:fldCharType="separate"/>
      </w:r>
      <w:r>
        <w:rPr>
          <w:color w:val="2E74B5"/>
        </w:rPr>
        <w:t>官方文档</w:t>
      </w:r>
      <w:r>
        <w:rPr>
          <w:color w:val="2E74B5"/>
        </w:rPr>
        <w:fldChar w:fldCharType="end"/>
      </w:r>
    </w:p>
    <w:p w14:paraId="1871B906">
      <w:pPr>
        <w:pStyle w:val="166"/>
      </w:pPr>
      <w:r>
        <w:t>[R13] Eclipse SUMO. Randomness。用于随机过程、种子与复现设置。</w:t>
      </w:r>
      <w:r>
        <w:fldChar w:fldCharType="begin"/>
      </w:r>
      <w:r>
        <w:instrText xml:space="preserve"> HYPERLINK "https://sumo.dlr.de/docs/Simulation/Randomness.html" \h </w:instrText>
      </w:r>
      <w:r>
        <w:fldChar w:fldCharType="separate"/>
      </w:r>
      <w:r>
        <w:rPr>
          <w:color w:val="2E74B5"/>
        </w:rPr>
        <w:t>官方文档</w:t>
      </w:r>
      <w:r>
        <w:rPr>
          <w:color w:val="2E74B5"/>
        </w:rPr>
        <w:fldChar w:fldCharType="end"/>
      </w:r>
    </w:p>
    <w:p w14:paraId="415F9361">
      <w:pPr>
        <w:pStyle w:val="166"/>
      </w:pPr>
      <w:r>
        <w:t>[R14] Farama Foundation. Env API。用于reset与五项step接口。</w:t>
      </w:r>
      <w:r>
        <w:fldChar w:fldCharType="begin"/>
      </w:r>
      <w:r>
        <w:instrText xml:space="preserve"> HYPERLINK "https://gymnasium.farama.org/api/env/" \h </w:instrText>
      </w:r>
      <w:r>
        <w:fldChar w:fldCharType="separate"/>
      </w:r>
      <w:r>
        <w:rPr>
          <w:color w:val="2E74B5"/>
        </w:rPr>
        <w:t>官方文档</w:t>
      </w:r>
      <w:r>
        <w:rPr>
          <w:color w:val="2E74B5"/>
        </w:rPr>
        <w:fldChar w:fldCharType="end"/>
      </w:r>
    </w:p>
    <w:p w14:paraId="7656F7FC">
      <w:pPr>
        <w:pStyle w:val="166"/>
      </w:pPr>
      <w:r>
        <w:t>[R15] Farama Foundation. Handling Time Limits。用于任务内有限时域终止与外部截断、自举的区别。</w:t>
      </w:r>
      <w:r>
        <w:fldChar w:fldCharType="begin"/>
      </w:r>
      <w:r>
        <w:instrText xml:space="preserve"> HYPERLINK "https://gymnasium.farama.org/tutorials/gymnasium_basics/handling_time_limits/" \h </w:instrText>
      </w:r>
      <w:r>
        <w:fldChar w:fldCharType="separate"/>
      </w:r>
      <w:r>
        <w:rPr>
          <w:color w:val="2E74B5"/>
        </w:rPr>
        <w:t>官方文档</w:t>
      </w:r>
      <w:r>
        <w:rPr>
          <w:color w:val="2E74B5"/>
        </w:rPr>
        <w:fldChar w:fldCharType="end"/>
      </w:r>
    </w:p>
    <w:p w14:paraId="093ACEDD">
      <w:pPr>
        <w:pStyle w:val="166"/>
      </w:pPr>
      <w:r>
        <w:t>[R16] Stable Baselines3 Contrib. Maskable PPO。用于动作掩码支持范围与循环策略限制。</w:t>
      </w:r>
      <w:r>
        <w:fldChar w:fldCharType="begin"/>
      </w:r>
      <w:r>
        <w:instrText xml:space="preserve"> HYPERLINK "https://sb3-contrib.readthedocs.io/en/master/modules/ppo_mask.html" \h </w:instrText>
      </w:r>
      <w:r>
        <w:fldChar w:fldCharType="separate"/>
      </w:r>
      <w:r>
        <w:rPr>
          <w:color w:val="2E74B5"/>
        </w:rPr>
        <w:t>官方文档</w:t>
      </w:r>
      <w:r>
        <w:rPr>
          <w:color w:val="2E74B5"/>
        </w:rPr>
        <w:fldChar w:fldCharType="end"/>
      </w:r>
    </w:p>
    <w:p w14:paraId="79C694B6">
      <w:pPr>
        <w:pStyle w:val="166"/>
      </w:pPr>
      <w:r>
        <w:t>[R17] Stable Baselines3 Contrib. Recurrent PPO。用于循环策略、隐藏状态和episode_start接口。</w:t>
      </w:r>
      <w:r>
        <w:fldChar w:fldCharType="begin"/>
      </w:r>
      <w:r>
        <w:instrText xml:space="preserve"> HYPERLINK "https://sb3-contrib.readthedocs.io/en/master/modules/ppo_recurrent.html" \h </w:instrText>
      </w:r>
      <w:r>
        <w:fldChar w:fldCharType="separate"/>
      </w:r>
      <w:r>
        <w:rPr>
          <w:color w:val="2E74B5"/>
        </w:rPr>
        <w:t>官方文档</w:t>
      </w:r>
      <w:r>
        <w:rPr>
          <w:color w:val="2E74B5"/>
        </w:rPr>
        <w:fldChar w:fldCharType="end"/>
      </w:r>
    </w:p>
    <w:p w14:paraId="03F1898C">
      <w:pPr>
        <w:pStyle w:val="166"/>
      </w:pPr>
      <w:r>
        <w:t>[R18] Eclipse SUMO. Lanearea Detectors (E2)。用于队列检测阈值、时间聚合与多个拥堵段指标的口径区别。</w:t>
      </w:r>
      <w:r>
        <w:fldChar w:fldCharType="begin"/>
      </w:r>
      <w:r>
        <w:instrText xml:space="preserve"> HYPERLINK "https://sumo.dlr.de/docs/Simulation/Output/Lanearea_Detectors_%28E2%29.html" \h </w:instrText>
      </w:r>
      <w:r>
        <w:fldChar w:fldCharType="separate"/>
      </w:r>
      <w:r>
        <w:rPr>
          <w:color w:val="2E74B5"/>
        </w:rPr>
        <w:t>官方文档</w:t>
      </w:r>
      <w:r>
        <w:rPr>
          <w:color w:val="2E74B5"/>
        </w:rPr>
        <w:fldChar w:fldCharType="end"/>
      </w:r>
    </w:p>
    <w:p w14:paraId="455C2073">
      <w:pPr>
        <w:pStyle w:val="4"/>
      </w:pPr>
      <w:r>
        <w:t>E.4 相关问题研究与扩展阅读</w:t>
      </w:r>
    </w:p>
    <w:p w14:paraId="5B475101">
      <w:pPr>
        <w:pStyle w:val="166"/>
      </w:pPr>
      <w:r>
        <w:t>[R19] Wei Ma, Sean Qian. High-Resolution Traffic Sensing with Autonomous Vehicles. 2019. 用于移动自动驾驶车辆开展交通感知的相关研究背景，不能直接证明本项目单车路口任务达到某种精度。</w:t>
      </w:r>
      <w:r>
        <w:fldChar w:fldCharType="begin"/>
      </w:r>
      <w:r>
        <w:instrText xml:space="preserve"> HYPERLINK "https://arxiv.org/abs/1910.02376" \h </w:instrText>
      </w:r>
      <w:r>
        <w:fldChar w:fldCharType="separate"/>
      </w:r>
      <w:r>
        <w:rPr>
          <w:color w:val="2E74B5"/>
        </w:rPr>
        <w:t>原始论文</w:t>
      </w:r>
      <w:r>
        <w:rPr>
          <w:color w:val="2E74B5"/>
        </w:rPr>
        <w:fldChar w:fldCharType="end"/>
      </w:r>
    </w:p>
    <w:p w14:paraId="53457E0C">
      <w:pPr>
        <w:pStyle w:val="166"/>
      </w:pPr>
      <w:r>
        <w:t>[R20] Shushman Choudhury, Nate Gruver, Mykel J. Kochenderfer. Adaptive Informative Path Planning with Multimodal Sensing. 2020. 用于自适应信息路径规划的相关方法背景；场景与本项目不同，需要独立验证迁移适用性。</w:t>
      </w:r>
      <w:r>
        <w:fldChar w:fldCharType="begin"/>
      </w:r>
      <w:r>
        <w:instrText xml:space="preserve"> HYPERLINK "https://arxiv.org/abs/2003.09746" \h </w:instrText>
      </w:r>
      <w:r>
        <w:fldChar w:fldCharType="separate"/>
      </w:r>
      <w:r>
        <w:rPr>
          <w:color w:val="2E74B5"/>
        </w:rPr>
        <w:t>原始论文</w:t>
      </w:r>
      <w:r>
        <w:rPr>
          <w:color w:val="2E74B5"/>
        </w:rPr>
        <w:fldChar w:fldCharType="end"/>
      </w:r>
    </w:p>
    <w:p w14:paraId="473B5BC4">
      <w:pPr>
        <w:pStyle w:val="166"/>
      </w:pPr>
      <w:r>
        <w:t>[R21] Mnih V, et al. Asynchronous Methods for Deep Reinforcement Learning. 2016. 用于多步Actor–Critic方法背景；本文采用同步并行采样时，不将其误称为原始异步A3C实现。</w:t>
      </w:r>
      <w:r>
        <w:fldChar w:fldCharType="begin"/>
      </w:r>
      <w:r>
        <w:instrText xml:space="preserve"> HYPERLINK "https://arxiv.org/abs/1602.01783" \h </w:instrText>
      </w:r>
      <w:r>
        <w:fldChar w:fldCharType="separate"/>
      </w:r>
      <w:r>
        <w:rPr>
          <w:color w:val="2E74B5"/>
        </w:rPr>
        <w:t>原始论文</w:t>
      </w:r>
      <w:r>
        <w:rPr>
          <w:color w:val="2E74B5"/>
        </w:rPr>
        <w:fldChar w:fldCharType="end"/>
      </w:r>
    </w:p>
    <w:p w14:paraId="5D355303">
      <w:pPr>
        <w:pStyle w:val="166"/>
      </w:pPr>
      <w:r>
        <w:t>[R22] Ross S, Gordon G, Bagnell D. A Reduction of Imitation Learning and Structured Prediction to No-Regret Online Learning. 2011. 用于模仿学习中学生访问分布与数据聚合的背景。</w:t>
      </w:r>
      <w:r>
        <w:fldChar w:fldCharType="begin"/>
      </w:r>
      <w:r>
        <w:instrText xml:space="preserve"> HYPERLINK "https://proceedings.mlr.press/v15/ross11a.html" \h </w:instrText>
      </w:r>
      <w:r>
        <w:fldChar w:fldCharType="separate"/>
      </w:r>
      <w:r>
        <w:rPr>
          <w:color w:val="2E74B5"/>
        </w:rPr>
        <w:t>原始论文</w:t>
      </w:r>
      <w:r>
        <w:rPr>
          <w:color w:val="2E74B5"/>
        </w:rPr>
        <w:fldChar w:fldCharType="end"/>
      </w:r>
    </w:p>
    <w:p w14:paraId="760BE850">
      <w:pPr>
        <w:pStyle w:val="166"/>
      </w:pPr>
      <w:r>
        <w:t>在线软件文档查阅日期：2026年9月8日。实现时还应锁定实际软件版本。本文的项目配置、接口方案、研究假设、验证流程和待定项属于结合用户场景的设计建议；参考文献支撑相关理论与软件事实，不代表已完成系统新颖性检索或本项目实验验证。</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DejaVu Sans Mono">
    <w:altName w:val="AMGDT"/>
    <w:panose1 w:val="00000000000000000000"/>
    <w:charset w:val="00"/>
    <w:family w:val="auto"/>
    <w:pitch w:val="default"/>
    <w:sig w:usb0="00000000" w:usb1="00000000" w:usb2="00000000" w:usb3="00000000" w:csb0="0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E111">
    <w:pPr>
      <w:pStyle w:val="24"/>
    </w:pPr>
    <w:r>
      <w:t xml:space="preserve">研究设计讨论稿 V1.0  ·  </w:t>
    </w:r>
    <w: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88B13">
    <w:pPr>
      <w:pStyle w:val="25"/>
    </w:pPr>
    <w:r>
      <w:t>单探测车主动感知  |  强化学习框架与仿真实施说明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decimal"/>
      <w:lvlText w:val="%1."/>
      <w:lvlJc w:val="left"/>
      <w:pPr>
        <w:tabs>
          <w:tab w:val="left" w:pos="540"/>
        </w:tabs>
        <w:spacing w:before="0" w:after="80" w:line="300" w:lineRule="auto"/>
        <w:ind w:left="540" w:hanging="271"/>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F520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widowControl/>
      <w:snapToGrid w:val="0"/>
      <w:spacing w:before="0" w:after="120" w:line="300" w:lineRule="auto"/>
      <w:jc w:val="left"/>
    </w:pPr>
    <w:rPr>
      <w:rFonts w:ascii="Calibri" w:hAnsi="Calibri" w:eastAsia="Noto Sans CJK SC" w:cstheme="minorBidi"/>
      <w:color w:val="202B36"/>
      <w:sz w:val="22"/>
      <w:szCs w:val="22"/>
      <w:lang w:val="en-US" w:eastAsia="en-US" w:bidi="ar-SA"/>
    </w:rPr>
  </w:style>
  <w:style w:type="paragraph" w:styleId="3">
    <w:name w:val="heading 1"/>
    <w:basedOn w:val="1"/>
    <w:next w:val="1"/>
    <w:link w:val="138"/>
    <w:qFormat/>
    <w:uiPriority w:val="9"/>
    <w:pPr>
      <w:keepNext/>
      <w:keepLines/>
      <w:widowControl/>
      <w:snapToGrid w:val="0"/>
      <w:spacing w:before="360" w:after="200" w:line="300" w:lineRule="auto"/>
      <w:jc w:val="left"/>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widowControl/>
      <w:snapToGrid w:val="0"/>
      <w:spacing w:before="280" w:after="140" w:line="300" w:lineRule="auto"/>
      <w:jc w:val="left"/>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widowControl/>
      <w:snapToGrid w:val="0"/>
      <w:spacing w:before="200" w:after="100" w:line="300" w:lineRule="auto"/>
      <w:jc w:val="left"/>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widowControl/>
      <w:snapToGrid w:val="0"/>
      <w:spacing w:before="100" w:after="140" w:line="280" w:lineRule="auto"/>
      <w:jc w:val="left"/>
    </w:pPr>
    <w:rPr>
      <w:rFonts w:ascii="Calibri" w:hAnsi="Calibri" w:eastAsia="Noto Sans CJK SC"/>
      <w:bCs/>
      <w:color w:val="65717D"/>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keepNext w:val="0"/>
      <w:widowControl/>
      <w:tabs>
        <w:tab w:val="center" w:pos="4680"/>
        <w:tab w:val="right" w:pos="9360"/>
      </w:tabs>
      <w:snapToGrid w:val="0"/>
      <w:spacing w:before="0" w:after="0" w:line="240" w:lineRule="auto"/>
      <w:jc w:val="right"/>
    </w:pPr>
    <w:rPr>
      <w:rFonts w:ascii="Calibri" w:hAnsi="Calibri" w:eastAsia="Noto Sans CJK SC"/>
      <w:color w:val="65717D"/>
      <w:sz w:val="16"/>
    </w:rPr>
  </w:style>
  <w:style w:type="paragraph" w:styleId="25">
    <w:name w:val="header"/>
    <w:basedOn w:val="1"/>
    <w:link w:val="135"/>
    <w:unhideWhenUsed/>
    <w:uiPriority w:val="99"/>
    <w:pPr>
      <w:keepNext w:val="0"/>
      <w:widowControl/>
      <w:tabs>
        <w:tab w:val="center" w:pos="4680"/>
        <w:tab w:val="right" w:pos="9360"/>
      </w:tabs>
      <w:snapToGrid w:val="0"/>
      <w:spacing w:before="0" w:after="0" w:line="240" w:lineRule="auto"/>
      <w:jc w:val="left"/>
    </w:pPr>
    <w:rPr>
      <w:rFonts w:ascii="Calibri" w:hAnsi="Calibri" w:eastAsia="Noto Sans CJK SC"/>
      <w:color w:val="65717D"/>
      <w:sz w:val="16"/>
    </w:rPr>
  </w:style>
  <w:style w:type="paragraph" w:styleId="26">
    <w:name w:val="Subtitle"/>
    <w:basedOn w:val="1"/>
    <w:next w:val="1"/>
    <w:link w:val="142"/>
    <w:qFormat/>
    <w:uiPriority w:val="11"/>
    <w:pPr>
      <w:keepNext w:val="0"/>
      <w:widowControl/>
      <w:snapToGrid w:val="0"/>
      <w:spacing w:before="0" w:after="240" w:line="300" w:lineRule="auto"/>
      <w:jc w:val="center"/>
    </w:pPr>
    <w:rPr>
      <w:rFonts w:asciiTheme="majorHAnsi" w:hAnsiTheme="majorHAnsi" w:eastAsiaTheme="majorEastAsia" w:cstheme="majorBidi"/>
      <w:iCs/>
      <w:color w:val="1F4D78"/>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val="0"/>
      <w:widowControl/>
      <w:snapToGrid w:val="0"/>
      <w:spacing w:before="0" w:after="280" w:line="310" w:lineRule="auto"/>
      <w:contextualSpacing/>
      <w:jc w:val="center"/>
    </w:pPr>
    <w:rPr>
      <w:rFonts w:asciiTheme="majorHAnsi" w:hAnsiTheme="majorHAnsi" w:eastAsiaTheme="majorEastAsia" w:cstheme="majorBidi"/>
      <w:b/>
      <w:color w:val="0B2545"/>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Body"/>
    <w:qFormat/>
    <w:uiPriority w:val="0"/>
    <w:pPr>
      <w:keepNext w:val="0"/>
      <w:widowControl/>
      <w:snapToGrid w:val="0"/>
      <w:spacing w:before="0" w:after="60" w:line="280" w:lineRule="auto"/>
      <w:jc w:val="left"/>
    </w:pPr>
    <w:rPr>
      <w:rFonts w:ascii="Calibri" w:hAnsi="Calibri" w:eastAsia="Noto Sans CJK SC" w:cstheme="minorBidi"/>
      <w:color w:val="202B36"/>
      <w:sz w:val="19"/>
      <w:szCs w:val="22"/>
      <w:lang w:val="en-US" w:eastAsia="en-US" w:bidi="ar-SA"/>
    </w:rPr>
  </w:style>
  <w:style w:type="paragraph" w:customStyle="1" w:styleId="165">
    <w:name w:val="TableCitation"/>
    <w:qFormat/>
    <w:uiPriority w:val="0"/>
    <w:pPr>
      <w:keepNext w:val="0"/>
      <w:widowControl/>
      <w:snapToGrid w:val="0"/>
      <w:spacing w:before="80" w:after="80" w:line="280" w:lineRule="auto"/>
      <w:jc w:val="left"/>
    </w:pPr>
    <w:rPr>
      <w:rFonts w:ascii="Calibri" w:hAnsi="Calibri" w:eastAsia="Noto Sans CJK SC" w:cstheme="minorBidi"/>
      <w:color w:val="65717D"/>
      <w:sz w:val="18"/>
      <w:szCs w:val="22"/>
      <w:lang w:val="en-US" w:eastAsia="en-US" w:bidi="ar-SA"/>
    </w:rPr>
  </w:style>
  <w:style w:type="paragraph" w:customStyle="1" w:styleId="166">
    <w:name w:val="Sources"/>
    <w:qFormat/>
    <w:uiPriority w:val="0"/>
    <w:pPr>
      <w:keepNext w:val="0"/>
      <w:widowControl/>
      <w:snapToGrid w:val="0"/>
      <w:spacing w:before="0" w:after="120" w:line="285" w:lineRule="auto"/>
      <w:jc w:val="left"/>
    </w:pPr>
    <w:rPr>
      <w:rFonts w:ascii="Calibri" w:hAnsi="Calibri" w:eastAsia="Noto Sans CJK SC" w:cstheme="minorBidi"/>
      <w:color w:val="45515D"/>
      <w:sz w:val="19"/>
      <w:szCs w:val="22"/>
      <w:lang w:val="en-US" w:eastAsia="en-US" w:bidi="ar-SA"/>
    </w:rPr>
  </w:style>
  <w:style w:type="paragraph" w:customStyle="1" w:styleId="167">
    <w:name w:val="Formula"/>
    <w:qFormat/>
    <w:uiPriority w:val="0"/>
    <w:pPr>
      <w:keepNext w:val="0"/>
      <w:widowControl/>
      <w:snapToGrid w:val="0"/>
      <w:spacing w:before="80" w:after="140" w:line="300" w:lineRule="auto"/>
      <w:jc w:val="center"/>
    </w:pPr>
    <w:rPr>
      <w:rFonts w:ascii="Cambria Math" w:hAnsi="Cambria Math" w:eastAsia="Noto Sans CJK SC" w:cstheme="minorBidi"/>
      <w:color w:val="202B36"/>
      <w:sz w:val="22"/>
      <w:szCs w:val="22"/>
      <w:lang w:val="en-US" w:eastAsia="en-US" w:bidi="ar-SA"/>
    </w:rPr>
  </w:style>
  <w:style w:type="paragraph" w:customStyle="1" w:styleId="168">
    <w:name w:val="Metadata"/>
    <w:qFormat/>
    <w:uiPriority w:val="0"/>
    <w:pPr>
      <w:keepNext w:val="0"/>
      <w:widowControl/>
      <w:snapToGrid w:val="0"/>
      <w:spacing w:before="0" w:after="100" w:line="290" w:lineRule="auto"/>
      <w:jc w:val="left"/>
    </w:pPr>
    <w:rPr>
      <w:rFonts w:ascii="Calibri" w:hAnsi="Calibri" w:eastAsia="Noto Sans CJK SC" w:cstheme="minorBidi"/>
      <w:color w:val="65717D"/>
      <w:sz w:val="20"/>
      <w:szCs w:val="22"/>
      <w:lang w:val="en-US" w:eastAsia="en-US" w:bidi="ar-SA"/>
    </w:rPr>
  </w:style>
  <w:style w:type="paragraph" w:customStyle="1" w:styleId="169">
    <w:name w:val="Lead"/>
    <w:qFormat/>
    <w:uiPriority w:val="0"/>
    <w:pPr>
      <w:keepNext w:val="0"/>
      <w:widowControl/>
      <w:snapToGrid w:val="0"/>
      <w:spacing w:before="80" w:after="180" w:line="300" w:lineRule="auto"/>
      <w:jc w:val="left"/>
    </w:pPr>
    <w:rPr>
      <w:rFonts w:ascii="Calibri" w:hAnsi="Calibri" w:eastAsia="Noto Sans CJK SC" w:cstheme="minorBidi"/>
      <w:b/>
      <w:color w:val="1F4D78"/>
      <w:sz w:val="22"/>
      <w:szCs w:val="22"/>
      <w:lang w:val="en-US" w:eastAsia="en-US" w:bidi="ar-SA"/>
    </w:rPr>
  </w:style>
  <w:style w:type="paragraph" w:customStyle="1" w:styleId="170">
    <w:name w:val="Decision"/>
    <w:qFormat/>
    <w:uiPriority w:val="0"/>
    <w:pPr>
      <w:keepNext w:val="0"/>
      <w:widowControl/>
      <w:shd w:val="clear" w:fill="FFF8E8"/>
      <w:snapToGrid w:val="0"/>
      <w:spacing w:before="80" w:after="160" w:line="300" w:lineRule="auto"/>
      <w:jc w:val="left"/>
    </w:pPr>
    <w:rPr>
      <w:rFonts w:ascii="Calibri" w:hAnsi="Calibri" w:eastAsia="Noto Sans CJK SC" w:cstheme="minorBidi"/>
      <w:color w:val="7A5A00"/>
      <w:sz w:val="21"/>
      <w:szCs w:val="22"/>
      <w:lang w:val="en-US" w:eastAsia="en-US" w:bidi="ar-SA"/>
    </w:rPr>
  </w:style>
  <w:style w:type="paragraph" w:customStyle="1" w:styleId="171">
    <w:name w:val="Code"/>
    <w:qFormat/>
    <w:uiPriority w:val="0"/>
    <w:pPr>
      <w:keepNext w:val="0"/>
      <w:widowControl/>
      <w:shd w:val="clear" w:fill="F4F6F9"/>
      <w:snapToGrid w:val="0"/>
      <w:spacing w:before="0" w:after="0" w:line="270" w:lineRule="exact"/>
      <w:ind w:left="120" w:right="120"/>
      <w:jc w:val="left"/>
    </w:pPr>
    <w:rPr>
      <w:rFonts w:ascii="DejaVu Sans Mono" w:hAnsi="DejaVu Sans Mono" w:eastAsia="Noto Sans CJK SC" w:cstheme="minorBidi"/>
      <w:color w:val="25374A"/>
      <w:sz w:val="17"/>
      <w:szCs w:val="22"/>
      <w:lang w:val="en-US" w:eastAsia="en-US" w:bidi="ar-SA"/>
    </w:rPr>
  </w:style>
  <w:style w:type="paragraph" w:customStyle="1" w:styleId="172">
    <w:name w:val="TOC"/>
    <w:qFormat/>
    <w:uiPriority w:val="0"/>
    <w:pPr>
      <w:keepNext w:val="0"/>
      <w:widowControl/>
      <w:snapToGrid w:val="0"/>
      <w:spacing w:before="0" w:after="40" w:line="340" w:lineRule="exact"/>
      <w:jc w:val="left"/>
    </w:pPr>
    <w:rPr>
      <w:rFonts w:ascii="Calibri" w:hAnsi="Calibri" w:eastAsia="Noto Sans CJK SC" w:cstheme="minorBidi"/>
      <w:color w:val="202B36"/>
      <w:sz w:val="21"/>
      <w:szCs w:val="22"/>
      <w:lang w:val="en-US" w:eastAsia="en-US" w:bidi="ar-SA"/>
    </w:rPr>
  </w:style>
  <w:style w:type="paragraph" w:customStyle="1" w:styleId="173">
    <w:name w:val="GuideBody"/>
    <w:qFormat/>
    <w:uiPriority w:val="0"/>
    <w:pPr>
      <w:keepNext w:val="0"/>
      <w:widowControl/>
      <w:snapToGrid w:val="0"/>
      <w:spacing w:before="0" w:after="100" w:line="240" w:lineRule="auto"/>
      <w:jc w:val="left"/>
    </w:pPr>
    <w:rPr>
      <w:rFonts w:ascii="Calibri" w:hAnsi="Calibri" w:eastAsia="Noto Sans CJK SC" w:cstheme="minorBidi"/>
      <w:color w:val="202B36"/>
      <w:sz w:val="21"/>
      <w:szCs w:val="22"/>
      <w:lang w:val="en-US" w:eastAsia="en-US" w:bidi="ar-SA"/>
    </w:rPr>
  </w:style>
  <w:style w:type="paragraph" w:customStyle="1" w:styleId="174">
    <w:name w:val="CompactBody"/>
    <w:qFormat/>
    <w:uiPriority w:val="0"/>
    <w:pPr>
      <w:keepNext w:val="0"/>
      <w:widowControl/>
      <w:snapToGrid w:val="0"/>
      <w:spacing w:before="0" w:after="100" w:line="276" w:lineRule="auto"/>
      <w:jc w:val="left"/>
    </w:pPr>
    <w:rPr>
      <w:rFonts w:ascii="Calibri" w:hAnsi="Calibri" w:eastAsia="Noto Sans CJK SC" w:cstheme="minorBidi"/>
      <w:color w:val="202B36"/>
      <w:sz w:val="22"/>
      <w:szCs w:val="22"/>
      <w:lang w:val="en-US" w:eastAsia="en-US" w:bidi="ar-SA"/>
    </w:rPr>
  </w:style>
  <w:style w:type="paragraph" w:customStyle="1" w:styleId="175">
    <w:name w:val="GuideBullet"/>
    <w:qFormat/>
    <w:uiPriority w:val="0"/>
    <w:pPr>
      <w:keepNext w:val="0"/>
      <w:widowControl/>
      <w:snapToGrid w:val="0"/>
      <w:spacing w:before="0" w:after="80" w:line="300" w:lineRule="auto"/>
      <w:ind w:left="540" w:hanging="271"/>
      <w:jc w:val="left"/>
    </w:pPr>
    <w:rPr>
      <w:rFonts w:ascii="Calibri" w:hAnsi="Calibri" w:eastAsia="Noto Sans CJK SC" w:cstheme="minorBidi"/>
      <w:color w:val="202B36"/>
      <w:sz w:val="22"/>
      <w:szCs w:val="22"/>
      <w:lang w:val="en-US" w:eastAsia="en-US" w:bidi="ar-SA"/>
    </w:rPr>
  </w:style>
  <w:style w:type="paragraph" w:customStyle="1" w:styleId="176">
    <w:name w:val="GuideNumber"/>
    <w:qFormat/>
    <w:uiPriority w:val="0"/>
    <w:pPr>
      <w:keepNext w:val="0"/>
      <w:widowControl/>
      <w:snapToGrid w:val="0"/>
      <w:spacing w:before="0" w:after="80" w:line="300" w:lineRule="auto"/>
      <w:ind w:left="540" w:hanging="271"/>
      <w:jc w:val="left"/>
    </w:pPr>
    <w:rPr>
      <w:rFonts w:ascii="Calibri" w:hAnsi="Calibri" w:eastAsia="Noto Sans CJK SC" w:cstheme="minorBidi"/>
      <w:color w:val="202B36"/>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1717</Words>
  <Characters>1877</Characters>
  <Lines>0</Lines>
  <Paragraphs>0</Paragraphs>
  <TotalTime>0</TotalTime>
  <ScaleCrop>false</ScaleCrop>
  <LinksUpToDate>false</LinksUpToDate>
  <CharactersWithSpaces>1987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Luka</dc:creator>
  <dc:description>generated by python-docx</dc:description>
  <cp:keywords>主动感知;强化学习;POMDP;SUMO;PPO;车道级决策</cp:keywords>
  <cp:lastModifiedBy>Luka</cp:lastModifiedBy>
  <dcterms:modified xsi:type="dcterms:W3CDTF">2026-09-10T06:54:27Z</dcterms:modified>
  <dc:subject>项目研究设计、仿真交互与算法实施讨论稿</dc:subject>
  <dc:title>单探测车主动感知：强化学习框架完整技术说明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ED9BE05BD9464597BA92F2006BFC82FD_13</vt:lpwstr>
  </property>
</Properties>
</file>