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للمؤلف</w:t>
      </w:r>
    </w:p>
    <w:p>
      <w:pPr>
        <w:bidi/>
        <w:spacing w:after="80"/>
        <w:jc w:val="center"/>
      </w:pPr>
      <w:r>
        <w:rPr>
          <w:rFonts w:ascii="Arial" w:hAnsi="Arial" w:cs="Arial" w:eastAsia="Arial"/>
          <w:b w:val="1"/>
          <w:bCs w:val="1"/>
          <w:color w:val="1F3A5F"/>
          <w:sz w:val="40"/>
          <w:szCs w:val="40"/>
        </w:rPr>
        <w:t>ملخص التغييرات والمعلومات الدورية</w:t>
      </w:r>
    </w:p>
    <w:p>
      <w:pPr>
        <w:bidi/>
        <w:spacing w:after="200"/>
        <w:jc w:val="center"/>
      </w:pPr>
      <w:r>
        <w:rPr>
          <w:rFonts w:ascii="Arial" w:hAnsi="Arial" w:cs="Arial" w:eastAsia="Arial"/>
          <w:b w:val="0"/>
          <w:bCs w:val="0"/>
          <w:color w:val="333333"/>
          <w:sz w:val="24"/>
          <w:szCs w:val="24"/>
        </w:rPr>
        <w:t>كيف تبدأ في GRC · النسخة 4: الموضوعات التأسيسية · 27 أكتوبر 2026</w:t>
      </w:r>
    </w:p>
    <w:p>
      <w:pPr>
        <w:bidi/>
        <w:spacing w:after="240"/>
        <w:jc w:val="center"/>
      </w:pPr>
      <w:r>
        <w:rPr>
          <w:rFonts w:ascii="Arial" w:hAnsi="Arial" w:cs="Arial" w:eastAsia="Arial"/>
          <w:b w:val="1"/>
          <w:bCs w:val="1"/>
          <w:color w:val="A61B1B"/>
          <w:sz w:val="19"/>
          <w:szCs w:val="19"/>
        </w:rPr>
        <w:t>بيانات تدريبية افتراضية — رُفاد للخدمات اللوجستية (شركة افتراضية لأغراض التدريب)</w:t>
      </w:r>
    </w:p>
    <w:p>
      <w:pPr>
        <w:pStyle w:val="Heading1"/>
        <w:bidi/>
      </w:pPr>
      <w:r>
        <w:rPr>
          <w:rFonts w:ascii="Arial" w:hAnsi="Arial" w:cs="Arial" w:eastAsia="Arial"/>
          <w:b w:val="0"/>
          <w:bCs w:val="0"/>
        </w:rPr>
        <w:t>ما طُوِّر وما أُضيف في هذه النسخة</w:t>
      </w:r>
    </w:p>
    <w:p>
      <w:pPr>
        <w:pStyle w:val="Heading2"/>
        <w:bidi/>
      </w:pPr>
      <w:r>
        <w:rPr>
          <w:rFonts w:ascii="Arial" w:hAnsi="Arial" w:cs="Arial" w:eastAsia="Arial"/>
          <w:b w:val="0"/>
          <w:bCs w:val="0"/>
        </w:rPr>
        <w:t>ما أُضيف</w:t>
      </w:r>
    </w:p>
    <w:p>
      <w:pPr>
        <w:bidi/>
        <w:spacing w:after="60"/>
        <w:ind w:right="283" w:hanging="255"/>
      </w:pPr>
      <w:r>
        <w:rPr>
          <w:rFonts w:ascii="Arial" w:hAnsi="Arial" w:cs="Arial" w:eastAsia="Arial"/>
          <w:b w:val="0"/>
          <w:bCs w:val="0"/>
          <w:sz w:val="21"/>
          <w:szCs w:val="21"/>
        </w:rPr>
        <w:t>• وحدة جديدة: الأساس التقني لمختص GRC (الشرائح 18 إلى 31). الهويات والصلاحيات (حساب عادي وإداري، المصادقة والتفويض، MFA وRBAC والحد الأدنى من الصلاحيات وفصل المهام)، والدليل المركزي بفكرته العامة، والشبكات والسجلات، والسحابة والمسؤولية المشتركة بأمثلة رُفاد، والحماية (الثغرات والتحديثات والتشفير والنسخ وDLP)، والتطبيقات والتغيير. كل مفهوم بأربعة أسئلة: ما هو؟ ما الخطر؟ ما الضابط؟ ما الدليل؟ بلا OSI ولا بروتوكولات ولا أوامر ولا إعداد منتجات. وتأتي بعد التعريف بالمجال وقبل المفاهيم والتطبيقات، فصارت الوحدات تسعاً.</w:t>
      </w:r>
    </w:p>
    <w:p>
      <w:pPr>
        <w:bidi/>
        <w:spacing w:after="60"/>
        <w:ind w:right="283" w:hanging="255"/>
      </w:pPr>
      <w:r>
        <w:rPr>
          <w:rFonts w:ascii="Arial" w:hAnsi="Arial" w:cs="Arial" w:eastAsia="Arial"/>
          <w:b w:val="0"/>
          <w:bCs w:val="0"/>
          <w:sz w:val="21"/>
          <w:szCs w:val="21"/>
        </w:rPr>
        <w:t>• GRC وأهداف العمل: أهداف رُفاد الأربعة، ومثال محلول من الهدف إلى الأصل والخطر والضابط والمالك والمؤشر وقرار الإدارة، وصياغة الأثر بلغة الأعمال، ثم تمرين وإجابة (الشرائح 70 إلى 73).</w:t>
      </w:r>
    </w:p>
    <w:p>
      <w:pPr>
        <w:bidi/>
        <w:spacing w:after="60"/>
        <w:ind w:right="283" w:hanging="255"/>
      </w:pPr>
      <w:r>
        <w:rPr>
          <w:rFonts w:ascii="Arial" w:hAnsi="Arial" w:cs="Arial" w:eastAsia="Arial"/>
          <w:b w:val="0"/>
          <w:bCs w:val="0"/>
          <w:sz w:val="21"/>
          <w:szCs w:val="21"/>
        </w:rPr>
        <w:t>• التصميم والتنفيذ والتشغيل: ثلاث فجوات في مراجعة الصلاحيات، لكل منها حالة ودليل (المسؤولون مستثنون من المراجعة، ومعيار لم يبدأ تطبيقه، وربع سنة فائت)، ثم تمرين وإجابة (الشرائح 115 إلى 119).</w:t>
      </w:r>
    </w:p>
    <w:p>
      <w:pPr>
        <w:bidi/>
        <w:spacing w:after="60"/>
        <w:ind w:right="283" w:hanging="255"/>
      </w:pPr>
      <w:r>
        <w:rPr>
          <w:rFonts w:ascii="Arial" w:hAnsi="Arial" w:cs="Arial" w:eastAsia="Arial"/>
          <w:b w:val="0"/>
          <w:bCs w:val="0"/>
          <w:sz w:val="21"/>
          <w:szCs w:val="21"/>
        </w:rPr>
        <w:t>• المؤشرات والتقرير: KGI وKPI وKRI وKCI بالغرض لا كحدود ثابتة، وتعريف كل مؤشر بستة أسئلة (ما يقيسه، والحساب، والمصدر، والمالك، والدورية، وما يستدعي إجراءً)، وتقرير إدارة من صفحة واحدة معروض على شريحتين، ثم تمرين وإجابة، وأداة GRC تربط المتطلب بالضابط والدليل والخطر والملاحظة والإجراء (الشرائح 131 إلى 137).</w:t>
      </w:r>
    </w:p>
    <w:p>
      <w:pPr>
        <w:bidi/>
        <w:spacing w:after="60"/>
        <w:ind w:right="283" w:hanging="255"/>
      </w:pPr>
      <w:r>
        <w:rPr>
          <w:rFonts w:ascii="Arial" w:hAnsi="Arial" w:cs="Arial" w:eastAsia="Arial"/>
          <w:b w:val="0"/>
          <w:bCs w:val="0"/>
          <w:sz w:val="21"/>
          <w:szCs w:val="21"/>
        </w:rPr>
        <w:t>• الأطر بثلاثة مستويات عمق (الشرائح 142 إلى 144): رئيسية (ECC وNFCRM وISO ‏27001 وNIST CSF)، وقطاعية وبيانات (SAMA CSF وPDPL وPCI DSS وGDPR)، وللتعريف (COBIT وCIS وNIST RMF وHIPAA وSOX). لكل مرجع نوعه وغرضه ونطاقه ولماذا تستخدمه الجهة. ومقارنتان: NIST CSF مقابل NIST RMF، وتقييم الفجوات مقابل تقييم النضج (الشريحة 149).</w:t>
      </w:r>
    </w:p>
    <w:p>
      <w:pPr>
        <w:bidi/>
        <w:spacing w:after="60"/>
        <w:ind w:right="283" w:hanging="255"/>
      </w:pPr>
      <w:r>
        <w:rPr>
          <w:rFonts w:ascii="Arial" w:hAnsi="Arial" w:cs="Arial" w:eastAsia="Arial"/>
          <w:b w:val="0"/>
          <w:bCs w:val="0"/>
          <w:sz w:val="21"/>
          <w:szCs w:val="21"/>
        </w:rPr>
        <w:t>• المواءمة: مثال محلول ثم تمرين وإجابة بين ECC وISO ‏27001 وضابط داخلي ودليله، بحكم كلي أو جزئي، وتنبيه أن التشابه لا يثبت الالتزام (الشرائح 156 إلى 158).</w:t>
      </w:r>
    </w:p>
    <w:p>
      <w:pPr>
        <w:bidi/>
        <w:spacing w:after="60"/>
        <w:ind w:right="283" w:hanging="255"/>
      </w:pPr>
      <w:r>
        <w:rPr>
          <w:rFonts w:ascii="Arial" w:hAnsi="Arial" w:cs="Arial" w:eastAsia="Arial"/>
          <w:b w:val="0"/>
          <w:bCs w:val="0"/>
          <w:sz w:val="21"/>
          <w:szCs w:val="21"/>
        </w:rPr>
        <w:t>• اختبار قصير في نهاية كل وحدة (9 اختبارات، 33 سؤالاً). العرض يحدد موضع التوقف فقط، والأسئلة في الكراسة، والإجابات المفسرة مع سبب خطأ البدائل في ملف الإجابات.</w:t>
      </w:r>
    </w:p>
    <w:p>
      <w:pPr>
        <w:bidi/>
        <w:spacing w:after="60"/>
        <w:ind w:right="283" w:hanging="255"/>
      </w:pPr>
      <w:r>
        <w:rPr>
          <w:rFonts w:ascii="Arial" w:hAnsi="Arial" w:cs="Arial" w:eastAsia="Arial"/>
          <w:b w:val="0"/>
          <w:bCs w:val="0"/>
          <w:sz w:val="21"/>
          <w:szCs w:val="21"/>
        </w:rPr>
        <w:t>• تقييم ختامي عملي (الشريحة 215): حالة نسخ احتياطي لنظام الرواتب بأربعة أدلة. المطلوب: تحديد الخطر وتقييمه، واختيار ضابطين، وتقييم الأدلة ونوع كل فجوة، وكتابة ملاحظة وخطة تصحيح. والإجابة النموذجية فيها معايير التصحيح.</w:t>
      </w:r>
    </w:p>
    <w:p>
      <w:pPr>
        <w:pStyle w:val="Heading2"/>
        <w:bidi/>
      </w:pPr>
      <w:r>
        <w:rPr>
          <w:rFonts w:ascii="Arial" w:hAnsi="Arial" w:cs="Arial" w:eastAsia="Arial"/>
          <w:b w:val="0"/>
          <w:bCs w:val="0"/>
        </w:rPr>
        <w:t>ما طُوِّر دون تكرار</w:t>
      </w:r>
    </w:p>
    <w:p>
      <w:pPr>
        <w:bidi/>
        <w:spacing w:after="60"/>
        <w:ind w:right="283" w:hanging="255"/>
      </w:pPr>
      <w:r>
        <w:rPr>
          <w:rFonts w:ascii="Arial" w:hAnsi="Arial" w:cs="Arial" w:eastAsia="Arial"/>
          <w:b w:val="0"/>
          <w:bCs w:val="0"/>
          <w:sz w:val="21"/>
          <w:szCs w:val="21"/>
        </w:rPr>
        <w:t>• مكونات السياسة على سياسة واحدة كاملة: الغرض، والنطاق، والأدوار، والمتطلبات، والاستثناءات، والاعتماد والمراجعة (الشريحة 41).</w:t>
      </w:r>
    </w:p>
    <w:p>
      <w:pPr>
        <w:bidi/>
        <w:spacing w:after="60"/>
        <w:ind w:right="283" w:hanging="255"/>
      </w:pPr>
      <w:r>
        <w:rPr>
          <w:rFonts w:ascii="Arial" w:hAnsi="Arial" w:cs="Arial" w:eastAsia="Arial"/>
          <w:b w:val="0"/>
          <w:bCs w:val="0"/>
          <w:sz w:val="21"/>
          <w:szCs w:val="21"/>
        </w:rPr>
        <w:t>• أمن العاملين: الانضمام وتغيير الدور والمغادرة، بأمثلة من رُفاد ودليل كل مرحلة (الشريحة 43).</w:t>
      </w:r>
    </w:p>
    <w:p>
      <w:pPr>
        <w:bidi/>
        <w:spacing w:after="60"/>
        <w:ind w:right="283" w:hanging="255"/>
      </w:pPr>
      <w:r>
        <w:rPr>
          <w:rFonts w:ascii="Arial" w:hAnsi="Arial" w:cs="Arial" w:eastAsia="Arial"/>
          <w:b w:val="0"/>
          <w:bCs w:val="0"/>
          <w:sz w:val="21"/>
          <w:szCs w:val="21"/>
        </w:rPr>
        <w:t>• مخاطر الأطراف الخارجية صارت دورة من خمس مراحل: قبل التعاقد، والعقد، والوصول، والمتابعة، والإنهاء، وما ينقص سَنَد في كل مرحلة (الشريحة 84).</w:t>
      </w:r>
    </w:p>
    <w:p>
      <w:pPr>
        <w:bidi/>
        <w:spacing w:after="60"/>
        <w:ind w:right="283" w:hanging="255"/>
      </w:pPr>
      <w:r>
        <w:rPr>
          <w:rFonts w:ascii="Arial" w:hAnsi="Arial" w:cs="Arial" w:eastAsia="Arial"/>
          <w:b w:val="0"/>
          <w:bCs w:val="0"/>
          <w:sz w:val="21"/>
          <w:szCs w:val="21"/>
        </w:rPr>
        <w:t>• الفرق بين BIA وBCP وDRP والاستجابة للحوادث، وموضع RTO وRPO، وما يفعله GRC وما لا يفعله (الشريحة 86).</w:t>
      </w:r>
    </w:p>
    <w:p>
      <w:pPr>
        <w:bidi/>
        <w:spacing w:after="60"/>
        <w:ind w:right="283" w:hanging="255"/>
      </w:pPr>
      <w:r>
        <w:rPr>
          <w:rFonts w:ascii="Arial" w:hAnsi="Arial" w:cs="Arial" w:eastAsia="Arial"/>
          <w:b w:val="0"/>
          <w:bCs w:val="0"/>
          <w:sz w:val="21"/>
          <w:szCs w:val="21"/>
        </w:rPr>
        <w:t>• حالة رُفاد بقيت واحدة: الأرقام والأسماء والملاحظات F-03 وF-04 ومستويات الخطر متسقة بين الشرائح الجديدة والقديمة والكراسة.</w:t>
      </w:r>
    </w:p>
    <w:p>
      <w:pPr>
        <w:bidi/>
        <w:spacing w:after="60"/>
        <w:ind w:right="283" w:hanging="255"/>
      </w:pPr>
      <w:r>
        <w:rPr>
          <w:rFonts w:ascii="Arial" w:hAnsi="Arial" w:cs="Arial" w:eastAsia="Arial"/>
          <w:b w:val="0"/>
          <w:bCs w:val="0"/>
          <w:sz w:val="21"/>
          <w:szCs w:val="21"/>
        </w:rPr>
        <w:t>• العرض الآن 231 شريحة بدل 184. الوحدات السابقة والتطبيقات الأربعة والشهادات والخطة والسيرة ولينكدإن والمقابلة باقية، وأُعيد ترقيم الوحدات وإحالات الشرائح.</w:t>
      </w:r>
    </w:p>
    <w:p>
      <w:pPr>
        <w:pStyle w:val="Heading2"/>
        <w:bidi/>
      </w:pPr>
      <w:r>
        <w:rPr>
          <w:rFonts w:ascii="Arial" w:hAnsi="Arial" w:cs="Arial" w:eastAsia="Arial"/>
          <w:b w:val="0"/>
          <w:bCs w:val="0"/>
        </w:rPr>
        <w:t>ما لم يُضف عمداً</w:t>
      </w:r>
    </w:p>
    <w:p>
      <w:pPr>
        <w:bidi/>
        <w:spacing w:after="60"/>
        <w:ind w:right="283" w:hanging="255"/>
      </w:pPr>
      <w:r>
        <w:rPr>
          <w:rFonts w:ascii="Arial" w:hAnsi="Arial" w:cs="Arial" w:eastAsia="Arial"/>
          <w:b w:val="0"/>
          <w:bCs w:val="0"/>
          <w:sz w:val="21"/>
          <w:szCs w:val="21"/>
        </w:rPr>
        <w:t>• لم نضف تفاصيل RAID أو Homing أو SDN أو البرمجة أو تنفيذ الهجمات أو العينات الإحصائية أو SSAE، ولا تعمقاً في COBIT وCGEIT. الكورس لم يتحول إلى مسار تدقيق أو شبكات أو اختراق أو إدارة برنامج GRC.</w:t>
      </w:r>
    </w:p>
    <w:p>
      <w:pPr>
        <w:pStyle w:val="Heading2"/>
        <w:bidi/>
      </w:pPr>
      <w:r>
        <w:rPr>
          <w:rFonts w:ascii="Arial" w:hAnsi="Arial" w:cs="Arial" w:eastAsia="Arial"/>
          <w:b w:val="0"/>
          <w:bCs w:val="0"/>
        </w:rPr>
        <w:t>المصادر والتحقق</w:t>
      </w:r>
    </w:p>
    <w:p>
      <w:pPr>
        <w:bidi/>
        <w:spacing w:after="60"/>
        <w:ind w:right="283" w:hanging="255"/>
      </w:pPr>
      <w:r>
        <w:rPr>
          <w:rFonts w:ascii="Arial" w:hAnsi="Arial" w:cs="Arial" w:eastAsia="Arial"/>
          <w:b w:val="0"/>
          <w:bCs w:val="0"/>
          <w:sz w:val="21"/>
          <w:szCs w:val="21"/>
        </w:rPr>
        <w:t>• نصوص ضوابط ECC المستشهد بها مأخوذة من الوثيقة الرسمية ECC-2:2024 وأرقامها في ملاحظات كل شريحة مع الرابط وتاريخ التحقق 27 أكتوبر 2026.</w:t>
      </w:r>
    </w:p>
    <w:p>
      <w:pPr>
        <w:bidi/>
        <w:spacing w:after="60"/>
        <w:ind w:right="283" w:hanging="255"/>
      </w:pPr>
      <w:r>
        <w:rPr>
          <w:rFonts w:ascii="Arial" w:hAnsi="Arial" w:cs="Arial" w:eastAsia="Arial"/>
          <w:b w:val="0"/>
          <w:bCs w:val="0"/>
          <w:sz w:val="21"/>
          <w:szCs w:val="21"/>
        </w:rPr>
        <w:t>• نطاقات SAMA CSF وPCI DSS وGDPR وCIS Controls v‏8.1 وNIST RMF وNIST CSF من صفحاتها الرسمية، والروابط في الملاحظات.</w:t>
      </w:r>
    </w:p>
    <w:p>
      <w:pPr>
        <w:bidi/>
        <w:spacing w:after="60"/>
        <w:ind w:right="283" w:hanging="255"/>
      </w:pPr>
      <w:r>
        <w:rPr>
          <w:rFonts w:ascii="Arial" w:hAnsi="Arial" w:cs="Arial" w:eastAsia="Arial"/>
          <w:b w:val="0"/>
          <w:bCs w:val="0"/>
          <w:sz w:val="21"/>
          <w:szCs w:val="21"/>
        </w:rPr>
        <w:t>• المواءمات في الأمثلة تحكم بالتغطية الجزئية عمداً، ولا تدّعي مواءمة رسمية منشورة.</w:t>
      </w:r>
    </w:p>
    <w:p>
      <w:pPr>
        <w:pStyle w:val="Heading2"/>
        <w:bidi/>
      </w:pPr>
      <w:r>
        <w:rPr>
          <w:rFonts w:ascii="Arial" w:hAnsi="Arial" w:cs="Arial" w:eastAsia="Arial"/>
          <w:b w:val="0"/>
          <w:bCs w:val="0"/>
        </w:rPr>
        <w:t>الفحص قبل التسليم</w:t>
      </w:r>
    </w:p>
    <w:p>
      <w:pPr>
        <w:bidi/>
        <w:spacing w:after="60"/>
        <w:ind w:right="283" w:hanging="255"/>
      </w:pPr>
      <w:r>
        <w:rPr>
          <w:rFonts w:ascii="Arial" w:hAnsi="Arial" w:cs="Arial" w:eastAsia="Arial"/>
          <w:b w:val="0"/>
          <w:bCs w:val="0"/>
          <w:sz w:val="21"/>
          <w:szCs w:val="21"/>
        </w:rPr>
        <w:t>• عُرضت الشرائح الجديدة والمعدلة في مشغّل العرض وروجعت بصرياً. ما أصلحناه: أرقام ضوابط تنكسر في آخر السطر أو تنقلب بعد «و»، وجدول أداة GRC الذي كان يصغر، وعنوان التقييم الختامي الذي التف سطرين، وتقرير الإدارة الذي تجاوز حد الشريحة.</w:t>
      </w:r>
    </w:p>
    <w:p>
      <w:pPr>
        <w:bidi/>
        <w:spacing w:after="60"/>
        <w:ind w:right="283" w:hanging="255"/>
      </w:pPr>
      <w:r>
        <w:rPr>
          <w:rFonts w:ascii="Arial" w:hAnsi="Arial" w:cs="Arial" w:eastAsia="Arial"/>
          <w:b w:val="0"/>
          <w:bCs w:val="0"/>
          <w:sz w:val="21"/>
          <w:szCs w:val="21"/>
        </w:rPr>
        <w:t>• ثم عُرضت الشرائح كلها (231) وروجعت، وتحققنا من إحالات أرقام الشرائح بعد إعادة الترقيم. وقورن ملف PowerPoint بالعرض مربعاً مربعاً: فروق صغيرة في ارتفاع صفوف بعض الجداول (9 شرائح، أغلبها قديمة) دون تداخل. وفُحص مرة أخرى بعد إخفاء الخطين فلم يظهر تداخل في الشرائح الجديدة.</w:t>
      </w:r>
    </w:p>
    <w:p>
      <w:pPr>
        <w:bidi/>
        <w:spacing w:after="60"/>
        <w:ind w:right="283" w:hanging="255"/>
      </w:pPr>
      <w:r>
        <w:rPr>
          <w:rFonts w:ascii="Arial" w:hAnsi="Arial" w:cs="Arial" w:eastAsia="Arial"/>
          <w:b w:val="0"/>
          <w:bCs w:val="0"/>
          <w:sz w:val="21"/>
          <w:szCs w:val="21"/>
        </w:rPr>
        <w:t>• نص القراءة (المتن والجداول والنماذج) بوسيط 18 نقطة في PowerPoint:‏ 60% منه 18 نقطة فأكثر، و93% منه 16 نقطة فأكثر، و7% أصغر من 16 نقطة. والمصادر والتذييلات وتسميات النماذج 12 إلى 13 نقطة، والعناوين 30 نقطة.</w:t>
      </w:r>
    </w:p>
    <w:p>
      <w:pPr>
        <w:pStyle w:val="Heading1"/>
        <w:bidi/>
      </w:pPr>
      <w:r>
        <w:rPr>
          <w:rFonts w:ascii="Arial" w:hAnsi="Arial" w:cs="Arial" w:eastAsia="Arial"/>
          <w:b w:val="0"/>
          <w:bCs w:val="0"/>
        </w:rPr>
        <w:t>قرار الشعارات</w:t>
      </w:r>
    </w:p>
    <w:p>
      <w:pPr>
        <w:bidi/>
      </w:pPr>
      <w:r>
        <w:rPr>
          <w:rFonts w:ascii="Arial" w:hAnsi="Arial" w:cs="Arial" w:eastAsia="Arial"/>
          <w:b w:val="0"/>
          <w:bCs w:val="0"/>
          <w:sz w:val="21"/>
          <w:szCs w:val="21"/>
        </w:rPr>
        <w:t>لم نُدرج الشعارات في هذه النسخة أيضاً، ولم نولّد أي شعار. الشعارات الأصلية لا تُستخدم إلا بإذن أصحابها: ISO تمنع استخدام اسمها وشعارها خارج الحالات المرخصة، وعلامات ISC‏2 مخصصة للحاصلين على شهاداتها وتحتاج طلباً مكتوباً لغير ذلك، وأصول علامة ISACA تحتاج موافقة، وشعار NIST يتبع سياسة وزارة التجارة الأمريكية التي تشترط الإذن. والكورس منتج تجاري غير معتمد من أي منها، والشعار على شريحة قد يوحي باعتماد غير موجود. إن كان لديك إذن مكتوب من جهة ما، تضاف شعاراتها الأصلية من مصدرها الرسمي ويوثق المصدر في الملاحظات.</w:t>
      </w:r>
    </w:p>
    <w:p>
      <w:pPr>
        <w:pStyle w:val="Heading1"/>
        <w:bidi/>
      </w:pPr>
      <w:r>
        <w:rPr>
          <w:rFonts w:ascii="Arial" w:hAnsi="Arial" w:cs="Arial" w:eastAsia="Arial"/>
          <w:b w:val="0"/>
          <w:bCs w:val="0"/>
        </w:rPr>
        <w:t>معلومات تحتاج تحديثاً دورياً</w:t>
      </w:r>
    </w:p>
    <w:p>
      <w:pPr>
        <w:bidi/>
      </w:pPr>
      <w:r>
        <w:rPr>
          <w:rFonts w:ascii="Arial" w:hAnsi="Arial" w:cs="Arial" w:eastAsia="Arial"/>
          <w:b w:val="0"/>
          <w:bCs w:val="0"/>
          <w:sz w:val="21"/>
          <w:szCs w:val="21"/>
        </w:rPr>
        <w:t>كل المعلومات المتغيرة متحقق منها في 27 أكتوبر 2026، وتاريخ التحقق مكتوب في الملاحظات والملحق. هذه النسخة لم تغير أي رقم منها. حين تحدّث رقماً حدّث التاريخ معه.</w:t>
      </w:r>
    </w:p>
    <w:tbl>
      <w:tblPr>
        <w:tblStyle w:val="TableGrid"/>
        <w:bidiVisual/>
        <w:tblW w:type="dxa" w:w="9637"/>
        <w:jc w:val="center"/>
        <w:tblLayout w:type="fixed"/>
        <w:tblLook w:firstColumn="1" w:firstRow="1" w:lastColumn="0" w:lastRow="0" w:noHBand="0" w:noVBand="1" w:val="04A0"/>
      </w:tblPr>
      <w:tblGrid>
        <w:gridCol w:w="3968"/>
        <w:gridCol w:w="2381"/>
        <w:gridCol w:w="3288"/>
      </w:tblGrid>
      <w:tr>
        <w:trPr>
          <w:cantSplit/>
          <w:tblHeader/>
        </w:trPr>
        <w:tc>
          <w:tcPr>
            <w:tcW w:type="dxa" w:w="3969"/>
            <w:shd w:val="clear" w:color="auto" w:fill="D9E2F3"/>
          </w:tcPr>
          <w:p>
            <w:pPr>
              <w:bidi/>
              <w:spacing w:after="20" w:line="252" w:lineRule="auto"/>
            </w:pPr>
            <w:r/>
            <w:r>
              <w:rPr>
                <w:rFonts w:ascii="Arial" w:hAnsi="Arial" w:cs="Arial" w:eastAsia="Arial"/>
                <w:b w:val="1"/>
                <w:bCs w:val="1"/>
                <w:sz w:val="20"/>
                <w:szCs w:val="20"/>
              </w:rPr>
              <w:t>المعلومة</w:t>
            </w:r>
          </w:p>
        </w:tc>
        <w:tc>
          <w:tcPr>
            <w:tcW w:type="dxa" w:w="2381"/>
            <w:shd w:val="clear" w:color="auto" w:fill="D9E2F3"/>
          </w:tcPr>
          <w:p>
            <w:pPr>
              <w:bidi/>
              <w:spacing w:after="20" w:line="252" w:lineRule="auto"/>
            </w:pPr>
            <w:r/>
            <w:r>
              <w:rPr>
                <w:rFonts w:ascii="Arial" w:hAnsi="Arial" w:cs="Arial" w:eastAsia="Arial"/>
                <w:b w:val="1"/>
                <w:bCs w:val="1"/>
                <w:sz w:val="20"/>
                <w:szCs w:val="20"/>
              </w:rPr>
              <w:t>متى تراجعها</w:t>
            </w:r>
          </w:p>
        </w:tc>
        <w:tc>
          <w:tcPr>
            <w:tcW w:type="dxa" w:w="3288"/>
            <w:shd w:val="clear" w:color="auto" w:fill="D9E2F3"/>
          </w:tcPr>
          <w:p>
            <w:pPr>
              <w:bidi/>
              <w:spacing w:after="20" w:line="252" w:lineRule="auto"/>
            </w:pPr>
            <w:r/>
            <w:r>
              <w:rPr>
                <w:rFonts w:ascii="Arial" w:hAnsi="Arial" w:cs="Arial" w:eastAsia="Arial"/>
                <w:b w:val="1"/>
                <w:bCs w:val="1"/>
                <w:sz w:val="20"/>
                <w:szCs w:val="20"/>
              </w:rPr>
              <w:t>أين في العرض</w:t>
            </w:r>
          </w:p>
        </w:tc>
      </w:tr>
      <w:tr>
        <w:trPr>
          <w:cantSplit/>
        </w:trPr>
        <w:tc>
          <w:tcPr>
            <w:tcW w:type="dxa" w:w="3969"/>
          </w:tcPr>
          <w:p>
            <w:pPr>
              <w:bidi/>
              <w:spacing w:after="20" w:line="252" w:lineRule="auto"/>
            </w:pPr>
            <w:r/>
            <w:r>
              <w:rPr>
                <w:rFonts w:ascii="Arial" w:hAnsi="Arial" w:cs="Arial" w:eastAsia="Arial"/>
                <w:b w:val="0"/>
                <w:bCs w:val="0"/>
                <w:sz w:val="20"/>
                <w:szCs w:val="20"/>
              </w:rPr>
              <w:t>رسوم الشهادات وتجديدها</w:t>
            </w:r>
          </w:p>
        </w:tc>
        <w:tc>
          <w:tcPr>
            <w:tcW w:type="dxa" w:w="2381"/>
          </w:tcPr>
          <w:p>
            <w:pPr>
              <w:bidi/>
              <w:spacing w:after="20" w:line="252" w:lineRule="auto"/>
            </w:pPr>
            <w:r/>
            <w:r>
              <w:rPr>
                <w:rFonts w:ascii="Arial" w:hAnsi="Arial" w:cs="Arial" w:eastAsia="Arial"/>
                <w:b w:val="0"/>
                <w:bCs w:val="0"/>
                <w:sz w:val="20"/>
                <w:szCs w:val="20"/>
              </w:rPr>
              <w:t>كل 6 أشهر</w:t>
            </w:r>
          </w:p>
        </w:tc>
        <w:tc>
          <w:tcPr>
            <w:tcW w:type="dxa" w:w="3288"/>
          </w:tcPr>
          <w:p>
            <w:pPr>
              <w:bidi/>
              <w:spacing w:after="20" w:line="252" w:lineRule="auto"/>
            </w:pPr>
            <w:r/>
            <w:r>
              <w:rPr>
                <w:rFonts w:ascii="Arial" w:hAnsi="Arial" w:cs="Arial" w:eastAsia="Arial"/>
                <w:b w:val="0"/>
                <w:bCs w:val="0"/>
                <w:sz w:val="20"/>
                <w:szCs w:val="20"/>
              </w:rPr>
              <w:t>الشريحتين 221 و222</w:t>
            </w:r>
          </w:p>
        </w:tc>
      </w:tr>
      <w:tr>
        <w:trPr>
          <w:cantSplit/>
        </w:trPr>
        <w:tc>
          <w:tcPr>
            <w:tcW w:type="dxa" w:w="3969"/>
          </w:tcPr>
          <w:p>
            <w:pPr>
              <w:bidi/>
              <w:spacing w:after="20" w:line="252" w:lineRule="auto"/>
            </w:pPr>
            <w:r/>
            <w:r>
              <w:rPr>
                <w:rFonts w:ascii="Arial" w:hAnsi="Arial" w:cs="Arial" w:eastAsia="Arial"/>
                <w:b w:val="0"/>
                <w:bCs w:val="0"/>
                <w:sz w:val="20"/>
                <w:szCs w:val="20"/>
              </w:rPr>
              <w:t>مخطط CISM وأوزانه، ومخططات الاختبارات الأخرى</w:t>
            </w:r>
          </w:p>
        </w:tc>
        <w:tc>
          <w:tcPr>
            <w:tcW w:type="dxa" w:w="2381"/>
          </w:tcPr>
          <w:p>
            <w:pPr>
              <w:bidi/>
              <w:spacing w:after="20" w:line="252" w:lineRule="auto"/>
            </w:pPr>
            <w:r/>
            <w:r>
              <w:rPr>
                <w:rFonts w:ascii="Arial" w:hAnsi="Arial" w:cs="Arial" w:eastAsia="Arial"/>
                <w:b w:val="0"/>
                <w:bCs w:val="0"/>
                <w:sz w:val="20"/>
                <w:szCs w:val="20"/>
              </w:rPr>
              <w:t>كل 6 أشهر، وقبل كل تسجيل</w:t>
            </w:r>
          </w:p>
        </w:tc>
        <w:tc>
          <w:tcPr>
            <w:tcW w:type="dxa" w:w="3288"/>
          </w:tcPr>
          <w:p>
            <w:pPr>
              <w:bidi/>
              <w:spacing w:after="20" w:line="252" w:lineRule="auto"/>
            </w:pPr>
            <w:r/>
            <w:r>
              <w:rPr>
                <w:rFonts w:ascii="Arial" w:hAnsi="Arial" w:cs="Arial" w:eastAsia="Arial"/>
                <w:b w:val="0"/>
                <w:bCs w:val="0"/>
                <w:sz w:val="20"/>
                <w:szCs w:val="20"/>
              </w:rPr>
              <w:t>الشريحتين 169 و223</w:t>
            </w:r>
          </w:p>
        </w:tc>
      </w:tr>
      <w:tr>
        <w:trPr>
          <w:cantSplit/>
        </w:trPr>
        <w:tc>
          <w:tcPr>
            <w:tcW w:type="dxa" w:w="3969"/>
          </w:tcPr>
          <w:p>
            <w:pPr>
              <w:bidi/>
              <w:spacing w:after="20" w:line="252" w:lineRule="auto"/>
            </w:pPr>
            <w:r/>
            <w:r>
              <w:rPr>
                <w:rFonts w:ascii="Arial" w:hAnsi="Arial" w:cs="Arial" w:eastAsia="Arial"/>
                <w:b w:val="0"/>
                <w:bCs w:val="0"/>
                <w:sz w:val="20"/>
                <w:szCs w:val="20"/>
              </w:rPr>
              <w:t>لغات الاختبارات</w:t>
            </w:r>
          </w:p>
        </w:tc>
        <w:tc>
          <w:tcPr>
            <w:tcW w:type="dxa" w:w="2381"/>
          </w:tcPr>
          <w:p>
            <w:pPr>
              <w:bidi/>
              <w:spacing w:after="20" w:line="252" w:lineRule="auto"/>
            </w:pPr>
            <w:r/>
            <w:r>
              <w:rPr>
                <w:rFonts w:ascii="Arial" w:hAnsi="Arial" w:cs="Arial" w:eastAsia="Arial"/>
                <w:b w:val="0"/>
                <w:bCs w:val="0"/>
                <w:sz w:val="20"/>
                <w:szCs w:val="20"/>
              </w:rPr>
              <w:t>كل 6 أشهر</w:t>
            </w:r>
          </w:p>
        </w:tc>
        <w:tc>
          <w:tcPr>
            <w:tcW w:type="dxa" w:w="3288"/>
          </w:tcPr>
          <w:p>
            <w:pPr>
              <w:bidi/>
              <w:spacing w:after="20" w:line="252" w:lineRule="auto"/>
            </w:pPr>
            <w:r/>
            <w:r>
              <w:rPr>
                <w:rFonts w:ascii="Arial" w:hAnsi="Arial" w:cs="Arial" w:eastAsia="Arial"/>
                <w:b w:val="0"/>
                <w:bCs w:val="0"/>
                <w:sz w:val="20"/>
                <w:szCs w:val="20"/>
              </w:rPr>
              <w:t>الشرائح 175، 224، 225</w:t>
            </w:r>
          </w:p>
        </w:tc>
      </w:tr>
      <w:tr>
        <w:trPr>
          <w:cantSplit/>
        </w:trPr>
        <w:tc>
          <w:tcPr>
            <w:tcW w:type="dxa" w:w="3969"/>
          </w:tcPr>
          <w:p>
            <w:pPr>
              <w:bidi/>
              <w:spacing w:after="20" w:line="252" w:lineRule="auto"/>
            </w:pPr>
            <w:r/>
            <w:r>
              <w:rPr>
                <w:rFonts w:ascii="Arial" w:hAnsi="Arial" w:cs="Arial" w:eastAsia="Arial"/>
                <w:b w:val="0"/>
                <w:bCs w:val="0"/>
                <w:sz w:val="20"/>
                <w:szCs w:val="20"/>
              </w:rPr>
              <w:t>إصدارات ECC والأطر السعودية ونطاقها</w:t>
            </w:r>
          </w:p>
        </w:tc>
        <w:tc>
          <w:tcPr>
            <w:tcW w:type="dxa" w:w="2381"/>
          </w:tcPr>
          <w:p>
            <w:pPr>
              <w:bidi/>
              <w:spacing w:after="20" w:line="252" w:lineRule="auto"/>
            </w:pPr>
            <w:r/>
            <w:r>
              <w:rPr>
                <w:rFonts w:ascii="Arial" w:hAnsi="Arial" w:cs="Arial" w:eastAsia="Arial"/>
                <w:b w:val="0"/>
                <w:bCs w:val="0"/>
                <w:sz w:val="20"/>
                <w:szCs w:val="20"/>
              </w:rPr>
              <w:t>كل 6 أشهر</w:t>
            </w:r>
          </w:p>
        </w:tc>
        <w:tc>
          <w:tcPr>
            <w:tcW w:type="dxa" w:w="3288"/>
          </w:tcPr>
          <w:p>
            <w:pPr>
              <w:bidi/>
              <w:spacing w:after="20" w:line="252" w:lineRule="auto"/>
            </w:pPr>
            <w:r/>
            <w:r>
              <w:rPr>
                <w:rFonts w:ascii="Arial" w:hAnsi="Arial" w:cs="Arial" w:eastAsia="Arial"/>
                <w:b w:val="0"/>
                <w:bCs w:val="0"/>
                <w:sz w:val="20"/>
                <w:szCs w:val="20"/>
              </w:rPr>
              <w:t>الشرائح 150، 151، 226، 227</w:t>
            </w:r>
          </w:p>
        </w:tc>
      </w:tr>
      <w:tr>
        <w:trPr>
          <w:cantSplit/>
        </w:trPr>
        <w:tc>
          <w:tcPr>
            <w:tcW w:type="dxa" w:w="3969"/>
          </w:tcPr>
          <w:p>
            <w:pPr>
              <w:bidi/>
              <w:spacing w:after="20" w:line="252" w:lineRule="auto"/>
            </w:pPr>
            <w:r/>
            <w:r>
              <w:rPr>
                <w:rFonts w:ascii="Arial" w:hAnsi="Arial" w:cs="Arial" w:eastAsia="Arial"/>
                <w:b w:val="0"/>
                <w:bCs w:val="0"/>
                <w:sz w:val="20"/>
                <w:szCs w:val="20"/>
              </w:rPr>
              <w:t>الإطار الوطني لإدارة المخاطر NFCRM</w:t>
            </w:r>
          </w:p>
        </w:tc>
        <w:tc>
          <w:tcPr>
            <w:tcW w:type="dxa" w:w="2381"/>
          </w:tcPr>
          <w:p>
            <w:pPr>
              <w:bidi/>
              <w:spacing w:after="20" w:line="252" w:lineRule="auto"/>
            </w:pPr>
            <w:r/>
            <w:r>
              <w:rPr>
                <w:rFonts w:ascii="Arial" w:hAnsi="Arial" w:cs="Arial" w:eastAsia="Arial"/>
                <w:b w:val="0"/>
                <w:bCs w:val="0"/>
                <w:sz w:val="20"/>
                <w:szCs w:val="20"/>
              </w:rPr>
              <w:t>عند أي تحديث من الهيئة</w:t>
            </w:r>
          </w:p>
        </w:tc>
        <w:tc>
          <w:tcPr>
            <w:tcW w:type="dxa" w:w="3288"/>
          </w:tcPr>
          <w:p>
            <w:pPr>
              <w:bidi/>
              <w:spacing w:after="20" w:line="252" w:lineRule="auto"/>
            </w:pPr>
            <w:r/>
            <w:r>
              <w:rPr>
                <w:rFonts w:ascii="Arial" w:hAnsi="Arial" w:cs="Arial" w:eastAsia="Arial"/>
                <w:b w:val="0"/>
                <w:bCs w:val="0"/>
                <w:sz w:val="20"/>
                <w:szCs w:val="20"/>
              </w:rPr>
              <w:t>الشرائح 61 إلى 64</w:t>
            </w:r>
          </w:p>
        </w:tc>
      </w:tr>
      <w:tr>
        <w:trPr>
          <w:cantSplit/>
        </w:trPr>
        <w:tc>
          <w:tcPr>
            <w:tcW w:type="dxa" w:w="3969"/>
          </w:tcPr>
          <w:p>
            <w:pPr>
              <w:bidi/>
              <w:spacing w:after="20" w:line="252" w:lineRule="auto"/>
            </w:pPr>
            <w:r/>
            <w:r>
              <w:rPr>
                <w:rFonts w:ascii="Arial" w:hAnsi="Arial" w:cs="Arial" w:eastAsia="Arial"/>
                <w:b w:val="0"/>
                <w:bCs w:val="0"/>
                <w:sz w:val="20"/>
                <w:szCs w:val="20"/>
              </w:rPr>
              <w:t>إصدارات ISO وNIST وPCI DSS وCIS، ونطاق SAMA CSF وGDPR وHIPAA وSOX</w:t>
            </w:r>
          </w:p>
        </w:tc>
        <w:tc>
          <w:tcPr>
            <w:tcW w:type="dxa" w:w="2381"/>
          </w:tcPr>
          <w:p>
            <w:pPr>
              <w:bidi/>
              <w:spacing w:after="20" w:line="252" w:lineRule="auto"/>
            </w:pPr>
            <w:r/>
            <w:r>
              <w:rPr>
                <w:rFonts w:ascii="Arial" w:hAnsi="Arial" w:cs="Arial" w:eastAsia="Arial"/>
                <w:b w:val="0"/>
                <w:bCs w:val="0"/>
                <w:sz w:val="20"/>
                <w:szCs w:val="20"/>
              </w:rPr>
              <w:t>سنوياً</w:t>
            </w:r>
          </w:p>
        </w:tc>
        <w:tc>
          <w:tcPr>
            <w:tcW w:type="dxa" w:w="3288"/>
          </w:tcPr>
          <w:p>
            <w:pPr>
              <w:bidi/>
              <w:spacing w:after="20" w:line="252" w:lineRule="auto"/>
            </w:pPr>
            <w:r/>
            <w:r>
              <w:rPr>
                <w:rFonts w:ascii="Arial" w:hAnsi="Arial" w:cs="Arial" w:eastAsia="Arial"/>
                <w:b w:val="0"/>
                <w:bCs w:val="0"/>
                <w:sz w:val="20"/>
                <w:szCs w:val="20"/>
              </w:rPr>
              <w:t>الشرائح 142 إلى 149</w:t>
            </w:r>
          </w:p>
        </w:tc>
      </w:tr>
      <w:tr>
        <w:trPr>
          <w:cantSplit/>
        </w:trPr>
        <w:tc>
          <w:tcPr>
            <w:tcW w:type="dxa" w:w="3969"/>
          </w:tcPr>
          <w:p>
            <w:pPr>
              <w:bidi/>
              <w:spacing w:after="20" w:line="252" w:lineRule="auto"/>
            </w:pPr>
            <w:r/>
            <w:r>
              <w:rPr>
                <w:rFonts w:ascii="Arial" w:hAnsi="Arial" w:cs="Arial" w:eastAsia="Arial"/>
                <w:b w:val="0"/>
                <w:bCs w:val="0"/>
                <w:sz w:val="20"/>
                <w:szCs w:val="20"/>
              </w:rPr>
              <w:t>أرقام ضوابط ECC في الأساس التقني والمواءمة</w:t>
            </w:r>
          </w:p>
        </w:tc>
        <w:tc>
          <w:tcPr>
            <w:tcW w:type="dxa" w:w="2381"/>
          </w:tcPr>
          <w:p>
            <w:pPr>
              <w:bidi/>
              <w:spacing w:after="20" w:line="252" w:lineRule="auto"/>
            </w:pPr>
            <w:r/>
            <w:r>
              <w:rPr>
                <w:rFonts w:ascii="Arial" w:hAnsi="Arial" w:cs="Arial" w:eastAsia="Arial"/>
                <w:b w:val="0"/>
                <w:bCs w:val="0"/>
                <w:sz w:val="20"/>
                <w:szCs w:val="20"/>
              </w:rPr>
              <w:t>عند صدور إصدار جديد من ECC</w:t>
            </w:r>
          </w:p>
        </w:tc>
        <w:tc>
          <w:tcPr>
            <w:tcW w:type="dxa" w:w="3288"/>
          </w:tcPr>
          <w:p>
            <w:pPr>
              <w:bidi/>
              <w:spacing w:after="20" w:line="252" w:lineRule="auto"/>
            </w:pPr>
            <w:r/>
            <w:r>
              <w:rPr>
                <w:rFonts w:ascii="Arial" w:hAnsi="Arial" w:cs="Arial" w:eastAsia="Arial"/>
                <w:b w:val="0"/>
                <w:bCs w:val="0"/>
                <w:sz w:val="20"/>
                <w:szCs w:val="20"/>
              </w:rPr>
              <w:t>الشرائح 19 إلى 30، والشرائح 156 إلى 158</w:t>
            </w:r>
          </w:p>
        </w:tc>
      </w:tr>
      <w:tr>
        <w:trPr>
          <w:cantSplit/>
        </w:trPr>
        <w:tc>
          <w:tcPr>
            <w:tcW w:type="dxa" w:w="3969"/>
          </w:tcPr>
          <w:p>
            <w:pPr>
              <w:bidi/>
              <w:spacing w:after="20" w:line="252" w:lineRule="auto"/>
            </w:pPr>
            <w:r/>
            <w:r>
              <w:rPr>
                <w:rFonts w:ascii="Arial" w:hAnsi="Arial" w:cs="Arial" w:eastAsia="Arial"/>
                <w:b w:val="0"/>
                <w:bCs w:val="0"/>
                <w:sz w:val="20"/>
                <w:szCs w:val="20"/>
              </w:rPr>
              <w:t>جهة الإشراف على نظام حماية البيانات الشخصية</w:t>
            </w:r>
          </w:p>
        </w:tc>
        <w:tc>
          <w:tcPr>
            <w:tcW w:type="dxa" w:w="2381"/>
          </w:tcPr>
          <w:p>
            <w:pPr>
              <w:bidi/>
              <w:spacing w:after="20" w:line="252" w:lineRule="auto"/>
            </w:pPr>
            <w:r/>
            <w:r>
              <w:rPr>
                <w:rFonts w:ascii="Arial" w:hAnsi="Arial" w:cs="Arial" w:eastAsia="Arial"/>
                <w:b w:val="0"/>
                <w:bCs w:val="0"/>
                <w:sz w:val="20"/>
                <w:szCs w:val="20"/>
              </w:rPr>
              <w:t>كل 6 أشهر</w:t>
            </w:r>
          </w:p>
        </w:tc>
        <w:tc>
          <w:tcPr>
            <w:tcW w:type="dxa" w:w="3288"/>
          </w:tcPr>
          <w:p>
            <w:pPr>
              <w:bidi/>
              <w:spacing w:after="20" w:line="252" w:lineRule="auto"/>
            </w:pPr>
            <w:r/>
            <w:r>
              <w:rPr>
                <w:rFonts w:ascii="Arial" w:hAnsi="Arial" w:cs="Arial" w:eastAsia="Arial"/>
                <w:b w:val="0"/>
                <w:bCs w:val="0"/>
                <w:sz w:val="20"/>
                <w:szCs w:val="20"/>
              </w:rPr>
              <w:t>الشريحة 87</w:t>
            </w:r>
          </w:p>
        </w:tc>
      </w:tr>
      <w:tr>
        <w:trPr>
          <w:cantSplit/>
        </w:trPr>
        <w:tc>
          <w:tcPr>
            <w:tcW w:type="dxa" w:w="3969"/>
          </w:tcPr>
          <w:p>
            <w:pPr>
              <w:bidi/>
              <w:spacing w:after="20" w:line="252" w:lineRule="auto"/>
            </w:pPr>
            <w:r/>
            <w:r>
              <w:rPr>
                <w:rFonts w:ascii="Arial" w:hAnsi="Arial" w:cs="Arial" w:eastAsia="Arial"/>
                <w:b w:val="0"/>
                <w:bCs w:val="0"/>
                <w:sz w:val="20"/>
                <w:szCs w:val="20"/>
              </w:rPr>
              <w:t>حدود لينكدإن ومقاساته</w:t>
            </w:r>
          </w:p>
        </w:tc>
        <w:tc>
          <w:tcPr>
            <w:tcW w:type="dxa" w:w="2381"/>
          </w:tcPr>
          <w:p>
            <w:pPr>
              <w:bidi/>
              <w:spacing w:after="20" w:line="252" w:lineRule="auto"/>
            </w:pPr>
            <w:r/>
            <w:r>
              <w:rPr>
                <w:rFonts w:ascii="Arial" w:hAnsi="Arial" w:cs="Arial" w:eastAsia="Arial"/>
                <w:b w:val="0"/>
                <w:bCs w:val="0"/>
                <w:sz w:val="20"/>
                <w:szCs w:val="20"/>
              </w:rPr>
              <w:t>سنوياً</w:t>
            </w:r>
          </w:p>
        </w:tc>
        <w:tc>
          <w:tcPr>
            <w:tcW w:type="dxa" w:w="3288"/>
          </w:tcPr>
          <w:p>
            <w:pPr>
              <w:bidi/>
              <w:spacing w:after="20" w:line="252" w:lineRule="auto"/>
            </w:pPr>
            <w:r/>
            <w:r>
              <w:rPr>
                <w:rFonts w:ascii="Arial" w:hAnsi="Arial" w:cs="Arial" w:eastAsia="Arial"/>
                <w:b w:val="0"/>
                <w:bCs w:val="0"/>
                <w:sz w:val="20"/>
                <w:szCs w:val="20"/>
              </w:rPr>
              <w:t>الشريحتين 199 و204</w:t>
            </w:r>
          </w:p>
        </w:tc>
      </w:tr>
    </w:tbl>
    <w:p>
      <w:pPr>
        <w:spacing w:after="40"/>
      </w:pPr>
    </w:p>
    <w:p>
      <w:pPr>
        <w:pStyle w:val="Heading2"/>
        <w:bidi/>
      </w:pPr>
      <w:r>
        <w:rPr>
          <w:rFonts w:ascii="Arial" w:hAnsi="Arial" w:cs="Arial" w:eastAsia="Arial"/>
          <w:b w:val="0"/>
          <w:bCs w:val="0"/>
        </w:rPr>
        <w:t>ما لم نتمكن من التحقق منه</w:t>
      </w:r>
    </w:p>
    <w:p>
      <w:pPr>
        <w:bidi/>
        <w:spacing w:after="60"/>
        <w:ind w:right="283" w:hanging="255"/>
      </w:pPr>
      <w:r>
        <w:rPr>
          <w:rFonts w:ascii="Arial" w:hAnsi="Arial" w:cs="Arial" w:eastAsia="Arial"/>
          <w:b w:val="0"/>
          <w:bCs w:val="0"/>
          <w:sz w:val="21"/>
          <w:szCs w:val="21"/>
        </w:rPr>
        <w:t>• عناوين ضوابط ISO/IEC ‏27001:2022 في الملحق A (مثل A.5.18 وA.8.5): موقع ISO يمنع الوصول الآلي، فأُخذت من مصادر ثانوية متطابقة. الشرائح والإجابات تنبه إلى مطابقتها مع نسخة مرخصة من المعيار.</w:t>
      </w:r>
    </w:p>
    <w:p>
      <w:pPr>
        <w:bidi/>
        <w:spacing w:after="60"/>
        <w:ind w:right="283" w:hanging="255"/>
      </w:pPr>
      <w:r>
        <w:rPr>
          <w:rFonts w:ascii="Arial" w:hAnsi="Arial" w:cs="Arial" w:eastAsia="Arial"/>
          <w:b w:val="0"/>
          <w:bCs w:val="0"/>
          <w:sz w:val="21"/>
          <w:szCs w:val="21"/>
        </w:rPr>
        <w:t>• HIPAA: صفحة وزارة الصحة الأمريكية رفضت الوصول الآلي (403)، فالوصف الموجز أُخذ من نتائج بحث تحيل إليها. الرابط الرسمي في الملاحظات.</w:t>
      </w:r>
    </w:p>
    <w:p>
      <w:pPr>
        <w:bidi/>
        <w:spacing w:after="60"/>
        <w:ind w:right="283" w:hanging="255"/>
      </w:pPr>
      <w:r>
        <w:rPr>
          <w:rFonts w:ascii="Arial" w:hAnsi="Arial" w:cs="Arial" w:eastAsia="Arial"/>
          <w:b w:val="0"/>
          <w:bCs w:val="0"/>
          <w:sz w:val="21"/>
          <w:szCs w:val="21"/>
        </w:rPr>
        <w:t>• سعر اختبار Security+: يعرضه موقع CompTIA حسب الدولة ولم نتمكن من قراءته. الملحق يقول ذلك ولا يذكر رقماً.</w:t>
      </w:r>
    </w:p>
    <w:p>
      <w:pPr>
        <w:bidi/>
        <w:spacing w:after="60"/>
        <w:ind w:right="283" w:hanging="255"/>
      </w:pPr>
      <w:r>
        <w:rPr>
          <w:rFonts w:ascii="Arial" w:hAnsi="Arial" w:cs="Arial" w:eastAsia="Arial"/>
          <w:b w:val="0"/>
          <w:bCs w:val="0"/>
          <w:sz w:val="21"/>
          <w:szCs w:val="21"/>
        </w:rPr>
        <w:t>• رسم إعادة اختبار IAPP: آخر رقم موثق 375 دولاراً في دليل 2022، ومذكور بهذه الصفة.</w:t>
      </w:r>
    </w:p>
    <w:p>
      <w:pPr>
        <w:bidi/>
        <w:spacing w:after="60"/>
        <w:ind w:right="283" w:hanging="255"/>
      </w:pPr>
      <w:r>
        <w:rPr>
          <w:rFonts w:ascii="Arial" w:hAnsi="Arial" w:cs="Arial" w:eastAsia="Arial"/>
          <w:b w:val="0"/>
          <w:bCs w:val="0"/>
          <w:sz w:val="21"/>
          <w:szCs w:val="21"/>
        </w:rPr>
        <w:t>• تجديد GRCP: صفحة OCEG تذكر قاعدتين متعارضتين، ومذكور ذلك في الملحق.</w:t>
      </w:r>
    </w:p>
    <w:p>
      <w:pPr>
        <w:bidi/>
        <w:spacing w:after="60"/>
        <w:ind w:right="283" w:hanging="255"/>
      </w:pPr>
      <w:r>
        <w:rPr>
          <w:rFonts w:ascii="Arial" w:hAnsi="Arial" w:cs="Arial" w:eastAsia="Arial"/>
          <w:b w:val="0"/>
          <w:bCs w:val="0"/>
          <w:sz w:val="21"/>
          <w:szCs w:val="21"/>
        </w:rPr>
        <w:t>• رسم PECB السنوي ولغة اختبارها، ولغات اختبارات OCEG وIT Risk Fundamentals: لم نتمكن من تأكيدها، والعرض يحيل إلى الصفحة الرسمية.</w:t>
      </w:r>
    </w:p>
    <w:p>
      <w:pPr>
        <w:bidi/>
        <w:spacing w:after="60"/>
        <w:ind w:right="283" w:hanging="255"/>
      </w:pPr>
      <w:r>
        <w:rPr>
          <w:rFonts w:ascii="Arial" w:hAnsi="Arial" w:cs="Arial" w:eastAsia="Arial"/>
          <w:b w:val="0"/>
          <w:bCs w:val="0"/>
          <w:sz w:val="21"/>
          <w:szCs w:val="21"/>
        </w:rPr>
        <w:t>• الحد الرسمي لعدد حروف عنوان لينكدإن: لم نجده في صفحات المساعدة، والعرض لا يذكر رقماً له.</w:t>
      </w:r>
    </w:p>
    <w:p>
      <w:pPr>
        <w:bidi/>
        <w:spacing w:after="60"/>
        <w:ind w:right="283" w:hanging="255"/>
      </w:pPr>
      <w:r>
        <w:rPr>
          <w:rFonts w:ascii="Arial" w:hAnsi="Arial" w:cs="Arial" w:eastAsia="Arial"/>
          <w:b w:val="0"/>
          <w:bCs w:val="0"/>
          <w:sz w:val="21"/>
          <w:szCs w:val="21"/>
        </w:rPr>
        <w:t>• انتقال الإشراف على نظام حماية البيانات الشخصية من سدايا: لم نتمكن من تأكيده، والملاحظات تحيل إلى الموقع الرسمي.</w:t>
      </w:r>
    </w:p>
    <w:p>
      <w:pPr>
        <w:pStyle w:val="Heading1"/>
        <w:bidi/>
      </w:pPr>
      <w:r>
        <w:rPr>
          <w:rFonts w:ascii="Arial" w:hAnsi="Arial" w:cs="Arial" w:eastAsia="Arial"/>
          <w:b w:val="0"/>
          <w:bCs w:val="0"/>
        </w:rPr>
        <w:t>ملفات التسليم</w:t>
      </w:r>
    </w:p>
    <w:p>
      <w:pPr>
        <w:bidi/>
        <w:spacing w:after="60"/>
        <w:ind w:right="283" w:hanging="255"/>
      </w:pPr>
      <w:r>
        <w:rPr>
          <w:rFonts w:ascii="Arial" w:hAnsi="Arial" w:cs="Arial" w:eastAsia="Arial"/>
          <w:b w:val="0"/>
          <w:bCs w:val="0"/>
          <w:sz w:val="21"/>
          <w:szCs w:val="21"/>
        </w:rPr>
        <w:t>• 01_العرض/كيف_تبدأ_في_GRC.pptx: العرض القابل للتحرير، 231 شريحة، مع ملاحظات المتحدث والمصادر. يحتاج الخطين في 03_الخطوط مثبتين على الجهاز.</w:t>
      </w:r>
    </w:p>
    <w:p>
      <w:pPr>
        <w:bidi/>
        <w:spacing w:after="60"/>
        <w:ind w:right="283" w:hanging="255"/>
      </w:pPr>
      <w:r>
        <w:rPr>
          <w:rFonts w:ascii="Arial" w:hAnsi="Arial" w:cs="Arial" w:eastAsia="Arial"/>
          <w:b w:val="0"/>
          <w:bCs w:val="0"/>
          <w:sz w:val="21"/>
          <w:szCs w:val="21"/>
        </w:rPr>
        <w:t>• 01_العرض/كيف_تبدأ_في_GRC.pdf: نسخة PDF للمراجعة.</w:t>
      </w:r>
    </w:p>
    <w:p>
      <w:pPr>
        <w:bidi/>
        <w:spacing w:after="60"/>
        <w:ind w:right="283" w:hanging="255"/>
      </w:pPr>
      <w:r>
        <w:rPr>
          <w:rFonts w:ascii="Arial" w:hAnsi="Arial" w:cs="Arial" w:eastAsia="Arial"/>
          <w:b w:val="0"/>
          <w:bCs w:val="0"/>
          <w:sz w:val="21"/>
          <w:szCs w:val="21"/>
        </w:rPr>
        <w:t>• 02_الكراسة_والإجابات: كراسة التمارين (17 تمريناً منها التطبيقات الأربعة، و9 اختبارات قصيرة، والتقييم الختامي)، والإجابات النموذجية وطريقة الحل (لكل اختبار سبب الإجابة وسبب خطأ البدائل، وللتقييم الختامي معايير التصحيح)، بصيغتي Word وPDF.</w:t>
      </w:r>
    </w:p>
    <w:p>
      <w:pPr>
        <w:bidi/>
        <w:spacing w:after="60"/>
        <w:ind w:right="283" w:hanging="255"/>
      </w:pPr>
      <w:r>
        <w:rPr>
          <w:rFonts w:ascii="Arial" w:hAnsi="Arial" w:cs="Arial" w:eastAsia="Arial"/>
          <w:b w:val="0"/>
          <w:bCs w:val="0"/>
          <w:sz w:val="21"/>
          <w:szCs w:val="21"/>
        </w:rPr>
        <w:t>• ملخص_التغييرات_والتحديث_الدوري.docx: هذا الملخص.</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كيف تبدأ في GRC — بيانات تدريبية افتراضية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كيف تبدأ في GRC · ملخص التغييرات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ملخص التغييرات والمعلومات الدورية</dc:title>
  <dc:subject/>
  <dc:creator>كيف تبدأ في GRC</dc:creator>
  <cp:keywords>GRC;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