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center"/>
      </w:pPr>
      <w:r>
        <w:rPr>
          <w:rFonts w:ascii="Arial" w:hAnsi="Arial" w:cs="Arial" w:eastAsia="Arial"/>
          <w:b w:val="0"/>
          <w:bCs w:val="0"/>
          <w:color w:val="555555"/>
          <w:sz w:val="20"/>
          <w:szCs w:val="20"/>
        </w:rPr>
        <w:t>ECC-2:2024 · مرجع مشترك لجميع التطبيقات العملية</w:t>
      </w:r>
    </w:p>
    <w:p>
      <w:pPr>
        <w:bidi/>
        <w:spacing w:after="80"/>
        <w:jc w:val="center"/>
      </w:pPr>
      <w:r>
        <w:rPr>
          <w:rFonts w:ascii="Arial" w:hAnsi="Arial" w:cs="Arial" w:eastAsia="Arial"/>
          <w:b w:val="1"/>
          <w:bCs w:val="1"/>
          <w:color w:val="1F3A5F"/>
          <w:sz w:val="40"/>
          <w:szCs w:val="40"/>
        </w:rPr>
        <w:t>ملف الجهة الافتراضية</w:t>
      </w:r>
    </w:p>
    <w:p>
      <w:pPr>
        <w:bidi/>
        <w:spacing w:after="200"/>
        <w:jc w:val="center"/>
      </w:pPr>
      <w:r>
        <w:rPr>
          <w:rFonts w:ascii="Arial" w:hAnsi="Arial" w:cs="Arial" w:eastAsia="Arial"/>
          <w:b w:val="0"/>
          <w:bCs w:val="0"/>
          <w:color w:val="333333"/>
          <w:sz w:val="24"/>
          <w:szCs w:val="24"/>
        </w:rPr>
        <w:t>هيئة المدار للخدمات الرقمية (جهة حكومية افتراضية لأغراض التدريب)</w:t>
      </w:r>
    </w:p>
    <w:p>
      <w:pPr>
        <w:bidi/>
        <w:spacing w:after="240"/>
        <w:jc w:val="center"/>
      </w:pPr>
      <w:r>
        <w:rPr>
          <w:rFonts w:ascii="Arial" w:hAnsi="Arial" w:cs="Arial" w:eastAsia="Arial"/>
          <w:b w:val="1"/>
          <w:bCs w:val="1"/>
          <w:color w:val="A61B1B"/>
          <w:sz w:val="19"/>
          <w:szCs w:val="19"/>
        </w:rPr>
        <w:t>بيانات تدريبية افتراضية — هيئة المدار للخدمات الرقمية (جهة حكومية افتراضية لأغراض التدريب)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FDECEC"/>
          </w:tcPr>
          <w:p>
            <w:pPr>
              <w:bidi/>
              <w:spacing w:after="40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تنبيه:</w:t>
            </w:r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كل ما في هذا الملف بيانات تدريبية افتراضية. الجهة والأشخاص والشركات خيالية، وأي تشابه مع أسماء حقيقية غير مقصود. النطاق almadar.example وعناوين IP المستخدمة في التطبيقات من نطاقات التوثيق المخصصة للأمثلة.</w:t>
            </w:r>
          </w:p>
        </w:tc>
      </w:tr>
    </w:tbl>
    <w:p>
      <w:pPr>
        <w:spacing w:after="40"/>
      </w:pP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لماذا هذا الملف؟ ليتمكن كل متدرب، ومنهم الخريجون الذين لا يعملون في جهة بعد، من التطبيق على جهة واحدة متكاملة البيانات. ارجع إليه في كل تطبيق عملي وفي اختبار الأداء.</w:t>
      </w: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1. نبذة عن الجهة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3"/>
      </w:tblGrid>
      <w:tr>
        <w:trPr>
          <w:cantSplit/>
        </w:trPr>
        <w:tc>
          <w:tcPr>
            <w:tcW w:type="dxa" w:w="198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الاسم</w:t>
            </w:r>
          </w:p>
        </w:tc>
        <w:tc>
          <w:tcPr>
            <w:tcW w:type="dxa" w:w="76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هيئة المدار للخدمات الرقمية (جهة حكومية افتراضية لأغراض التدريب)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الطبيعة</w:t>
            </w:r>
          </w:p>
        </w:tc>
        <w:tc>
          <w:tcPr>
            <w:tcW w:type="dxa" w:w="76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جهة حكومية افتراضية تخضع للضوابط الأساسية للأمن السيبراني ECC-2:2024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النشاط</w:t>
            </w:r>
          </w:p>
        </w:tc>
        <w:tc>
          <w:tcPr>
            <w:tcW w:type="dxa" w:w="7654"/>
          </w:tcPr>
          <w:p>
            <w:pPr>
              <w:bidi/>
              <w:spacing w:after="20" w:line="252" w:lineRule="auto"/>
              <w:ind w:right="57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• بوابة خدمات إلكترونية للمواطنين (طلبات، متابعة، مدفوعات).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• تطبيق «مدار» للأجهزة الذكية للمواطنين.</w:t>
            </w:r>
          </w:p>
          <w:p>
            <w:pPr>
              <w:bidi/>
              <w:spacing w:after="20" w:line="252" w:lineRule="auto"/>
              <w:ind w:right="57"/>
            </w:pPr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• خدمات داخلية للموظفين: المالية والموارد البشرية والوثائق والبريد والبوابة الداخلية.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المقر</w:t>
            </w:r>
          </w:p>
        </w:tc>
        <w:tc>
          <w:tcPr>
            <w:tcW w:type="dxa" w:w="76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الرياض، ويضم مركز البيانات الرئيسي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موقع التعافي</w:t>
            </w:r>
          </w:p>
        </w:tc>
        <w:tc>
          <w:tcPr>
            <w:tcW w:type="dxa" w:w="76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موقع تعافٍ من الكوارث مستأجر في مدينة أخرى داخل المملكة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الحجم</w:t>
            </w:r>
          </w:p>
        </w:tc>
        <w:tc>
          <w:tcPr>
            <w:tcW w:type="dxa" w:w="76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نحو 420 موظفاً و60 متعاقداً لهم حسابات في أنظمة الجهة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أوقات العمل</w:t>
            </w:r>
          </w:p>
        </w:tc>
        <w:tc>
          <w:tcPr>
            <w:tcW w:type="dxa" w:w="76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من الأحد إلى الخميس. التوقيت المستخدم في كل البيانات: توقيت الرياض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فترة التقييم</w:t>
            </w:r>
          </w:p>
        </w:tc>
        <w:tc>
          <w:tcPr>
            <w:tcW w:type="dxa" w:w="76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من ‎2026-07-01‎ إلى ‎2026-09-30‎</w:t>
            </w:r>
          </w:p>
        </w:tc>
      </w:tr>
    </w:tbl>
    <w:p>
      <w:pPr>
        <w:spacing w:after="40"/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2. الوحدات التنظيمية وعدد الموظفين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7086"/>
        <w:gridCol w:w="2551"/>
      </w:tblGrid>
      <w:tr>
        <w:trPr>
          <w:cantSplit/>
          <w:tblHeader/>
        </w:trPr>
        <w:tc>
          <w:tcPr>
            <w:tcW w:type="dxa" w:w="708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الوحدة التنظيمية</w:t>
            </w:r>
          </w:p>
        </w:tc>
        <w:tc>
          <w:tcPr>
            <w:tcW w:type="dxa" w:w="255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عدد الموظفين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مكتب الرئيس التنفيذي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12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الإدارة العامة للأمن السيبراني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18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الإدارة العامة لتقنية المعلومات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64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وكالة الخدمات الرقمية (مالك البوابة والتطبيق)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58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الإدارة العامة للموارد البشرية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26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الإدارة العامة للمالية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34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إدارة المشتريات والعقود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16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إدارة المراجعة الداخلية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9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الإدارة القانونية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8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إدارة الوثائق والخدمات المشتركة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41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إدارة خدمة المستفيدين (مركز الاتصال)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96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إدارة الاتصال المؤسسي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14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إدارة التخطيط والجودة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24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المجموع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420</w:t>
            </w:r>
          </w:p>
        </w:tc>
      </w:tr>
    </w:tbl>
    <w:p>
      <w:pPr>
        <w:spacing w:after="40"/>
      </w:pPr>
    </w:p>
    <w:p>
      <w:pPr>
        <w:keepNext/>
        <w:bidi/>
      </w:pPr>
      <w:r>
        <w:rPr>
          <w:rFonts w:ascii="Arial" w:hAnsi="Arial" w:cs="Arial" w:eastAsia="Arial"/>
          <w:b w:val="1"/>
          <w:bCs w:val="1"/>
          <w:sz w:val="21"/>
          <w:szCs w:val="21"/>
        </w:rPr>
        <w:t>المتعاقدون الذين لهم حسابات في أنظمة الجهة: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7086"/>
        <w:gridCol w:w="2551"/>
      </w:tblGrid>
      <w:tr>
        <w:trPr>
          <w:cantSplit/>
          <w:tblHeader/>
        </w:trPr>
        <w:tc>
          <w:tcPr>
            <w:tcW w:type="dxa" w:w="708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جهة المتعاقد</w:t>
            </w:r>
          </w:p>
        </w:tc>
        <w:tc>
          <w:tcPr>
            <w:tcW w:type="dxa" w:w="255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العدد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شركة نطاق اليقظة للخدمات الأمنية المُدارة (افتراضية)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6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شركة سحابة الأفق للاستضافة (افتراضية)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3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شركة برمجيات الواحة الرقمية (افتراضية)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18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شركة أرشيف الحصين للتخزين (افتراضية)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2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متعاقدون أفراد بعقود مباشرة (دعم فني ومركز اتصال)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31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المجموع</w:t>
            </w:r>
          </w:p>
        </w:tc>
        <w:tc>
          <w:tcPr>
            <w:tcW w:type="dxa" w:w="255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60</w:t>
            </w:r>
          </w:p>
        </w:tc>
      </w:tr>
    </w:tbl>
    <w:p>
      <w:pPr>
        <w:spacing w:after="40"/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3. أصحاب الأدوار (أسماء خيالية)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4251"/>
        <w:gridCol w:w="3118"/>
      </w:tblGrid>
      <w:tr>
        <w:trPr>
          <w:cantSplit/>
          <w:tblHeader/>
        </w:trPr>
        <w:tc>
          <w:tcPr>
            <w:tcW w:type="dxa" w:w="226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الاسم</w:t>
            </w:r>
          </w:p>
        </w:tc>
        <w:tc>
          <w:tcPr>
            <w:tcW w:type="dxa" w:w="4252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الدور</w:t>
            </w:r>
          </w:p>
        </w:tc>
        <w:tc>
          <w:tcPr>
            <w:tcW w:type="dxa" w:w="311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الوحدة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عبدالإله المرزوقي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الرئيس التنفيذي (صاحب الصلاحية)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مكتب الرئيس التنفيذي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نوال الشهري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مدير عام الأمن السيبراني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الإدارة العامة للأمن السيبراني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ريم الحربي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رئيس قسم حوكمة الأمن السيبراني والامتثال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الإدارة العامة للأمن السيبراني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ماجد الزهراني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رئيس قسم عمليات الأمن السيبراني (مشرف عقد مركز العمليات المُدار)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الإدارة العامة للأمن السيبراني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فهد العنزي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مدير عام تقنية المعلومات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الإدارة العامة لتقنية المعلومات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سلطان الغامدي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مدير البنية التحتية والعمليات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الإدارة العامة لتقنية المعلومات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هشام البلوي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مسؤول النسخ الاحتياطي والاستعادة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الإدارة العامة لتقنية المعلومات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لمى السبيعي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مدير التطبيقات والخدمات الرقمية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الإدارة العامة لتقنية المعلومات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بدر القرني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مسؤول الهويات والصلاحيات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الإدارة العامة لتقنية المعلومات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عمر الحازمي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مسؤول الشبكات وجدران الحماية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الإدارة العامة لتقنية المعلومات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تركي السالم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وكيل الخدمات الرقمية (مالك أعمال البوابة والتطبيق)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وكالة الخدمات الرقمية (مالك البوابة والتطبيق)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منيرة الدوسري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مدير عام الموارد البشرية (مالك أعمال نظام الموارد البشرية)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الإدارة العامة للموارد البشرية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خالد الشمري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مدير عام المالية (مالك أعمال نظام ERP)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الإدارة العامة للمالية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عادل الجهني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مدير المشتريات والعقود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إدارة المشتريات والعقود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هيفاء المالكي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مدير المراجعة الداخلية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إدارة المراجعة الداخلية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طلال العمري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المستشار القانوني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الإدارة القانونية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سارة الرشيدي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مدير الوثائق والخدمات المشتركة (مالك أعمال نظام الوثائق)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إدارة الوثائق والخدمات المشتركة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أسماء الفيفي</w:t>
            </w:r>
          </w:p>
        </w:tc>
        <w:tc>
          <w:tcPr>
            <w:tcW w:type="dxa" w:w="425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أخصائي التوعية بالأمن السيبراني</w:t>
            </w:r>
          </w:p>
        </w:tc>
        <w:tc>
          <w:tcPr>
            <w:tcW w:type="dxa" w:w="311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الإدارة العامة للأمن السيبراني</w:t>
            </w:r>
          </w:p>
        </w:tc>
      </w:tr>
    </w:tbl>
    <w:p>
      <w:pPr>
        <w:spacing w:after="40"/>
      </w:pP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اللجنة الإشرافية للأمن السيبراني: يرأسها الرئيس التنفيذي، وعضوية مدير عام الأمن السيبراني (مقرراً)، ومدير عام تقنية المعلومات، ومدير عام الموارد البشرية، ومدير عام المالية، والمستشار القانوني. ويحضر مدير المراجعة الداخلية بصفة مراقب.</w:t>
      </w: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4. الأنظمة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927"/>
        <w:gridCol w:w="2437"/>
        <w:gridCol w:w="1700"/>
        <w:gridCol w:w="1360"/>
        <w:gridCol w:w="1360"/>
      </w:tblGrid>
      <w:tr>
        <w:trPr>
          <w:cantSplit/>
          <w:tblHeader/>
        </w:trPr>
        <w:tc>
          <w:tcPr>
            <w:tcW w:type="dxa" w:w="850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7"/>
                <w:szCs w:val="17"/>
              </w:rPr>
              <w:t>الرمز</w:t>
            </w:r>
          </w:p>
        </w:tc>
        <w:tc>
          <w:tcPr>
            <w:tcW w:type="dxa" w:w="192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7"/>
                <w:szCs w:val="17"/>
              </w:rPr>
              <w:t>النظام</w:t>
            </w:r>
          </w:p>
        </w:tc>
        <w:tc>
          <w:tcPr>
            <w:tcW w:type="dxa" w:w="243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7"/>
                <w:szCs w:val="17"/>
              </w:rPr>
              <w:t>الوصف</w:t>
            </w:r>
          </w:p>
        </w:tc>
        <w:tc>
          <w:tcPr>
            <w:tcW w:type="dxa" w:w="170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7"/>
                <w:szCs w:val="17"/>
              </w:rPr>
              <w:t>الاستضافة</w:t>
            </w:r>
          </w:p>
        </w:tc>
        <w:tc>
          <w:tcPr>
            <w:tcW w:type="dxa" w:w="136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7"/>
                <w:szCs w:val="17"/>
              </w:rPr>
              <w:t>مالك الأعمال</w:t>
            </w:r>
          </w:p>
        </w:tc>
        <w:tc>
          <w:tcPr>
            <w:tcW w:type="dxa" w:w="136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7"/>
                <w:szCs w:val="17"/>
              </w:rPr>
              <w:t>المالك التقني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SYS-01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بوابة الخدمات الإلكترونية</w:t>
            </w:r>
          </w:p>
        </w:tc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بوابة ويب لتقديم الخدمات للمواطنين (طلبات، متابعة، مدفوعات)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سحابة الأفق (بيئة مخصصة داخل المملكة)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تركي السالم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لمى السبيعي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SYS-02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تطبيق «مدار» للأجهزة الذكية وواجهاته البرمجية</w:t>
            </w:r>
          </w:p>
        </w:tc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تطبيق للمواطنين مع واجهات برمجية (API) وقاعدة بيانات خاصة به، أطلق في ‎2026-05-12‎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سحابة الأفق (بيئة مخصصة داخل المملكة)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تركي السالم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لمى السبيعي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SYS-03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نظام تخطيط الموارد والمالية (ERP)</w:t>
            </w:r>
          </w:p>
        </w:tc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المالية والمشتريات والمخزون وأوامر الصرف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مركز البيانات الرئيسي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خالد الشمري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لمى السبيعي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SYS-04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نظام الموارد البشرية (HRIS)</w:t>
            </w:r>
          </w:p>
        </w:tc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بيانات الموظفين والرواتب والإجازات وإنهاء الخدمة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مركز البيانات الرئيسي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منيرة الدوسري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لمى السبيعي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SYS-05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نظام إدارة الوثائق (DMS)</w:t>
            </w:r>
          </w:p>
        </w:tc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المراسلات والوثائق الرسمية والأرشيف الإلكتروني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مركز البيانات الرئيسي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سارة الرشيدي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لمى السبيعي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SYS-06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البريد الإلكتروني (خدمة سحابية)</w:t>
            </w:r>
          </w:p>
        </w:tc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بريد الموظفين والمتعاقدين مع البريد عبر الويب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خدمة سحابية (برمجيات كخدمة)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فهد العنزي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سلطان الغامدي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SYS-07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منصة الهوية (الدليل النشط Active Directory + منصة الهوية السحابية المتزامنة)</w:t>
            </w:r>
          </w:p>
        </w:tc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الحسابات والمجموعات والتحقق وسياسات الوصول المشروط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مركز البيانات الرئيسي + المستأجر السحابي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نوال الشهري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بدر القرني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SYS-08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الشبكة الافتراضية الخاصة (VPN)</w:t>
            </w:r>
          </w:p>
        </w:tc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الدخول عن بعد للموظفين والمتعاقدين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مركز البيانات الرئيسي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فهد العنزي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عمر الحازمي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SYS-09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منصة إدارة سجلات الأحداث (SIEM)</w:t>
            </w:r>
          </w:p>
        </w:tc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جمع السجلات وتحليلها؛ يشغلها مركز العمليات المُدار عن بعد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مركز البيانات الرئيسي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نوال الشهري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ماجد الزهراني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SYS-10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منصة النسخ الاحتياطي</w:t>
            </w:r>
          </w:p>
        </w:tc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خادم النسخ وجهاز التخزين وفهرس النسخ والنسخ إلى موقع التعافي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مركز البيانات الرئيسي + موقع التعافي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فهد العنزي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هشام البلوي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SYS-11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البوابة الداخلية للموظفين (Intranet)</w:t>
            </w:r>
          </w:p>
        </w:tc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الأخبار والنماذج الداخلية والدليل الهاتفي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مركز البيانات الرئيسي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سارة الرشيدي</w:t>
            </w:r>
          </w:p>
        </w:tc>
        <w:tc>
          <w:tcPr>
            <w:tcW w:type="dxa" w:w="136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7"/>
                <w:szCs w:val="17"/>
              </w:rPr>
              <w:t>م. لمى السبيعي</w:t>
            </w:r>
          </w:p>
        </w:tc>
      </w:tr>
    </w:tbl>
    <w:p>
      <w:pPr>
        <w:spacing w:after="40"/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5. سجل أصول مختصر</w:t>
      </w: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مستويات التصنيف المستخدمة: سري، مقيد، عام. مستويات الأهمية: حرج، عالٍ، متوسط، منخفض.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401"/>
        <w:gridCol w:w="907"/>
        <w:gridCol w:w="1020"/>
        <w:gridCol w:w="1020"/>
        <w:gridCol w:w="2267"/>
      </w:tblGrid>
      <w:tr>
        <w:trPr>
          <w:cantSplit/>
          <w:tblHeader/>
        </w:trPr>
        <w:tc>
          <w:tcPr>
            <w:tcW w:type="dxa" w:w="1020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المعرف</w:t>
            </w:r>
          </w:p>
        </w:tc>
        <w:tc>
          <w:tcPr>
            <w:tcW w:type="dxa" w:w="3402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الأصل</w:t>
            </w:r>
          </w:p>
        </w:tc>
        <w:tc>
          <w:tcPr>
            <w:tcW w:type="dxa" w:w="90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النوع</w:t>
            </w:r>
          </w:p>
        </w:tc>
        <w:tc>
          <w:tcPr>
            <w:tcW w:type="dxa" w:w="1020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التصنيف</w:t>
            </w:r>
          </w:p>
        </w:tc>
        <w:tc>
          <w:tcPr>
            <w:tcW w:type="dxa" w:w="1020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الأهمية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المالك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SYS-01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بوابة الخدمات الإلكترونية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نظام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مقيد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م. تركي السالم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SYS-02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تطبيق «مدار» للأجهزة الذكية وواجهاته البرمجية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نظام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مقيد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م. تركي السالم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SYS-03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نظام تخطيط الموارد والمالية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نظام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سري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خالد الشمري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SYS-04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نظام الموارد البشرية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نظام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سري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منيرة الدوسري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SYS-05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نظام إدارة الوثائق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نظام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مقيد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سارة الرشيدي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SYS-06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البريد الإلكتروني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نظام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مقيد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م. فهد العنزي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SYS-07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منصة الهوية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نظام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سري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م. نوال الشهري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SYS-08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الشبكة الافتراضية الخاصة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نظام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مقيد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م. فهد العنزي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SYS-09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منصة إدارة سجلات الأحداث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نظام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سري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م. نوال الشهري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SYS-10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منصة النسخ الاحتياطي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نظام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سري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م. فهد العنزي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SYS-11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البوابة الداخلية للموظفين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نظام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مقيد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متوسط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سارة الرشيدي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FAC-01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مركز البيانات الرئيسي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منشأة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مقيد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م. سلطان الغامدي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FAC-02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موقع التعافي من الكوارث (DR)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منشأة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مقيد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م. سلطان الغامدي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DAT-01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بيانات المستفيدين الشخصية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بيانات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سري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م. تركي السالم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DAT-02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بيانات الرواتب والملفات الوظيفية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بيانات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سري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حرج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منيرة الدوسري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DAT-03</w:t>
            </w:r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سجلات الأحداث الأمنية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بيانات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سري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عالٍ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م. نوال الشهري</w:t>
            </w:r>
          </w:p>
        </w:tc>
      </w:tr>
    </w:tbl>
    <w:p>
      <w:pPr>
        <w:spacing w:after="40"/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6. ملخص الحسابات والدخول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1700"/>
        <w:gridCol w:w="4535"/>
      </w:tblGrid>
      <w:tr>
        <w:trPr>
          <w:cantSplit/>
          <w:tblHeader/>
        </w:trPr>
        <w:tc>
          <w:tcPr>
            <w:tcW w:type="dxa" w:w="3402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الفئة</w:t>
            </w:r>
          </w:p>
        </w:tc>
        <w:tc>
          <w:tcPr>
            <w:tcW w:type="dxa" w:w="170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العدد في الجهة</w:t>
            </w:r>
          </w:p>
        </w:tc>
        <w:tc>
          <w:tcPr>
            <w:tcW w:type="dxa" w:w="4535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ملاحظات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حسابات الموظفين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420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في الدليل النشط، ومتزامنة مع منصة الهوية السحابية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حسابات المتعاقدين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60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في الدليل النشط، ومتزامنة مع منصة الهوية السحابية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حسابات إدارة الأنظمة (adm.*)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حسابات منفصلة للإدارة، في الدليل النشط فقط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حسابات إدارة المستأجر السحابي (cadm.*)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حسابات بشرية في المستأجر السحابي فقط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حسابات الطوارئ (bg.*)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في المستأجر السحابي فقط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حسابات الخدمة (svc.*)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غير بشرية، في الدليل النشط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هويات التطبيقات / أحمال العمل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غير بشرية، مسجلة في المستأجر السحابي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المخولون بالدخول عن بعد عبر VPN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143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أعضاء مجموعة GRP-VPN-Users</w:t>
            </w:r>
          </w:p>
        </w:tc>
      </w:tr>
    </w:tbl>
    <w:p>
      <w:pPr>
        <w:spacing w:after="40"/>
      </w:pP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مسارات الدخول: الشبكة الافتراضية الخاصة (VPN)؛ البريد عبر الويب والتطبيقات السحابية من خارج الشبكة؛ بوابة الإدارة السحابية؛ بوابة إدارة الصلاحيات الهامة (PAM) لإدارة الخوادم وأجهزة الشبكة؛ والأنظمة الداخلية من داخل الشبكة.</w:t>
      </w: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7. الموردون (أطراف خارجية خيالية)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741"/>
        <w:gridCol w:w="1814"/>
        <w:gridCol w:w="1587"/>
      </w:tblGrid>
      <w:tr>
        <w:trPr>
          <w:cantSplit/>
          <w:tblHeader/>
        </w:trPr>
        <w:tc>
          <w:tcPr>
            <w:tcW w:type="dxa" w:w="249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المورد</w:t>
            </w:r>
          </w:p>
        </w:tc>
        <w:tc>
          <w:tcPr>
            <w:tcW w:type="dxa" w:w="3742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الخدمة</w:t>
            </w:r>
          </w:p>
        </w:tc>
        <w:tc>
          <w:tcPr>
            <w:tcW w:type="dxa" w:w="181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رقم العقد</w:t>
            </w:r>
          </w:p>
        </w:tc>
        <w:tc>
          <w:tcPr>
            <w:tcW w:type="dxa" w:w="158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مشرف العقد في الجهة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شركة نطاق اليقظة للخدمات الأمنية المُدارة (افتراضية)</w:t>
            </w:r>
          </w:p>
        </w:tc>
        <w:tc>
          <w:tcPr>
            <w:tcW w:type="dxa" w:w="374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مركز عمليات أمن سيبراني مُدار (مراقبة وتحليل التنبيهات 24/7 على منصة SIEM لدى الجهة عبر الوصول عن بعد)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MDR-2026-014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ماجد الزهراني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شركة سحابة الأفق للاستضافة (افتراضية)</w:t>
            </w:r>
          </w:p>
        </w:tc>
        <w:tc>
          <w:tcPr>
            <w:tcW w:type="dxa" w:w="374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استضافة سحابية (بنية تحتية كخدمة) لبيئة البوابة الإلكترونية وواجهات تطبيق الأجهزة الذكية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HOST-2025-031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لمى السبيعي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شركة برمجيات الواحة الرقمية (افتراضية)</w:t>
            </w:r>
          </w:p>
        </w:tc>
        <w:tc>
          <w:tcPr>
            <w:tcW w:type="dxa" w:w="374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تطوير وصيانة البوابة الإلكترونية وتطبيق الأجهزة الذكية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DEV-2025-007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لمى السبيعي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شركة أرشيف الحصين للتخزين (افتراضية)</w:t>
            </w:r>
          </w:p>
        </w:tc>
        <w:tc>
          <w:tcPr>
            <w:tcW w:type="dxa" w:w="3742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تخزين نسخ احتياطية معزولة غير قابلة للتعديل (Immutable) خارج الموقع</w:t>
            </w:r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BKS-2025-022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هشام البلوي</w:t>
            </w:r>
          </w:p>
        </w:tc>
      </w:tr>
    </w:tbl>
    <w:p>
      <w:pPr>
        <w:spacing w:after="40"/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8. وثائق الجهة المتاحة كأدلة تدريبية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308"/>
        <w:gridCol w:w="1927"/>
        <w:gridCol w:w="1587"/>
      </w:tblGrid>
      <w:tr>
        <w:trPr>
          <w:cantSplit/>
          <w:tblHeader/>
        </w:trPr>
        <w:tc>
          <w:tcPr>
            <w:tcW w:type="dxa" w:w="181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الرمز</w:t>
            </w:r>
          </w:p>
        </w:tc>
        <w:tc>
          <w:tcPr>
            <w:tcW w:type="dxa" w:w="4309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الوثيقة</w:t>
            </w:r>
          </w:p>
        </w:tc>
        <w:tc>
          <w:tcPr>
            <w:tcW w:type="dxa" w:w="192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المالك</w:t>
            </w:r>
          </w:p>
        </w:tc>
        <w:tc>
          <w:tcPr>
            <w:tcW w:type="dxa" w:w="158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أين تجدها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POL-IAM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سياسة إدارة هويات الدخول والصلاحيات (الإصدار 2.1)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نوال الشهري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التطبيق 01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EXP-CA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تصدير سياسات الوصول المشروط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بدر القرني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التطبيق 01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REG-ACC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قائمة الحسابات وعضوية المجموعات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بدر القرني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التطبيق 01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REG-EXC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سجل استثناءات سياسة الهويات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ريم الحربي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التطبيق 01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LOG-SIGNIN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مستخرج سجلات الدخول من SIEM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ماجد الزهراني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التطبيق 01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REC-AR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سجل حملة مراجعة الصلاحيات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نوال الشهري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التطبيق 01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HR-LEAVERS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كشف المنتهية علاقتهم الوظيفية وأوقات التعطيل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منيرة الدوسري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التطبيق 01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POL-BKP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سياسة النسخ الاحتياطي والاستعادة (الإصدار 1.3)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سلطان الغامدي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التطبيق 02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REG-ASSET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سجل الأصول ومستهدفات الاستعادة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فهد العنزي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التطبيق 02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CFG-BKP / LOG-BKP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إعدادات مهام النسخ وسجل تنفيذها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هشام البلوي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التطبيق 02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REC-RT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سجل اختبارات الاستعادة ومحاضرها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هشام البلوي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التطبيق 02 واختبار الأداء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CON-SOC / CON-HOST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عقدا مركز العمليات المُدار والاستضافة السحابية (مقتطفات)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عادل الجهني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التطبيق 03 واختبار الأداء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Q-SOC / RPT-SOC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استبيان المورد وتقاريره الشهرية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ماجد الزهراني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التطبيق 03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RA-TP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تقييمات مخاطر الأطراف الخارجية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ريم الحربي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التطبيق 03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EXP-FW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تصدير قواعد جدار الحماية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م. عمر الحازمي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اختبار الأداء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ATT-AWR</w:t>
            </w:r>
          </w:p>
        </w:tc>
        <w:tc>
          <w:tcPr>
            <w:tcW w:type="dxa" w:w="4309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كشوف حضور جلسات التوعية</w:t>
            </w:r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أسماء الفيفي</w:t>
            </w:r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اختبار الأداء</w:t>
            </w:r>
          </w:p>
        </w:tc>
      </w:tr>
    </w:tbl>
    <w:p>
      <w:pPr>
        <w:spacing w:after="40"/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9. أعراف البيانات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فترة التقييم من ‎2026-07-01‎ إلى ‎2026-09-30‎، وتاريخ استخراج أغلب البيانات ‎2026-09-30‎.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الأوقات بتوقيت الرياض، والتواريخ بصيغة سنة-شهر-يوم.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أيام نهاية الأسبوع: الجمعة والسبت.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كل ملف بيانات يذكر مصدره وتاريخه؛ قيّم ما هو موجود فقط، واطلب ما ينقص.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  <w:sz w:val="21"/>
          <w:szCs w:val="21"/>
        </w:rPr>
        <w:t>• بيانات تدريبية افتراضية في كل صفحة وكل ورقة.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/>
    <w:r>
      <w:rPr>
        <w:rFonts w:ascii="Arial" w:hAnsi="Arial" w:cs="Arial" w:eastAsia="Arial"/>
        <w:color w:val="555555"/>
        <w:sz w:val="17"/>
        <w:szCs w:val="17"/>
      </w:rPr>
      <w:t xml:space="preserve">بيانات تدريبية افتراضية — هيئة المدار للخدمات الرقمية — صفحة </w:t>
    </w:r>
    <w:r>
      <w:rPr>
        <w:rFonts w:ascii="Arial" w:hAnsi="Arial" w:cs="Arial" w:eastAsia="Arial"/>
        <w:color w:val="555555"/>
        <w:sz w:val="17"/>
        <w:szCs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  <w:r/>
    <w:r>
      <w:rPr>
        <w:rFonts w:ascii="Arial" w:hAnsi="Arial" w:cs="Arial" w:eastAsia="Arial"/>
        <w:color w:val="555555"/>
        <w:sz w:val="17"/>
        <w:szCs w:val="17"/>
      </w:rPr>
      <w:t>ملف الجهة الافتراضية — مرجع مشترك لكل التطبيقات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before="0" w:after="100" w:line="276" w:lineRule="auto"/>
    </w:pPr>
    <w:rPr>
      <w:rFonts w:ascii="Arial" w:hAnsi="Arial" w:cs="Arial" w:eastAsia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240" w:after="100"/>
      <w:outlineLvl w:val="0"/>
    </w:pPr>
    <w:rPr>
      <w:rFonts w:ascii="Arial" w:hAnsi="Arial" w:cs="Arial" w:eastAsia="Arial"/>
      <w:b w:val="1"/>
      <w:bCs w:val="1"/>
      <w:i w:val="0"/>
      <w:iCs w:val="0"/>
      <w:color w:val="1F3A5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180" w:after="100"/>
      <w:outlineLvl w:val="1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/>
      <w:spacing w:before="180" w:after="100"/>
      <w:outlineLvl w:val="2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bidi/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ملف الجهة الافتراضية</dc:title>
  <dc:subject/>
  <dc:creator>فريق التدريب — بيانات افتراضية</dc:creator>
  <cp:keywords>ECC-2:2024; بيانات تدريبية افتراضية</cp:keywords>
  <dc:description>بيانات تدريبية افتراضية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