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eastAsia="Arial"/>
          <w:b w:val="0"/>
          <w:bCs w:val="0"/>
          <w:color w:val="555555"/>
          <w:sz w:val="20"/>
          <w:szCs w:val="20"/>
        </w:rPr>
        <w:t>ECC-2:2024 · تطبيق عملي للمبتدئين</w:t>
      </w:r>
    </w:p>
    <w:p>
      <w:pPr>
        <w:bidi/>
        <w:spacing w:after="80"/>
        <w:jc w:val="center"/>
      </w:pPr>
      <w:r>
        <w:rPr>
          <w:rFonts w:ascii="Arial" w:hAnsi="Arial" w:cs="Arial" w:eastAsia="Arial"/>
          <w:b w:val="1"/>
          <w:bCs w:val="1"/>
          <w:color w:val="1F3A5F"/>
          <w:sz w:val="40"/>
          <w:szCs w:val="40"/>
        </w:rPr>
        <w:t>التطبيق العملي 01: الهويات والصلاحيات</w:t>
      </w:r>
    </w:p>
    <w:p>
      <w:pPr>
        <w:bidi/>
        <w:spacing w:after="200"/>
        <w:jc w:val="center"/>
      </w:pPr>
      <w:r>
        <w:rPr>
          <w:rFonts w:ascii="Arial" w:hAnsi="Arial" w:cs="Arial" w:eastAsia="Arial"/>
          <w:b w:val="0"/>
          <w:bCs w:val="0"/>
          <w:color w:val="333333"/>
          <w:sz w:val="24"/>
          <w:szCs w:val="24"/>
        </w:rPr>
        <w:t>تقييم أولي للمكون الفرعي ‎2-2‎ والضابط ‎1-9-5‎ في هيئة المدار للخدمات الرقمية</w:t>
      </w:r>
    </w:p>
    <w:p>
      <w:pPr>
        <w:bidi/>
        <w:spacing w:after="240"/>
        <w:jc w:val="center"/>
      </w:pPr>
      <w:r>
        <w:rPr>
          <w:rFonts w:ascii="Arial" w:hAnsi="Arial" w:cs="Arial" w:eastAsia="Arial"/>
          <w:b w:val="1"/>
          <w:bCs w:val="1"/>
          <w:color w:val="A61B1B"/>
          <w:sz w:val="19"/>
          <w:szCs w:val="19"/>
        </w:rPr>
        <w:t>بيانات تدريبية افتراضية — هيئة المدار للخدمات الرقمية (جهة حكومية افتراضية لأغراض التدريب)</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المدة</w:t>
            </w:r>
          </w:p>
        </w:tc>
        <w:tc>
          <w:tcPr>
            <w:tcW w:type="dxa" w:w="7654"/>
          </w:tcPr>
          <w:p>
            <w:pPr>
              <w:bidi/>
              <w:spacing w:after="20" w:line="252" w:lineRule="auto"/>
            </w:pPr>
            <w:r/>
            <w:r>
              <w:rPr>
                <w:rFonts w:ascii="Arial" w:hAnsi="Arial" w:cs="Arial" w:eastAsia="Arial"/>
                <w:b w:val="0"/>
                <w:bCs w:val="0"/>
                <w:sz w:val="21"/>
                <w:szCs w:val="21"/>
              </w:rPr>
              <w:t>90 دقيقة للعمل + 20 دقيقة لمناقشة الحل مع المدرب</w:t>
            </w:r>
          </w:p>
        </w:tc>
      </w:tr>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طريقة العمل</w:t>
            </w:r>
          </w:p>
        </w:tc>
        <w:tc>
          <w:tcPr>
            <w:tcW w:type="dxa" w:w="7654"/>
          </w:tcPr>
          <w:p>
            <w:pPr>
              <w:bidi/>
              <w:spacing w:after="20" w:line="252" w:lineRule="auto"/>
            </w:pPr>
            <w:r/>
            <w:r>
              <w:rPr>
                <w:rFonts w:ascii="Arial" w:hAnsi="Arial" w:cs="Arial" w:eastAsia="Arial"/>
                <w:b w:val="0"/>
                <w:bCs w:val="0"/>
                <w:sz w:val="21"/>
                <w:szCs w:val="21"/>
              </w:rPr>
              <w:t>فردي أو في ثنائيات</w:t>
            </w:r>
          </w:p>
        </w:tc>
      </w:tr>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المخرج المطلوب</w:t>
            </w:r>
          </w:p>
        </w:tc>
        <w:tc>
          <w:tcPr>
            <w:tcW w:type="dxa" w:w="7654"/>
          </w:tcPr>
          <w:p>
            <w:pPr>
              <w:bidi/>
              <w:spacing w:after="20" w:line="252" w:lineRule="auto"/>
            </w:pPr>
            <w:r/>
            <w:r>
              <w:rPr>
                <w:rFonts w:ascii="Arial" w:hAnsi="Arial" w:cs="Arial" w:eastAsia="Arial"/>
                <w:b w:val="0"/>
                <w:bCs w:val="0"/>
                <w:sz w:val="21"/>
                <w:szCs w:val="21"/>
              </w:rPr>
              <w:t>القالب الفارغ (القالب_الفارغ.docx) بعد تعبئته: بطاقة لكل ملاحظة، ثم الحكم الإجمالي لكل ضابط في النطاق</w:t>
            </w:r>
          </w:p>
        </w:tc>
      </w:tr>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الملفات</w:t>
            </w:r>
          </w:p>
        </w:tc>
        <w:tc>
          <w:tcPr>
            <w:tcW w:type="dxa" w:w="7654"/>
          </w:tcPr>
          <w:p>
            <w:pPr>
              <w:bidi/>
              <w:spacing w:after="20" w:line="252" w:lineRule="auto"/>
            </w:pPr>
            <w:r/>
            <w:r>
              <w:rPr>
                <w:rFonts w:ascii="Arial" w:hAnsi="Arial" w:cs="Arial" w:eastAsia="Arial"/>
                <w:b w:val="0"/>
                <w:bCs w:val="0"/>
                <w:sz w:val="21"/>
                <w:szCs w:val="21"/>
              </w:rPr>
              <w:t>هذا الملف، وملف البيانات data.xlsx، والقالب الفارغ، وملف الجهة الافتراضية (00_ملف_الجهة_الافتراضية.docx)</w:t>
            </w:r>
          </w:p>
        </w:tc>
      </w:tr>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المرجع</w:t>
            </w:r>
          </w:p>
        </w:tc>
        <w:tc>
          <w:tcPr>
            <w:tcW w:type="dxa" w:w="7654"/>
          </w:tcPr>
          <w:p>
            <w:pPr>
              <w:bidi/>
              <w:spacing w:after="20" w:line="252" w:lineRule="auto"/>
            </w:pPr>
            <w:r/>
            <w:r>
              <w:rPr>
                <w:rFonts w:ascii="Arial" w:hAnsi="Arial" w:cs="Arial" w:eastAsia="Arial"/>
                <w:b w:val="0"/>
                <w:bCs w:val="0"/>
                <w:sz w:val="21"/>
                <w:szCs w:val="21"/>
              </w:rPr>
              <w:t>وثيقة الضوابط الأساسية للأمن السيبراني ECC-2:2024 الرسمية (النص العربي هو المعتمد)</w:t>
            </w:r>
          </w:p>
        </w:tc>
      </w:tr>
    </w:tbl>
    <w:p>
      <w:pPr>
        <w:spacing w:after="40"/>
      </w:pPr>
    </w:p>
    <w:p>
      <w:pPr>
        <w:pStyle w:val="Heading1"/>
        <w:bidi/>
      </w:pPr>
      <w:r>
        <w:rPr>
          <w:rFonts w:ascii="Arial" w:hAnsi="Arial" w:cs="Arial" w:eastAsia="Arial"/>
          <w:b w:val="0"/>
          <w:bCs w:val="0"/>
        </w:rPr>
        <w:t>1. ما المطلوب منك</w:t>
      </w:r>
    </w:p>
    <w:p>
      <w:pPr>
        <w:bidi/>
        <w:spacing w:after="60"/>
        <w:ind w:right="283" w:hanging="255"/>
      </w:pPr>
      <w:r>
        <w:rPr>
          <w:rFonts w:ascii="Arial" w:hAnsi="Arial" w:cs="Arial" w:eastAsia="Arial"/>
          <w:b w:val="0"/>
          <w:bCs w:val="0"/>
        </w:rPr>
        <w:t>• اقرأ في ملف الجهة الافتراضية: قائمة الأنظمة، وملخص الحسابات، وأصحاب الأدوار.</w:t>
      </w:r>
    </w:p>
    <w:p>
      <w:pPr>
        <w:bidi/>
        <w:spacing w:after="60"/>
        <w:ind w:right="283" w:hanging="255"/>
      </w:pPr>
      <w:r>
        <w:rPr>
          <w:rFonts w:ascii="Arial" w:hAnsi="Arial" w:cs="Arial" w:eastAsia="Arial"/>
          <w:b w:val="0"/>
          <w:bCs w:val="0"/>
        </w:rPr>
        <w:t>• اقرأ السيناريو ونطاق التقييم ومقتطف السياسة في هذا الملف.</w:t>
      </w:r>
    </w:p>
    <w:p>
      <w:pPr>
        <w:bidi/>
        <w:spacing w:after="60"/>
        <w:ind w:right="283" w:hanging="255"/>
      </w:pPr>
      <w:r>
        <w:rPr>
          <w:rFonts w:ascii="Arial" w:hAnsi="Arial" w:cs="Arial" w:eastAsia="Arial"/>
          <w:b w:val="0"/>
          <w:bCs w:val="0"/>
        </w:rPr>
        <w:t>• افتح ملف البيانات data.xlsx وابدأ بورقة «دليل الأوراق». استخدم عامل التصفية (Filter) في رأس كل جدول.</w:t>
      </w:r>
    </w:p>
    <w:p>
      <w:pPr>
        <w:bidi/>
        <w:spacing w:after="60"/>
        <w:ind w:right="283" w:hanging="255"/>
      </w:pPr>
      <w:r>
        <w:rPr>
          <w:rFonts w:ascii="Arial" w:hAnsi="Arial" w:cs="Arial" w:eastAsia="Arial"/>
          <w:b w:val="0"/>
          <w:bCs w:val="0"/>
        </w:rPr>
        <w:t>• قارن ثلاثة مستويات لكل متطلب: ما تقوله السياسة، وما تظهره الإعدادات، وما حدث فعلاً في السجلات.</w:t>
      </w:r>
    </w:p>
    <w:p>
      <w:pPr>
        <w:bidi/>
        <w:spacing w:after="60"/>
        <w:ind w:right="283" w:hanging="255"/>
      </w:pPr>
      <w:r>
        <w:rPr>
          <w:rFonts w:ascii="Arial" w:hAnsi="Arial" w:cs="Arial" w:eastAsia="Arial"/>
          <w:b w:val="0"/>
          <w:bCs w:val="0"/>
        </w:rPr>
        <w:t>• سجّل كل ملاحظة في بطاقة مستقلة في القالب، واذكر الدليل بدقة (اسم الورقة، والحساب أو الصف، والتاريخ).</w:t>
      </w:r>
    </w:p>
    <w:p>
      <w:pPr>
        <w:bidi/>
        <w:spacing w:after="60"/>
        <w:ind w:right="283" w:hanging="255"/>
      </w:pPr>
      <w:r>
        <w:rPr>
          <w:rFonts w:ascii="Arial" w:hAnsi="Arial" w:cs="Arial" w:eastAsia="Arial"/>
          <w:b w:val="0"/>
          <w:bCs w:val="0"/>
        </w:rPr>
        <w:t>• أكمل جدول الحكم الإجمالي لكل ضابط في النطاق في الجزء (ب) من القالب.</w:t>
      </w:r>
    </w:p>
    <w:p>
      <w:pPr>
        <w:bidi/>
        <w:spacing w:after="60"/>
        <w:ind w:right="283" w:hanging="255"/>
      </w:pPr>
      <w:r>
        <w:rPr>
          <w:rFonts w:ascii="Arial" w:hAnsi="Arial" w:cs="Arial" w:eastAsia="Arial"/>
          <w:b w:val="0"/>
          <w:bCs w:val="0"/>
        </w:rPr>
        <w:t>• لا تفترض وجود دليل غير مقدم. إن احتجت دليلاً فاكتبه في خانة «المعلومات الناقصة / الطلبات»، ويمكنك اختيار «لا يمكن الحكم» مع ذكر السبب.</w:t>
      </w:r>
    </w:p>
    <w:p>
      <w:pPr>
        <w:pStyle w:val="Heading1"/>
        <w:bidi/>
      </w:pPr>
      <w:r>
        <w:rPr>
          <w:rFonts w:ascii="Arial" w:hAnsi="Arial" w:cs="Arial" w:eastAsia="Arial"/>
          <w:b w:val="0"/>
          <w:bCs w:val="0"/>
        </w:rPr>
        <w:t>2. السيناريو</w:t>
      </w:r>
    </w:p>
    <w:p>
      <w:pPr>
        <w:bidi/>
      </w:pPr>
      <w:r>
        <w:rPr>
          <w:rFonts w:ascii="Arial" w:hAnsi="Arial" w:cs="Arial" w:eastAsia="Arial"/>
          <w:b w:val="0"/>
          <w:bCs w:val="0"/>
        </w:rPr>
        <w:t>في الأسبوع الأول من أكتوبر 2026 كلفت ريم الحربي (رئيس قسم حوكمة الأمن السيبراني والامتثال) فريقاً من المحللين المبتدئين بإجراء تقييم داخلي أولي لإدارة الهويات والصلاحيات قبل التقييم الخارجي القادم. فترة التقييم من ‎2026-07-01‎ إلى ‎2026-09-30‎.</w:t>
      </w:r>
    </w:p>
    <w:p>
      <w:pPr>
        <w:bidi/>
      </w:pPr>
      <w:r>
        <w:rPr>
          <w:rFonts w:ascii="Arial" w:hAnsi="Arial" w:cs="Arial" w:eastAsia="Arial"/>
          <w:b w:val="0"/>
          <w:bCs w:val="0"/>
        </w:rPr>
        <w:t>سلّم بدر القرني (مسؤول الهويات والصلاحيات) حزمة الأدلة المذكورة في القسم 4، وكتب في رسالة التسليم:</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F2F2F2"/>
          </w:tcPr>
          <w:p>
            <w:pPr>
              <w:bidi/>
              <w:spacing w:after="40"/>
            </w:pPr>
            <w:r/>
            <w:r>
              <w:rPr>
                <w:rFonts w:ascii="Arial" w:hAnsi="Arial" w:cs="Arial" w:eastAsia="Arial"/>
                <w:b w:val="0"/>
                <w:bCs w:val="0"/>
                <w:sz w:val="21"/>
                <w:szCs w:val="21"/>
              </w:rPr>
              <w:t>«التحقق متعدد العوامل مفعّل لدينا لجميع المشرفين، وجميع المشرفين السحابيين سجلوا طرق التحقق، وحملة المراجعة الدورية للصلاحيات منفذة ومعتمدة، ونعطل حسابات المنتهية خدماتهم فور إشعار الموارد البشرية.»</w:t>
            </w:r>
          </w:p>
        </w:tc>
      </w:tr>
    </w:tbl>
    <w:p>
      <w:pPr>
        <w:spacing w:after="40"/>
      </w:pPr>
    </w:p>
    <w:p>
      <w:pPr>
        <w:bidi/>
      </w:pPr>
      <w:r>
        <w:rPr>
          <w:rFonts w:ascii="Arial" w:hAnsi="Arial" w:cs="Arial" w:eastAsia="Arial"/>
          <w:b w:val="0"/>
          <w:bCs w:val="0"/>
        </w:rPr>
        <w:t>مهمتك أن تحكم على كل متطلب بناءً على الأدلة، لا على الرسالة.</w:t>
      </w:r>
    </w:p>
    <w:p>
      <w:pPr>
        <w:pStyle w:val="Heading2"/>
        <w:bidi/>
      </w:pPr>
      <w:r>
        <w:rPr>
          <w:rFonts w:ascii="Arial" w:hAnsi="Arial" w:cs="Arial" w:eastAsia="Arial"/>
          <w:b w:val="0"/>
          <w:bCs w:val="0"/>
        </w:rPr>
        <w:t>بيئة الهوية باختصار</w:t>
      </w:r>
    </w:p>
    <w:p>
      <w:pPr>
        <w:bidi/>
        <w:spacing w:after="60"/>
        <w:ind w:right="283" w:hanging="255"/>
      </w:pPr>
      <w:r>
        <w:rPr>
          <w:rFonts w:ascii="Arial" w:hAnsi="Arial" w:cs="Arial" w:eastAsia="Arial"/>
          <w:b w:val="0"/>
          <w:bCs w:val="0"/>
        </w:rPr>
        <w:t>• هوية هجينة: الدليل النشط (Active Directory) في مركز البيانات، ويتزامن مع منصة الهوية السحابية التي تخدم البريد السحابي وبوابة الإدارة السحابية. حسابات الإدارة السحابية (cadm.*) وحسابات الطوارئ (bg.*) موجودة في المستأجر السحابي فقط.</w:t>
      </w:r>
    </w:p>
    <w:p>
      <w:pPr>
        <w:bidi/>
        <w:spacing w:after="60"/>
        <w:ind w:right="283" w:hanging="255"/>
      </w:pPr>
      <w:r>
        <w:rPr>
          <w:rFonts w:ascii="Arial" w:hAnsi="Arial" w:cs="Arial" w:eastAsia="Arial"/>
          <w:b w:val="0"/>
          <w:bCs w:val="0"/>
        </w:rPr>
        <w:t>• مسارات الدخول عن بعد: الشبكة الافتراضية الخاصة (VPN)، والبريد عبر الويب والتطبيقات السحابية من خارج الشبكة، وبوابة الإدارة السحابية.</w:t>
      </w:r>
    </w:p>
    <w:p>
      <w:pPr>
        <w:bidi/>
        <w:spacing w:after="60"/>
        <w:ind w:right="283" w:hanging="255"/>
      </w:pPr>
      <w:r>
        <w:rPr>
          <w:rFonts w:ascii="Arial" w:hAnsi="Arial" w:cs="Arial" w:eastAsia="Arial"/>
          <w:b w:val="0"/>
          <w:bCs w:val="0"/>
        </w:rPr>
        <w:t>• إدارة الخوادم وأجهزة الشبكة: عبر بوابة إدارة الصلاحيات الهامة (PAM) بحسابات إدارة منفصلة (adm.*).</w:t>
      </w:r>
    </w:p>
    <w:p>
      <w:pPr>
        <w:bidi/>
        <w:spacing w:after="60"/>
        <w:ind w:right="283" w:hanging="255"/>
      </w:pPr>
      <w:r>
        <w:rPr>
          <w:rFonts w:ascii="Arial" w:hAnsi="Arial" w:cs="Arial" w:eastAsia="Arial"/>
          <w:b w:val="0"/>
          <w:bCs w:val="0"/>
        </w:rPr>
        <w:t>• الأنظمة الداخلية (ERP، الموارد البشرية، الوثائق) تُستخدم من داخل الشبكة أو عبر VPN.</w:t>
      </w:r>
    </w:p>
    <w:p>
      <w:pPr>
        <w:bidi/>
        <w:spacing w:after="60"/>
        <w:ind w:right="283" w:hanging="255"/>
      </w:pPr>
      <w:r>
        <w:rPr>
          <w:rFonts w:ascii="Arial" w:hAnsi="Arial" w:cs="Arial" w:eastAsia="Arial"/>
          <w:b w:val="0"/>
          <w:bCs w:val="0"/>
        </w:rPr>
        <w:t>• سياسات الوصول المشروط (Conditional Access) في المستأجر السحابي هي التي تقرر متى يُطلب التحقق متعدد العوامل عند الدخول السحابي.</w:t>
      </w:r>
    </w:p>
    <w:p>
      <w:pPr>
        <w:pStyle w:val="Heading1"/>
        <w:bidi/>
      </w:pPr>
      <w:r>
        <w:rPr>
          <w:rFonts w:ascii="Arial" w:hAnsi="Arial" w:cs="Arial" w:eastAsia="Arial"/>
          <w:b w:val="0"/>
          <w:bCs w:val="0"/>
        </w:rPr>
        <w:t>3. نطاق التقييم</w:t>
      </w:r>
    </w:p>
    <w:tbl>
      <w:tblPr>
        <w:tblStyle w:val="TableGrid"/>
        <w:bidiVisual/>
        <w:tblW w:type="dxa" w:w="9637"/>
        <w:jc w:val="center"/>
        <w:tblLayout w:type="fixed"/>
        <w:tblLook w:firstColumn="1" w:firstRow="1" w:lastColumn="0" w:lastRow="0" w:noHBand="0" w:noVBand="1" w:val="04A0"/>
      </w:tblPr>
      <w:tblGrid>
        <w:gridCol w:w="1814"/>
        <w:gridCol w:w="7823"/>
      </w:tblGrid>
      <w:tr>
        <w:trPr>
          <w:cantSplit/>
          <w:tblHeader/>
        </w:trPr>
        <w:tc>
          <w:tcPr>
            <w:tcW w:type="dxa" w:w="1814"/>
            <w:shd w:val="clear" w:color="auto" w:fill="D9E2F3"/>
          </w:tcPr>
          <w:p>
            <w:pPr>
              <w:bidi/>
              <w:spacing w:after="20" w:line="252" w:lineRule="auto"/>
            </w:pPr>
            <w:r/>
            <w:r>
              <w:rPr>
                <w:rFonts w:ascii="Arial" w:hAnsi="Arial" w:cs="Arial" w:eastAsia="Arial"/>
                <w:b w:val="1"/>
                <w:bCs w:val="1"/>
                <w:sz w:val="20"/>
                <w:szCs w:val="20"/>
              </w:rPr>
              <w:t>الضابط</w:t>
            </w:r>
          </w:p>
        </w:tc>
        <w:tc>
          <w:tcPr>
            <w:tcW w:type="dxa" w:w="7824"/>
            <w:shd w:val="clear" w:color="auto" w:fill="D9E2F3"/>
          </w:tcPr>
          <w:p>
            <w:pPr>
              <w:bidi/>
              <w:spacing w:after="20" w:line="252" w:lineRule="auto"/>
            </w:pPr>
            <w:r/>
            <w:r>
              <w:rPr>
                <w:rFonts w:ascii="Arial" w:hAnsi="Arial" w:cs="Arial" w:eastAsia="Arial"/>
                <w:b w:val="1"/>
                <w:bCs w:val="1"/>
                <w:sz w:val="20"/>
                <w:szCs w:val="20"/>
              </w:rPr>
              <w:t>الموضوع (صياغة مختصرة للشرح؛ ارجع إلى النص الرسمي)</w:t>
            </w:r>
          </w:p>
        </w:tc>
      </w:tr>
      <w:tr>
        <w:trPr>
          <w:cantSplit/>
        </w:trPr>
        <w:tc>
          <w:tcPr>
            <w:tcW w:type="dxa" w:w="1814"/>
          </w:tcPr>
          <w:p>
            <w:pPr>
              <w:bidi/>
              <w:spacing w:after="20" w:line="252" w:lineRule="auto"/>
            </w:pPr>
            <w:r/>
            <w:r>
              <w:rPr>
                <w:rFonts w:ascii="Arial" w:hAnsi="Arial" w:cs="Arial" w:eastAsia="Arial"/>
                <w:b w:val="0"/>
                <w:bCs w:val="0"/>
                <w:sz w:val="20"/>
                <w:szCs w:val="20"/>
              </w:rPr>
              <w:t>‎2-2-1‎ و‎2-2-2‎</w:t>
            </w:r>
          </w:p>
        </w:tc>
        <w:tc>
          <w:tcPr>
            <w:tcW w:type="dxa" w:w="7824"/>
          </w:tcPr>
          <w:p>
            <w:pPr>
              <w:bidi/>
              <w:spacing w:after="20" w:line="252" w:lineRule="auto"/>
            </w:pPr>
            <w:r/>
            <w:r>
              <w:rPr>
                <w:rFonts w:ascii="Arial" w:hAnsi="Arial" w:cs="Arial" w:eastAsia="Arial"/>
                <w:b w:val="0"/>
                <w:bCs w:val="0"/>
                <w:sz w:val="20"/>
                <w:szCs w:val="20"/>
              </w:rPr>
              <w:t>تحديد وتوثيق واعتماد متطلبات إدارة الهويات والصلاحيات، وتطبيقها</w:t>
            </w:r>
          </w:p>
        </w:tc>
      </w:tr>
      <w:tr>
        <w:trPr>
          <w:cantSplit/>
        </w:trPr>
        <w:tc>
          <w:tcPr>
            <w:tcW w:type="dxa" w:w="1814"/>
          </w:tcPr>
          <w:p>
            <w:pPr>
              <w:bidi/>
              <w:spacing w:after="20" w:line="252" w:lineRule="auto"/>
            </w:pPr>
            <w:r/>
            <w:r>
              <w:rPr>
                <w:rFonts w:ascii="Arial" w:hAnsi="Arial" w:cs="Arial" w:eastAsia="Arial"/>
                <w:b w:val="0"/>
                <w:bCs w:val="0"/>
                <w:sz w:val="20"/>
                <w:szCs w:val="20"/>
              </w:rPr>
              <w:t>‎2-2-3-1‎</w:t>
            </w:r>
          </w:p>
        </w:tc>
        <w:tc>
          <w:tcPr>
            <w:tcW w:type="dxa" w:w="7824"/>
          </w:tcPr>
          <w:p>
            <w:pPr>
              <w:bidi/>
              <w:spacing w:after="20" w:line="252" w:lineRule="auto"/>
            </w:pPr>
            <w:r/>
            <w:r>
              <w:rPr>
                <w:rFonts w:ascii="Arial" w:hAnsi="Arial" w:cs="Arial" w:eastAsia="Arial"/>
                <w:b w:val="0"/>
                <w:bCs w:val="0"/>
                <w:sz w:val="20"/>
                <w:szCs w:val="20"/>
              </w:rPr>
              <w:t>التحقق أحادي العنصر بناءً على إدارة تسجيل المستخدم وكلمة المرور</w:t>
            </w:r>
          </w:p>
        </w:tc>
      </w:tr>
      <w:tr>
        <w:trPr>
          <w:cantSplit/>
        </w:trPr>
        <w:tc>
          <w:tcPr>
            <w:tcW w:type="dxa" w:w="1814"/>
          </w:tcPr>
          <w:p>
            <w:pPr>
              <w:bidi/>
              <w:spacing w:after="20" w:line="252" w:lineRule="auto"/>
            </w:pPr>
            <w:r/>
            <w:r>
              <w:rPr>
                <w:rFonts w:ascii="Arial" w:hAnsi="Arial" w:cs="Arial" w:eastAsia="Arial"/>
                <w:b w:val="0"/>
                <w:bCs w:val="0"/>
                <w:sz w:val="20"/>
                <w:szCs w:val="20"/>
              </w:rPr>
              <w:t>‎2-2-3-2‎</w:t>
            </w:r>
          </w:p>
        </w:tc>
        <w:tc>
          <w:tcPr>
            <w:tcW w:type="dxa" w:w="7824"/>
          </w:tcPr>
          <w:p>
            <w:pPr>
              <w:bidi/>
              <w:spacing w:after="20" w:line="252" w:lineRule="auto"/>
            </w:pPr>
            <w:r/>
            <w:r>
              <w:rPr>
                <w:rFonts w:ascii="Arial" w:hAnsi="Arial" w:cs="Arial" w:eastAsia="Arial"/>
                <w:b w:val="0"/>
                <w:bCs w:val="0"/>
                <w:sz w:val="20"/>
                <w:szCs w:val="20"/>
              </w:rPr>
              <w:t>التحقق متعدد العناصر للدخول عن بعد والحسابات ذات الصلاحيات الهامة والحساسة، وتحديد العوامل وعددها وتقنياتها</w:t>
            </w:r>
          </w:p>
        </w:tc>
      </w:tr>
      <w:tr>
        <w:trPr>
          <w:cantSplit/>
        </w:trPr>
        <w:tc>
          <w:tcPr>
            <w:tcW w:type="dxa" w:w="1814"/>
          </w:tcPr>
          <w:p>
            <w:pPr>
              <w:bidi/>
              <w:spacing w:after="20" w:line="252" w:lineRule="auto"/>
            </w:pPr>
            <w:r/>
            <w:r>
              <w:rPr>
                <w:rFonts w:ascii="Arial" w:hAnsi="Arial" w:cs="Arial" w:eastAsia="Arial"/>
                <w:b w:val="0"/>
                <w:bCs w:val="0"/>
                <w:sz w:val="20"/>
                <w:szCs w:val="20"/>
              </w:rPr>
              <w:t>‎2-2-3-3‎</w:t>
            </w:r>
          </w:p>
        </w:tc>
        <w:tc>
          <w:tcPr>
            <w:tcW w:type="dxa" w:w="7824"/>
          </w:tcPr>
          <w:p>
            <w:pPr>
              <w:bidi/>
              <w:spacing w:after="20" w:line="252" w:lineRule="auto"/>
            </w:pPr>
            <w:r/>
            <w:r>
              <w:rPr>
                <w:rFonts w:ascii="Arial" w:hAnsi="Arial" w:cs="Arial" w:eastAsia="Arial"/>
                <w:b w:val="0"/>
                <w:bCs w:val="0"/>
                <w:sz w:val="20"/>
                <w:szCs w:val="20"/>
              </w:rPr>
              <w:t>إدارة التصاريح والصلاحيات وفق مبادئ الحاجة والحد الأدنى من الصلاحيات وفصل المهام</w:t>
            </w:r>
          </w:p>
        </w:tc>
      </w:tr>
      <w:tr>
        <w:trPr>
          <w:cantSplit/>
        </w:trPr>
        <w:tc>
          <w:tcPr>
            <w:tcW w:type="dxa" w:w="1814"/>
          </w:tcPr>
          <w:p>
            <w:pPr>
              <w:bidi/>
              <w:spacing w:after="20" w:line="252" w:lineRule="auto"/>
            </w:pPr>
            <w:r/>
            <w:r>
              <w:rPr>
                <w:rFonts w:ascii="Arial" w:hAnsi="Arial" w:cs="Arial" w:eastAsia="Arial"/>
                <w:b w:val="0"/>
                <w:bCs w:val="0"/>
                <w:sz w:val="20"/>
                <w:szCs w:val="20"/>
              </w:rPr>
              <w:t>‎2-2-3-4‎</w:t>
            </w:r>
          </w:p>
        </w:tc>
        <w:tc>
          <w:tcPr>
            <w:tcW w:type="dxa" w:w="7824"/>
          </w:tcPr>
          <w:p>
            <w:pPr>
              <w:bidi/>
              <w:spacing w:after="20" w:line="252" w:lineRule="auto"/>
            </w:pPr>
            <w:r/>
            <w:r>
              <w:rPr>
                <w:rFonts w:ascii="Arial" w:hAnsi="Arial" w:cs="Arial" w:eastAsia="Arial"/>
                <w:b w:val="0"/>
                <w:bCs w:val="0"/>
                <w:sz w:val="20"/>
                <w:szCs w:val="20"/>
              </w:rPr>
              <w:t>إدارة الصلاحيات الهامة والحساسة</w:t>
            </w:r>
          </w:p>
        </w:tc>
      </w:tr>
      <w:tr>
        <w:trPr>
          <w:cantSplit/>
        </w:trPr>
        <w:tc>
          <w:tcPr>
            <w:tcW w:type="dxa" w:w="1814"/>
          </w:tcPr>
          <w:p>
            <w:pPr>
              <w:bidi/>
              <w:spacing w:after="20" w:line="252" w:lineRule="auto"/>
            </w:pPr>
            <w:r/>
            <w:r>
              <w:rPr>
                <w:rFonts w:ascii="Arial" w:hAnsi="Arial" w:cs="Arial" w:eastAsia="Arial"/>
                <w:b w:val="0"/>
                <w:bCs w:val="0"/>
                <w:sz w:val="20"/>
                <w:szCs w:val="20"/>
              </w:rPr>
              <w:t>‎2-2-3-5‎</w:t>
            </w:r>
          </w:p>
        </w:tc>
        <w:tc>
          <w:tcPr>
            <w:tcW w:type="dxa" w:w="7824"/>
          </w:tcPr>
          <w:p>
            <w:pPr>
              <w:bidi/>
              <w:spacing w:after="20" w:line="252" w:lineRule="auto"/>
            </w:pPr>
            <w:r/>
            <w:r>
              <w:rPr>
                <w:rFonts w:ascii="Arial" w:hAnsi="Arial" w:cs="Arial" w:eastAsia="Arial"/>
                <w:b w:val="0"/>
                <w:bCs w:val="0"/>
                <w:sz w:val="20"/>
                <w:szCs w:val="20"/>
              </w:rPr>
              <w:t>المراجعة الدورية لهويات الدخول والصلاحيات</w:t>
            </w:r>
          </w:p>
        </w:tc>
      </w:tr>
      <w:tr>
        <w:trPr>
          <w:cantSplit/>
        </w:trPr>
        <w:tc>
          <w:tcPr>
            <w:tcW w:type="dxa" w:w="1814"/>
          </w:tcPr>
          <w:p>
            <w:pPr>
              <w:bidi/>
              <w:spacing w:after="20" w:line="252" w:lineRule="auto"/>
            </w:pPr>
            <w:r/>
            <w:r>
              <w:rPr>
                <w:rFonts w:ascii="Arial" w:hAnsi="Arial" w:cs="Arial" w:eastAsia="Arial"/>
                <w:b w:val="0"/>
                <w:bCs w:val="0"/>
                <w:sz w:val="20"/>
                <w:szCs w:val="20"/>
              </w:rPr>
              <w:t>‎2-2-4‎</w:t>
            </w:r>
          </w:p>
        </w:tc>
        <w:tc>
          <w:tcPr>
            <w:tcW w:type="dxa" w:w="7824"/>
          </w:tcPr>
          <w:p>
            <w:pPr>
              <w:bidi/>
              <w:spacing w:after="20" w:line="252" w:lineRule="auto"/>
            </w:pPr>
            <w:r/>
            <w:r>
              <w:rPr>
                <w:rFonts w:ascii="Arial" w:hAnsi="Arial" w:cs="Arial" w:eastAsia="Arial"/>
                <w:b w:val="0"/>
                <w:bCs w:val="0"/>
                <w:sz w:val="20"/>
                <w:szCs w:val="20"/>
              </w:rPr>
              <w:t>المراجعة الدورية لتطبيق متطلبات إدارة الهويات والصلاحيات</w:t>
            </w:r>
          </w:p>
        </w:tc>
      </w:tr>
      <w:tr>
        <w:trPr>
          <w:cantSplit/>
        </w:trPr>
        <w:tc>
          <w:tcPr>
            <w:tcW w:type="dxa" w:w="1814"/>
          </w:tcPr>
          <w:p>
            <w:pPr>
              <w:bidi/>
              <w:spacing w:after="20" w:line="252" w:lineRule="auto"/>
            </w:pPr>
            <w:r/>
            <w:r>
              <w:rPr>
                <w:rFonts w:ascii="Arial" w:hAnsi="Arial" w:cs="Arial" w:eastAsia="Arial"/>
                <w:b w:val="0"/>
                <w:bCs w:val="0"/>
                <w:sz w:val="20"/>
                <w:szCs w:val="20"/>
              </w:rPr>
              <w:t>‎1-9-5‎</w:t>
            </w:r>
          </w:p>
        </w:tc>
        <w:tc>
          <w:tcPr>
            <w:tcW w:type="dxa" w:w="7824"/>
          </w:tcPr>
          <w:p>
            <w:pPr>
              <w:bidi/>
              <w:spacing w:after="20" w:line="252" w:lineRule="auto"/>
            </w:pPr>
            <w:r/>
            <w:r>
              <w:rPr>
                <w:rFonts w:ascii="Arial" w:hAnsi="Arial" w:cs="Arial" w:eastAsia="Arial"/>
                <w:b w:val="0"/>
                <w:bCs w:val="0"/>
                <w:sz w:val="20"/>
                <w:szCs w:val="20"/>
              </w:rPr>
              <w:t>مراجعة وإلغاء صلاحيات العاملين عند انتهاء/إنهاء العلاقة الوظيفية</w:t>
            </w:r>
          </w:p>
        </w:tc>
      </w:tr>
    </w:tbl>
    <w:p>
      <w:pPr>
        <w:spacing w:after="40"/>
      </w:pPr>
    </w:p>
    <w:p>
      <w:pPr>
        <w:pStyle w:val="Heading1"/>
        <w:bidi/>
      </w:pPr>
      <w:r>
        <w:rPr>
          <w:rFonts w:ascii="Arial" w:hAnsi="Arial" w:cs="Arial" w:eastAsia="Arial"/>
          <w:b w:val="0"/>
          <w:bCs w:val="0"/>
        </w:rPr>
        <w:t>4. الأدلة المقدمة</w:t>
      </w:r>
    </w:p>
    <w:tbl>
      <w:tblPr>
        <w:tblStyle w:val="TableGrid"/>
        <w:bidiVisual/>
        <w:tblW w:type="dxa" w:w="9637"/>
        <w:jc w:val="center"/>
        <w:tblLayout w:type="fixed"/>
        <w:tblLook w:firstColumn="1" w:firstRow="1" w:lastColumn="0" w:lastRow="0" w:noHBand="0" w:noVBand="1" w:val="04A0"/>
      </w:tblPr>
      <w:tblGrid>
        <w:gridCol w:w="1417"/>
        <w:gridCol w:w="5669"/>
        <w:gridCol w:w="2551"/>
      </w:tblGrid>
      <w:tr>
        <w:trPr>
          <w:cantSplit/>
          <w:tblHeader/>
        </w:trPr>
        <w:tc>
          <w:tcPr>
            <w:tcW w:type="dxa" w:w="1417"/>
            <w:shd w:val="clear" w:color="auto" w:fill="D9E2F3"/>
          </w:tcPr>
          <w:p>
            <w:pPr>
              <w:bidi/>
              <w:spacing w:after="20" w:line="252" w:lineRule="auto"/>
            </w:pPr>
            <w:r/>
            <w:r>
              <w:rPr>
                <w:rFonts w:ascii="Arial" w:hAnsi="Arial" w:cs="Arial" w:eastAsia="Arial"/>
                <w:b w:val="1"/>
                <w:bCs w:val="1"/>
                <w:sz w:val="20"/>
                <w:szCs w:val="20"/>
              </w:rPr>
              <w:t>الرقم</w:t>
            </w:r>
          </w:p>
        </w:tc>
        <w:tc>
          <w:tcPr>
            <w:tcW w:type="dxa" w:w="5669"/>
            <w:shd w:val="clear" w:color="auto" w:fill="D9E2F3"/>
          </w:tcPr>
          <w:p>
            <w:pPr>
              <w:bidi/>
              <w:spacing w:after="20" w:line="252" w:lineRule="auto"/>
            </w:pPr>
            <w:r/>
            <w:r>
              <w:rPr>
                <w:rFonts w:ascii="Arial" w:hAnsi="Arial" w:cs="Arial" w:eastAsia="Arial"/>
                <w:b w:val="1"/>
                <w:bCs w:val="1"/>
                <w:sz w:val="20"/>
                <w:szCs w:val="20"/>
              </w:rPr>
              <w:t>الدليل</w:t>
            </w:r>
          </w:p>
        </w:tc>
        <w:tc>
          <w:tcPr>
            <w:tcW w:type="dxa" w:w="2551"/>
            <w:shd w:val="clear" w:color="auto" w:fill="D9E2F3"/>
          </w:tcPr>
          <w:p>
            <w:pPr>
              <w:bidi/>
              <w:spacing w:after="20" w:line="252" w:lineRule="auto"/>
            </w:pPr>
            <w:r/>
            <w:r>
              <w:rPr>
                <w:rFonts w:ascii="Arial" w:hAnsi="Arial" w:cs="Arial" w:eastAsia="Arial"/>
                <w:b w:val="1"/>
                <w:bCs w:val="1"/>
                <w:sz w:val="20"/>
                <w:szCs w:val="20"/>
              </w:rPr>
              <w:t>أين تجده</w:t>
            </w:r>
          </w:p>
        </w:tc>
      </w:tr>
      <w:tr>
        <w:trPr>
          <w:cantSplit/>
        </w:trPr>
        <w:tc>
          <w:tcPr>
            <w:tcW w:type="dxa" w:w="1417"/>
          </w:tcPr>
          <w:p>
            <w:pPr>
              <w:bidi/>
              <w:spacing w:after="20" w:line="252" w:lineRule="auto"/>
            </w:pPr>
            <w:r/>
            <w:r>
              <w:rPr>
                <w:rFonts w:ascii="Arial" w:hAnsi="Arial" w:cs="Arial" w:eastAsia="Arial"/>
                <w:b w:val="0"/>
                <w:bCs w:val="0"/>
                <w:sz w:val="20"/>
                <w:szCs w:val="20"/>
              </w:rPr>
              <w:t>EV-IAM-01</w:t>
            </w:r>
          </w:p>
        </w:tc>
        <w:tc>
          <w:tcPr>
            <w:tcW w:type="dxa" w:w="5669"/>
          </w:tcPr>
          <w:p>
            <w:pPr>
              <w:bidi/>
              <w:spacing w:after="20" w:line="252" w:lineRule="auto"/>
            </w:pPr>
            <w:r/>
            <w:r>
              <w:rPr>
                <w:rFonts w:ascii="Arial" w:hAnsi="Arial" w:cs="Arial" w:eastAsia="Arial"/>
                <w:b w:val="0"/>
                <w:bCs w:val="0"/>
                <w:sz w:val="20"/>
                <w:szCs w:val="20"/>
              </w:rPr>
              <w:t>سياسة إدارة هويات الدخول والصلاحيات، الإصدار 2.1، معتمدة من الرئيس التنفيذي بتاريخ ‎2025-11-20‎ (مقتطف)</w:t>
            </w:r>
          </w:p>
        </w:tc>
        <w:tc>
          <w:tcPr>
            <w:tcW w:type="dxa" w:w="2551"/>
          </w:tcPr>
          <w:p>
            <w:pPr>
              <w:bidi/>
              <w:spacing w:after="20" w:line="252" w:lineRule="auto"/>
            </w:pPr>
            <w:r/>
            <w:r>
              <w:rPr>
                <w:rFonts w:ascii="Arial" w:hAnsi="Arial" w:cs="Arial" w:eastAsia="Arial"/>
                <w:b w:val="0"/>
                <w:bCs w:val="0"/>
                <w:sz w:val="20"/>
                <w:szCs w:val="20"/>
              </w:rPr>
              <w:t>القسم 5 في هذا الملف</w:t>
            </w:r>
          </w:p>
        </w:tc>
      </w:tr>
      <w:tr>
        <w:trPr>
          <w:cantSplit/>
        </w:trPr>
        <w:tc>
          <w:tcPr>
            <w:tcW w:type="dxa" w:w="1417"/>
          </w:tcPr>
          <w:p>
            <w:pPr>
              <w:bidi/>
              <w:spacing w:after="20" w:line="252" w:lineRule="auto"/>
            </w:pPr>
            <w:r/>
            <w:r>
              <w:rPr>
                <w:rFonts w:ascii="Arial" w:hAnsi="Arial" w:cs="Arial" w:eastAsia="Arial"/>
                <w:b w:val="0"/>
                <w:bCs w:val="0"/>
                <w:sz w:val="20"/>
                <w:szCs w:val="20"/>
              </w:rPr>
              <w:t>EV-IAM-02</w:t>
            </w:r>
          </w:p>
        </w:tc>
        <w:tc>
          <w:tcPr>
            <w:tcW w:type="dxa" w:w="5669"/>
          </w:tcPr>
          <w:p>
            <w:pPr>
              <w:bidi/>
              <w:spacing w:after="20" w:line="252" w:lineRule="auto"/>
            </w:pPr>
            <w:r/>
            <w:r>
              <w:rPr>
                <w:rFonts w:ascii="Arial" w:hAnsi="Arial" w:cs="Arial" w:eastAsia="Arial"/>
                <w:b w:val="0"/>
                <w:bCs w:val="0"/>
                <w:sz w:val="20"/>
                <w:szCs w:val="20"/>
              </w:rPr>
              <w:t>تصدير سياسات الوصول المشروط من المستأجر السحابي</w:t>
            </w:r>
          </w:p>
        </w:tc>
        <w:tc>
          <w:tcPr>
            <w:tcW w:type="dxa" w:w="2551"/>
          </w:tcPr>
          <w:p>
            <w:pPr>
              <w:bidi/>
              <w:spacing w:after="20" w:line="252" w:lineRule="auto"/>
            </w:pPr>
            <w:r/>
            <w:r>
              <w:rPr>
                <w:rFonts w:ascii="Arial" w:hAnsi="Arial" w:cs="Arial" w:eastAsia="Arial"/>
                <w:b w:val="0"/>
                <w:bCs w:val="0"/>
                <w:sz w:val="20"/>
                <w:szCs w:val="20"/>
              </w:rPr>
              <w:t>ورقة «سياسات الوصول المشروط»</w:t>
            </w:r>
          </w:p>
        </w:tc>
      </w:tr>
      <w:tr>
        <w:trPr>
          <w:cantSplit/>
        </w:trPr>
        <w:tc>
          <w:tcPr>
            <w:tcW w:type="dxa" w:w="1417"/>
          </w:tcPr>
          <w:p>
            <w:pPr>
              <w:bidi/>
              <w:spacing w:after="20" w:line="252" w:lineRule="auto"/>
            </w:pPr>
            <w:r/>
            <w:r>
              <w:rPr>
                <w:rFonts w:ascii="Arial" w:hAnsi="Arial" w:cs="Arial" w:eastAsia="Arial"/>
                <w:b w:val="0"/>
                <w:bCs w:val="0"/>
                <w:sz w:val="20"/>
                <w:szCs w:val="20"/>
              </w:rPr>
              <w:t>EV-IAM-03</w:t>
            </w:r>
          </w:p>
        </w:tc>
        <w:tc>
          <w:tcPr>
            <w:tcW w:type="dxa" w:w="5669"/>
          </w:tcPr>
          <w:p>
            <w:pPr>
              <w:bidi/>
              <w:spacing w:after="20" w:line="252" w:lineRule="auto"/>
            </w:pPr>
            <w:r/>
            <w:r>
              <w:rPr>
                <w:rFonts w:ascii="Arial" w:hAnsi="Arial" w:cs="Arial" w:eastAsia="Arial"/>
                <w:b w:val="0"/>
                <w:bCs w:val="0"/>
                <w:sz w:val="20"/>
                <w:szCs w:val="20"/>
              </w:rPr>
              <w:t>ملخص إعدادات بوابة VPN وبوابة PAM</w:t>
            </w:r>
          </w:p>
        </w:tc>
        <w:tc>
          <w:tcPr>
            <w:tcW w:type="dxa" w:w="2551"/>
          </w:tcPr>
          <w:p>
            <w:pPr>
              <w:bidi/>
              <w:spacing w:after="20" w:line="252" w:lineRule="auto"/>
            </w:pPr>
            <w:r/>
            <w:r>
              <w:rPr>
                <w:rFonts w:ascii="Arial" w:hAnsi="Arial" w:cs="Arial" w:eastAsia="Arial"/>
                <w:b w:val="0"/>
                <w:bCs w:val="0"/>
                <w:sz w:val="20"/>
                <w:szCs w:val="20"/>
              </w:rPr>
              <w:t>القسم 6 في هذا الملف</w:t>
            </w:r>
          </w:p>
        </w:tc>
      </w:tr>
      <w:tr>
        <w:trPr>
          <w:cantSplit/>
        </w:trPr>
        <w:tc>
          <w:tcPr>
            <w:tcW w:type="dxa" w:w="1417"/>
          </w:tcPr>
          <w:p>
            <w:pPr>
              <w:bidi/>
              <w:spacing w:after="20" w:line="252" w:lineRule="auto"/>
            </w:pPr>
            <w:r/>
            <w:r>
              <w:rPr>
                <w:rFonts w:ascii="Arial" w:hAnsi="Arial" w:cs="Arial" w:eastAsia="Arial"/>
                <w:b w:val="0"/>
                <w:bCs w:val="0"/>
                <w:sz w:val="20"/>
                <w:szCs w:val="20"/>
              </w:rPr>
              <w:t>EV-IAM-04</w:t>
            </w:r>
          </w:p>
        </w:tc>
        <w:tc>
          <w:tcPr>
            <w:tcW w:type="dxa" w:w="5669"/>
          </w:tcPr>
          <w:p>
            <w:pPr>
              <w:bidi/>
              <w:spacing w:after="20" w:line="252" w:lineRule="auto"/>
            </w:pPr>
            <w:r/>
            <w:r>
              <w:rPr>
                <w:rFonts w:ascii="Arial" w:hAnsi="Arial" w:cs="Arial" w:eastAsia="Arial"/>
                <w:b w:val="0"/>
                <w:bCs w:val="0"/>
                <w:sz w:val="20"/>
                <w:szCs w:val="20"/>
              </w:rPr>
              <w:t>قائمة الحسابات وتغطيتها بالسياسات</w:t>
            </w:r>
          </w:p>
        </w:tc>
        <w:tc>
          <w:tcPr>
            <w:tcW w:type="dxa" w:w="2551"/>
          </w:tcPr>
          <w:p>
            <w:pPr>
              <w:bidi/>
              <w:spacing w:after="20" w:line="252" w:lineRule="auto"/>
            </w:pPr>
            <w:r/>
            <w:r>
              <w:rPr>
                <w:rFonts w:ascii="Arial" w:hAnsi="Arial" w:cs="Arial" w:eastAsia="Arial"/>
                <w:b w:val="0"/>
                <w:bCs w:val="0"/>
                <w:sz w:val="20"/>
                <w:szCs w:val="20"/>
              </w:rPr>
              <w:t>ورقة «الحسابات»</w:t>
            </w:r>
          </w:p>
        </w:tc>
      </w:tr>
      <w:tr>
        <w:trPr>
          <w:cantSplit/>
        </w:trPr>
        <w:tc>
          <w:tcPr>
            <w:tcW w:type="dxa" w:w="1417"/>
          </w:tcPr>
          <w:p>
            <w:pPr>
              <w:bidi/>
              <w:spacing w:after="20" w:line="252" w:lineRule="auto"/>
            </w:pPr>
            <w:r/>
            <w:r>
              <w:rPr>
                <w:rFonts w:ascii="Arial" w:hAnsi="Arial" w:cs="Arial" w:eastAsia="Arial"/>
                <w:b w:val="0"/>
                <w:bCs w:val="0"/>
                <w:sz w:val="20"/>
                <w:szCs w:val="20"/>
              </w:rPr>
              <w:t>EV-IAM-05</w:t>
            </w:r>
          </w:p>
        </w:tc>
        <w:tc>
          <w:tcPr>
            <w:tcW w:type="dxa" w:w="5669"/>
          </w:tcPr>
          <w:p>
            <w:pPr>
              <w:bidi/>
              <w:spacing w:after="20" w:line="252" w:lineRule="auto"/>
            </w:pPr>
            <w:r/>
            <w:r>
              <w:rPr>
                <w:rFonts w:ascii="Arial" w:hAnsi="Arial" w:cs="Arial" w:eastAsia="Arial"/>
                <w:b w:val="0"/>
                <w:bCs w:val="0"/>
                <w:sz w:val="20"/>
                <w:szCs w:val="20"/>
              </w:rPr>
              <w:t>عضوية المجموعات ذات العلاقة</w:t>
            </w:r>
          </w:p>
        </w:tc>
        <w:tc>
          <w:tcPr>
            <w:tcW w:type="dxa" w:w="2551"/>
          </w:tcPr>
          <w:p>
            <w:pPr>
              <w:bidi/>
              <w:spacing w:after="20" w:line="252" w:lineRule="auto"/>
            </w:pPr>
            <w:r/>
            <w:r>
              <w:rPr>
                <w:rFonts w:ascii="Arial" w:hAnsi="Arial" w:cs="Arial" w:eastAsia="Arial"/>
                <w:b w:val="0"/>
                <w:bCs w:val="0"/>
                <w:sz w:val="20"/>
                <w:szCs w:val="20"/>
              </w:rPr>
              <w:t>ورقة «المجموعات»</w:t>
            </w:r>
          </w:p>
        </w:tc>
      </w:tr>
      <w:tr>
        <w:trPr>
          <w:cantSplit/>
        </w:trPr>
        <w:tc>
          <w:tcPr>
            <w:tcW w:type="dxa" w:w="1417"/>
          </w:tcPr>
          <w:p>
            <w:pPr>
              <w:bidi/>
              <w:spacing w:after="20" w:line="252" w:lineRule="auto"/>
            </w:pPr>
            <w:r/>
            <w:r>
              <w:rPr>
                <w:rFonts w:ascii="Arial" w:hAnsi="Arial" w:cs="Arial" w:eastAsia="Arial"/>
                <w:b w:val="0"/>
                <w:bCs w:val="0"/>
                <w:sz w:val="20"/>
                <w:szCs w:val="20"/>
              </w:rPr>
              <w:t>EV-IAM-06</w:t>
            </w:r>
          </w:p>
        </w:tc>
        <w:tc>
          <w:tcPr>
            <w:tcW w:type="dxa" w:w="5669"/>
          </w:tcPr>
          <w:p>
            <w:pPr>
              <w:bidi/>
              <w:spacing w:after="20" w:line="252" w:lineRule="auto"/>
            </w:pPr>
            <w:r/>
            <w:r>
              <w:rPr>
                <w:rFonts w:ascii="Arial" w:hAnsi="Arial" w:cs="Arial" w:eastAsia="Arial"/>
                <w:b w:val="0"/>
                <w:bCs w:val="0"/>
                <w:sz w:val="20"/>
                <w:szCs w:val="20"/>
              </w:rPr>
              <w:t>سجل الاستثناءات</w:t>
            </w:r>
          </w:p>
        </w:tc>
        <w:tc>
          <w:tcPr>
            <w:tcW w:type="dxa" w:w="2551"/>
          </w:tcPr>
          <w:p>
            <w:pPr>
              <w:bidi/>
              <w:spacing w:after="20" w:line="252" w:lineRule="auto"/>
            </w:pPr>
            <w:r/>
            <w:r>
              <w:rPr>
                <w:rFonts w:ascii="Arial" w:hAnsi="Arial" w:cs="Arial" w:eastAsia="Arial"/>
                <w:b w:val="0"/>
                <w:bCs w:val="0"/>
                <w:sz w:val="20"/>
                <w:szCs w:val="20"/>
              </w:rPr>
              <w:t>ورقة «سجل الاستثناءات»</w:t>
            </w:r>
          </w:p>
        </w:tc>
      </w:tr>
      <w:tr>
        <w:trPr>
          <w:cantSplit/>
        </w:trPr>
        <w:tc>
          <w:tcPr>
            <w:tcW w:type="dxa" w:w="1417"/>
          </w:tcPr>
          <w:p>
            <w:pPr>
              <w:bidi/>
              <w:spacing w:after="20" w:line="252" w:lineRule="auto"/>
            </w:pPr>
            <w:r/>
            <w:r>
              <w:rPr>
                <w:rFonts w:ascii="Arial" w:hAnsi="Arial" w:cs="Arial" w:eastAsia="Arial"/>
                <w:b w:val="0"/>
                <w:bCs w:val="0"/>
                <w:sz w:val="20"/>
                <w:szCs w:val="20"/>
              </w:rPr>
              <w:t>EV-IAM-07</w:t>
            </w:r>
          </w:p>
        </w:tc>
        <w:tc>
          <w:tcPr>
            <w:tcW w:type="dxa" w:w="5669"/>
          </w:tcPr>
          <w:p>
            <w:pPr>
              <w:bidi/>
              <w:spacing w:after="20" w:line="252" w:lineRule="auto"/>
            </w:pPr>
            <w:r/>
            <w:r>
              <w:rPr>
                <w:rFonts w:ascii="Arial" w:hAnsi="Arial" w:cs="Arial" w:eastAsia="Arial"/>
                <w:b w:val="0"/>
                <w:bCs w:val="0"/>
                <w:sz w:val="20"/>
                <w:szCs w:val="20"/>
              </w:rPr>
              <w:t>مستخرج عينة من سجلات الدخول من SIEM</w:t>
            </w:r>
          </w:p>
        </w:tc>
        <w:tc>
          <w:tcPr>
            <w:tcW w:type="dxa" w:w="2551"/>
          </w:tcPr>
          <w:p>
            <w:pPr>
              <w:bidi/>
              <w:spacing w:after="20" w:line="252" w:lineRule="auto"/>
            </w:pPr>
            <w:r/>
            <w:r>
              <w:rPr>
                <w:rFonts w:ascii="Arial" w:hAnsi="Arial" w:cs="Arial" w:eastAsia="Arial"/>
                <w:b w:val="0"/>
                <w:bCs w:val="0"/>
                <w:sz w:val="20"/>
                <w:szCs w:val="20"/>
              </w:rPr>
              <w:t>ورقة «سجل الدخول»</w:t>
            </w:r>
          </w:p>
        </w:tc>
      </w:tr>
      <w:tr>
        <w:trPr>
          <w:cantSplit/>
        </w:trPr>
        <w:tc>
          <w:tcPr>
            <w:tcW w:type="dxa" w:w="1417"/>
          </w:tcPr>
          <w:p>
            <w:pPr>
              <w:bidi/>
              <w:spacing w:after="20" w:line="252" w:lineRule="auto"/>
            </w:pPr>
            <w:r/>
            <w:r>
              <w:rPr>
                <w:rFonts w:ascii="Arial" w:hAnsi="Arial" w:cs="Arial" w:eastAsia="Arial"/>
                <w:b w:val="0"/>
                <w:bCs w:val="0"/>
                <w:sz w:val="20"/>
                <w:szCs w:val="20"/>
              </w:rPr>
              <w:t>EV-IAM-08</w:t>
            </w:r>
          </w:p>
        </w:tc>
        <w:tc>
          <w:tcPr>
            <w:tcW w:type="dxa" w:w="5669"/>
          </w:tcPr>
          <w:p>
            <w:pPr>
              <w:bidi/>
              <w:spacing w:after="20" w:line="252" w:lineRule="auto"/>
            </w:pPr>
            <w:r/>
            <w:r>
              <w:rPr>
                <w:rFonts w:ascii="Arial" w:hAnsi="Arial" w:cs="Arial" w:eastAsia="Arial"/>
                <w:b w:val="0"/>
                <w:bCs w:val="0"/>
                <w:sz w:val="20"/>
                <w:szCs w:val="20"/>
              </w:rPr>
              <w:t>سجل حملة مراجعة الصلاحيات للربع الثاني 2026</w:t>
            </w:r>
          </w:p>
        </w:tc>
        <w:tc>
          <w:tcPr>
            <w:tcW w:type="dxa" w:w="2551"/>
          </w:tcPr>
          <w:p>
            <w:pPr>
              <w:bidi/>
              <w:spacing w:after="20" w:line="252" w:lineRule="auto"/>
            </w:pPr>
            <w:r/>
            <w:r>
              <w:rPr>
                <w:rFonts w:ascii="Arial" w:hAnsi="Arial" w:cs="Arial" w:eastAsia="Arial"/>
                <w:b w:val="0"/>
                <w:bCs w:val="0"/>
                <w:sz w:val="20"/>
                <w:szCs w:val="20"/>
              </w:rPr>
              <w:t>ورقة «مراجعة الصلاحيات»</w:t>
            </w:r>
          </w:p>
        </w:tc>
      </w:tr>
      <w:tr>
        <w:trPr>
          <w:cantSplit/>
        </w:trPr>
        <w:tc>
          <w:tcPr>
            <w:tcW w:type="dxa" w:w="1417"/>
          </w:tcPr>
          <w:p>
            <w:pPr>
              <w:bidi/>
              <w:spacing w:after="20" w:line="252" w:lineRule="auto"/>
            </w:pPr>
            <w:r/>
            <w:r>
              <w:rPr>
                <w:rFonts w:ascii="Arial" w:hAnsi="Arial" w:cs="Arial" w:eastAsia="Arial"/>
                <w:b w:val="0"/>
                <w:bCs w:val="0"/>
                <w:sz w:val="20"/>
                <w:szCs w:val="20"/>
              </w:rPr>
              <w:t>EV-IAM-09</w:t>
            </w:r>
          </w:p>
        </w:tc>
        <w:tc>
          <w:tcPr>
            <w:tcW w:type="dxa" w:w="5669"/>
          </w:tcPr>
          <w:p>
            <w:pPr>
              <w:bidi/>
              <w:spacing w:after="20" w:line="252" w:lineRule="auto"/>
            </w:pPr>
            <w:r/>
            <w:r>
              <w:rPr>
                <w:rFonts w:ascii="Arial" w:hAnsi="Arial" w:cs="Arial" w:eastAsia="Arial"/>
                <w:b w:val="0"/>
                <w:bCs w:val="0"/>
                <w:sz w:val="20"/>
                <w:szCs w:val="20"/>
              </w:rPr>
              <w:t>كشف المنتهية علاقتهم الوظيفية وأوقات التعطيل في الأنظمة</w:t>
            </w:r>
          </w:p>
        </w:tc>
        <w:tc>
          <w:tcPr>
            <w:tcW w:type="dxa" w:w="2551"/>
          </w:tcPr>
          <w:p>
            <w:pPr>
              <w:bidi/>
              <w:spacing w:after="20" w:line="252" w:lineRule="auto"/>
            </w:pPr>
            <w:r/>
            <w:r>
              <w:rPr>
                <w:rFonts w:ascii="Arial" w:hAnsi="Arial" w:cs="Arial" w:eastAsia="Arial"/>
                <w:b w:val="0"/>
                <w:bCs w:val="0"/>
                <w:sz w:val="20"/>
                <w:szCs w:val="20"/>
              </w:rPr>
              <w:t>ورقة «المنتهية خدماتهم»</w:t>
            </w:r>
          </w:p>
        </w:tc>
      </w:tr>
    </w:tbl>
    <w:p>
      <w:pPr>
        <w:spacing w:after="40"/>
      </w:pPr>
    </w:p>
    <w:p>
      <w:pPr>
        <w:bidi/>
      </w:pPr>
      <w:r>
        <w:rPr>
          <w:rFonts w:ascii="Arial" w:hAnsi="Arial" w:cs="Arial" w:eastAsia="Arial"/>
          <w:b w:val="0"/>
          <w:bCs w:val="0"/>
          <w:color w:val="555555"/>
          <w:sz w:val="21"/>
          <w:szCs w:val="21"/>
        </w:rPr>
        <w:t>لم تُقدَّم وثائق أخرى ضمن هذه الحزمة.</w:t>
      </w:r>
    </w:p>
    <w:p>
      <w:pPr>
        <w:pStyle w:val="Heading1"/>
        <w:bidi/>
      </w:pPr>
      <w:r>
        <w:rPr>
          <w:rFonts w:ascii="Arial" w:hAnsi="Arial" w:cs="Arial" w:eastAsia="Arial"/>
          <w:b w:val="0"/>
          <w:bCs w:val="0"/>
        </w:rPr>
        <w:t>5. مقتطف من سياسة إدارة هويات الدخول والصلاحيات (EV-IAM-01)</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4.1 الملكية</w:t>
            </w:r>
          </w:p>
        </w:tc>
        <w:tc>
          <w:tcPr>
            <w:tcW w:type="dxa" w:w="7370"/>
          </w:tcPr>
          <w:p>
            <w:pPr>
              <w:bidi/>
              <w:spacing w:after="20" w:line="252" w:lineRule="auto"/>
            </w:pPr>
            <w:r/>
            <w:r>
              <w:rPr>
                <w:rFonts w:ascii="Arial" w:hAnsi="Arial" w:cs="Arial" w:eastAsia="Arial"/>
                <w:b w:val="0"/>
                <w:bCs w:val="0"/>
                <w:sz w:val="20"/>
                <w:szCs w:val="20"/>
              </w:rPr>
              <w:t>لكل حساب مالك مسؤول من موظفي الجهة. حسابات المتعاقدين يملكها مشرف العقد.</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4.2 التحقق متعدد العوامل</w:t>
            </w:r>
          </w:p>
        </w:tc>
        <w:tc>
          <w:tcPr>
            <w:tcW w:type="dxa" w:w="7370"/>
          </w:tcPr>
          <w:p>
            <w:pPr>
              <w:bidi/>
              <w:spacing w:after="20" w:line="252" w:lineRule="auto"/>
            </w:pPr>
            <w:r/>
            <w:r>
              <w:rPr>
                <w:rFonts w:ascii="Arial" w:hAnsi="Arial" w:cs="Arial" w:eastAsia="Arial"/>
                <w:b w:val="0"/>
                <w:bCs w:val="0"/>
                <w:sz w:val="20"/>
                <w:szCs w:val="20"/>
              </w:rPr>
              <w:t>يُفرض التحقق متعدد العوامل على: (أ) جميع عمليات الدخول عن بعد (VPN، والبريد عبر الويب، والتطبيقات السحابية من خارج الشبكة)؛ (ب) جميع الحسابات ذات الصلاحيات الهامة والحساسة، بما فيها أدوار الإدارة في المستأجر السحابي، في كل عمليات الدخول. العوامل المعتمدة في الجهة: تطبيق المصادقة، أو الرسائل النصية القصيرة (SMS)، أو مفاتيح الأمان (FIDO2)، ويحدد فريق تقنية المعلومات العامل المناسب لكل نظام.</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4.3 الاستثناءات</w:t>
            </w:r>
          </w:p>
        </w:tc>
        <w:tc>
          <w:tcPr>
            <w:tcW w:type="dxa" w:w="7370"/>
          </w:tcPr>
          <w:p>
            <w:pPr>
              <w:bidi/>
              <w:spacing w:after="20" w:line="252" w:lineRule="auto"/>
            </w:pPr>
            <w:r/>
            <w:r>
              <w:rPr>
                <w:rFonts w:ascii="Arial" w:hAnsi="Arial" w:cs="Arial" w:eastAsia="Arial"/>
                <w:b w:val="0"/>
                <w:bCs w:val="0"/>
                <w:sz w:val="20"/>
                <w:szCs w:val="20"/>
              </w:rPr>
              <w:t>أي استثناء من هذه السياسة يُسجل في سجل الاستثناءات ويعتمده مدير عام الأمن السيبراني، مع ضوابط تعويضية، ولمدة لا تتجاوز 90 يوماً، ما عدا الاستثناء الدائم المنصوص عليه في البند 4.4 فيُراجع سنوياً.</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4.4 حسابات الطوارئ</w:t>
            </w:r>
          </w:p>
        </w:tc>
        <w:tc>
          <w:tcPr>
            <w:tcW w:type="dxa" w:w="7370"/>
          </w:tcPr>
          <w:p>
            <w:pPr>
              <w:bidi/>
              <w:spacing w:after="20" w:line="252" w:lineRule="auto"/>
            </w:pPr>
            <w:r/>
            <w:r>
              <w:rPr>
                <w:rFonts w:ascii="Arial" w:hAnsi="Arial" w:cs="Arial" w:eastAsia="Arial"/>
                <w:b w:val="0"/>
                <w:bCs w:val="0"/>
                <w:sz w:val="20"/>
                <w:szCs w:val="20"/>
              </w:rPr>
              <w:t>حسابان للطوارئ في المستأجر السحابي، يُستثنيان من سياسات الوصول المشروط باستثناء معتمد، ويحفظ مفتاحا FIDO2 الخاصان بهما في خزنة، ويُرسل تنبيه فوري عند أي دخول، ويُختبران ربع سنوياً.</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4.5 حسابات الخدمة</w:t>
            </w:r>
          </w:p>
        </w:tc>
        <w:tc>
          <w:tcPr>
            <w:tcW w:type="dxa" w:w="7370"/>
          </w:tcPr>
          <w:p>
            <w:pPr>
              <w:bidi/>
              <w:spacing w:after="20" w:line="252" w:lineRule="auto"/>
            </w:pPr>
            <w:r/>
            <w:r>
              <w:rPr>
                <w:rFonts w:ascii="Arial" w:hAnsi="Arial" w:cs="Arial" w:eastAsia="Arial"/>
                <w:b w:val="0"/>
                <w:bCs w:val="0"/>
                <w:sz w:val="20"/>
                <w:szCs w:val="20"/>
              </w:rPr>
              <w:t>تُستخدم حسابات الخدمة لتشغيل الخدمات فقط، ولا يُسمح باستخدامها في الدخول التفاعلي. تُمنح الحد الأدنى من الصلاحيات، ولكل حساب مالك.</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4.6 هويات التطبيقات</w:t>
            </w:r>
          </w:p>
        </w:tc>
        <w:tc>
          <w:tcPr>
            <w:tcW w:type="dxa" w:w="7370"/>
          </w:tcPr>
          <w:p>
            <w:pPr>
              <w:bidi/>
              <w:spacing w:after="20" w:line="252" w:lineRule="auto"/>
            </w:pPr>
            <w:r/>
            <w:r>
              <w:rPr>
                <w:rFonts w:ascii="Arial" w:hAnsi="Arial" w:cs="Arial" w:eastAsia="Arial"/>
                <w:b w:val="0"/>
                <w:bCs w:val="0"/>
                <w:sz w:val="20"/>
                <w:szCs w:val="20"/>
              </w:rPr>
              <w:t>تُفضَّل الشهادات الرقمية على الأسرار. لا تتجاوز صلاحية السر 12 شهراً. تُمنح هوية التطبيق الصلاحيات اللازمة لوظيفتها فقط.</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4.7 الوصول المميز</w:t>
            </w:r>
          </w:p>
        </w:tc>
        <w:tc>
          <w:tcPr>
            <w:tcW w:type="dxa" w:w="7370"/>
          </w:tcPr>
          <w:p>
            <w:pPr>
              <w:bidi/>
              <w:spacing w:after="20" w:line="252" w:lineRule="auto"/>
            </w:pPr>
            <w:r/>
            <w:r>
              <w:rPr>
                <w:rFonts w:ascii="Arial" w:hAnsi="Arial" w:cs="Arial" w:eastAsia="Arial"/>
                <w:b w:val="0"/>
                <w:bCs w:val="0"/>
                <w:sz w:val="20"/>
                <w:szCs w:val="20"/>
              </w:rPr>
              <w:t>تتم جميع جلسات إدارة الخوادم وأجهزة الشبكة عبر بوابة إدارة الصلاحيات الهامة (PAM)، وتُستخدم حسابات إدارة منفصلة عن حسابات الاستخدام اليومي.</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4.8 انتهاء العلاقة الوظيفية</w:t>
            </w:r>
          </w:p>
        </w:tc>
        <w:tc>
          <w:tcPr>
            <w:tcW w:type="dxa" w:w="7370"/>
          </w:tcPr>
          <w:p>
            <w:pPr>
              <w:bidi/>
              <w:spacing w:after="20" w:line="252" w:lineRule="auto"/>
            </w:pPr>
            <w:r/>
            <w:r>
              <w:rPr>
                <w:rFonts w:ascii="Arial" w:hAnsi="Arial" w:cs="Arial" w:eastAsia="Arial"/>
                <w:b w:val="0"/>
                <w:bCs w:val="0"/>
                <w:sz w:val="20"/>
                <w:szCs w:val="20"/>
              </w:rPr>
              <w:t>تُعطَّل جميع حسابات العامل وصلاحياته في جميع الأنظمة خلال ساعة واحدة من وقت انتهاء العلاقة الوظيفية المسجل في نظام الموارد البشرية.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4.9 المراجعة الدورية</w:t>
            </w:r>
          </w:p>
        </w:tc>
        <w:tc>
          <w:tcPr>
            <w:tcW w:type="dxa" w:w="7370"/>
          </w:tcPr>
          <w:p>
            <w:pPr>
              <w:bidi/>
              <w:spacing w:after="20" w:line="252" w:lineRule="auto"/>
            </w:pPr>
            <w:r/>
            <w:r>
              <w:rPr>
                <w:rFonts w:ascii="Arial" w:hAnsi="Arial" w:cs="Arial" w:eastAsia="Arial"/>
                <w:b w:val="0"/>
                <w:bCs w:val="0"/>
                <w:sz w:val="20"/>
                <w:szCs w:val="20"/>
              </w:rPr>
              <w:t>مراجعة ربع سنوية يعتمدها مالك كل نطاق، وتشمل كحد أدنى: نظام ERP، ونظام الموارد البشرية، والمخولين بالدخول عن بعد (VPN)، وأدوار الإدارة في المستأجر السحابي، ومجموعات الصلاحيات الهامة في الدليل النشط. تُنفذ قرارات الإزالة خلال خمسة أيام عمل من الاعتماد.</w:t>
            </w:r>
          </w:p>
        </w:tc>
      </w:tr>
    </w:tbl>
    <w:p>
      <w:pPr>
        <w:spacing w:after="40"/>
      </w:pPr>
    </w:p>
    <w:p>
      <w:pPr>
        <w:pStyle w:val="Heading1"/>
        <w:bidi/>
      </w:pPr>
      <w:r>
        <w:rPr>
          <w:rFonts w:ascii="Arial" w:hAnsi="Arial" w:cs="Arial" w:eastAsia="Arial"/>
          <w:b w:val="0"/>
          <w:bCs w:val="0"/>
        </w:rPr>
        <w:t>6. ملخص إعدادات VPN وPAM (EV-IAM-03)</w:t>
      </w:r>
    </w:p>
    <w:tbl>
      <w:tblPr>
        <w:tblStyle w:val="TableGrid"/>
        <w:bidiVisual/>
        <w:tblW w:type="dxa" w:w="9637"/>
        <w:jc w:val="center"/>
        <w:tblLayout w:type="fixed"/>
        <w:tblLook w:firstColumn="1" w:firstRow="1" w:lastColumn="0" w:lastRow="0" w:noHBand="0" w:noVBand="1" w:val="04A0"/>
      </w:tblPr>
      <w:tblGrid>
        <w:gridCol w:w="1700"/>
        <w:gridCol w:w="3968"/>
        <w:gridCol w:w="3968"/>
      </w:tblGrid>
      <w:tr>
        <w:trPr>
          <w:cantSplit/>
          <w:tblHeader/>
        </w:trPr>
        <w:tc>
          <w:tcPr>
            <w:tcW w:type="dxa" w:w="1701"/>
            <w:shd w:val="clear" w:color="auto" w:fill="D9E2F3"/>
          </w:tcPr>
          <w:p>
            <w:pPr>
              <w:bidi/>
              <w:spacing w:after="20" w:line="252" w:lineRule="auto"/>
            </w:pPr>
            <w:r/>
            <w:r>
              <w:rPr>
                <w:rFonts w:ascii="Arial" w:hAnsi="Arial" w:cs="Arial" w:eastAsia="Arial"/>
                <w:b w:val="1"/>
                <w:bCs w:val="1"/>
                <w:sz w:val="20"/>
                <w:szCs w:val="20"/>
              </w:rPr>
              <w:t>البند</w:t>
            </w:r>
          </w:p>
        </w:tc>
        <w:tc>
          <w:tcPr>
            <w:tcW w:type="dxa" w:w="3969"/>
            <w:shd w:val="clear" w:color="auto" w:fill="D9E2F3"/>
          </w:tcPr>
          <w:p>
            <w:pPr>
              <w:bidi/>
              <w:spacing w:after="20" w:line="252" w:lineRule="auto"/>
            </w:pPr>
            <w:r/>
            <w:r>
              <w:rPr>
                <w:rFonts w:ascii="Arial" w:hAnsi="Arial" w:cs="Arial" w:eastAsia="Arial"/>
                <w:b w:val="1"/>
                <w:bCs w:val="1"/>
                <w:sz w:val="20"/>
                <w:szCs w:val="20"/>
              </w:rPr>
              <w:t>بوابة VPN</w:t>
            </w:r>
          </w:p>
        </w:tc>
        <w:tc>
          <w:tcPr>
            <w:tcW w:type="dxa" w:w="3969"/>
            <w:shd w:val="clear" w:color="auto" w:fill="D9E2F3"/>
          </w:tcPr>
          <w:p>
            <w:pPr>
              <w:bidi/>
              <w:spacing w:after="20" w:line="252" w:lineRule="auto"/>
            </w:pPr>
            <w:r/>
            <w:r>
              <w:rPr>
                <w:rFonts w:ascii="Arial" w:hAnsi="Arial" w:cs="Arial" w:eastAsia="Arial"/>
                <w:b w:val="1"/>
                <w:bCs w:val="1"/>
                <w:sz w:val="20"/>
                <w:szCs w:val="20"/>
              </w:rPr>
              <w:t>بوابة PAM</w:t>
            </w:r>
          </w:p>
        </w:tc>
      </w:tr>
      <w:tr>
        <w:trPr>
          <w:cantSplit/>
        </w:trPr>
        <w:tc>
          <w:tcPr>
            <w:tcW w:type="dxa" w:w="1701"/>
          </w:tcPr>
          <w:p>
            <w:pPr>
              <w:bidi/>
              <w:spacing w:after="20" w:line="252" w:lineRule="auto"/>
            </w:pPr>
            <w:r/>
            <w:r>
              <w:rPr>
                <w:rFonts w:ascii="Arial" w:hAnsi="Arial" w:cs="Arial" w:eastAsia="Arial"/>
                <w:b w:val="0"/>
                <w:bCs w:val="0"/>
                <w:sz w:val="20"/>
                <w:szCs w:val="20"/>
              </w:rPr>
              <w:t>طريقة التحقق</w:t>
            </w:r>
          </w:p>
        </w:tc>
        <w:tc>
          <w:tcPr>
            <w:tcW w:type="dxa" w:w="3969"/>
          </w:tcPr>
          <w:p>
            <w:pPr>
              <w:bidi/>
              <w:spacing w:after="20" w:line="252" w:lineRule="auto"/>
            </w:pPr>
            <w:r/>
            <w:r>
              <w:rPr>
                <w:rFonts w:ascii="Arial" w:hAnsi="Arial" w:cs="Arial" w:eastAsia="Arial"/>
                <w:b w:val="0"/>
                <w:bCs w:val="0"/>
                <w:sz w:val="20"/>
                <w:szCs w:val="20"/>
              </w:rPr>
              <w:t>اسم المستخدم وكلمة المرور ثم عامل ثانٍ عبر خادم RADIUS (تطبيق المصادقة أو رسالة نصية)</w:t>
            </w:r>
          </w:p>
        </w:tc>
        <w:tc>
          <w:tcPr>
            <w:tcW w:type="dxa" w:w="3969"/>
          </w:tcPr>
          <w:p>
            <w:pPr>
              <w:bidi/>
              <w:spacing w:after="20" w:line="252" w:lineRule="auto"/>
            </w:pPr>
            <w:r/>
            <w:r>
              <w:rPr>
                <w:rFonts w:ascii="Arial" w:hAnsi="Arial" w:cs="Arial" w:eastAsia="Arial"/>
                <w:b w:val="0"/>
                <w:bCs w:val="0"/>
                <w:sz w:val="20"/>
                <w:szCs w:val="20"/>
              </w:rPr>
              <w:t>كلمة المرور ثم مفتاح FIDO2 أو تطبيق المصادقة</w:t>
            </w:r>
          </w:p>
        </w:tc>
      </w:tr>
      <w:tr>
        <w:trPr>
          <w:cantSplit/>
        </w:trPr>
        <w:tc>
          <w:tcPr>
            <w:tcW w:type="dxa" w:w="1701"/>
          </w:tcPr>
          <w:p>
            <w:pPr>
              <w:bidi/>
              <w:spacing w:after="20" w:line="252" w:lineRule="auto"/>
            </w:pPr>
            <w:r/>
            <w:r>
              <w:rPr>
                <w:rFonts w:ascii="Arial" w:hAnsi="Arial" w:cs="Arial" w:eastAsia="Arial"/>
                <w:b w:val="0"/>
                <w:bCs w:val="0"/>
                <w:sz w:val="20"/>
                <w:szCs w:val="20"/>
              </w:rPr>
              <w:t>حالة الفرض</w:t>
            </w:r>
          </w:p>
        </w:tc>
        <w:tc>
          <w:tcPr>
            <w:tcW w:type="dxa" w:w="3969"/>
          </w:tcPr>
          <w:p>
            <w:pPr>
              <w:bidi/>
              <w:spacing w:after="20" w:line="252" w:lineRule="auto"/>
            </w:pPr>
            <w:r/>
            <w:r>
              <w:rPr>
                <w:rFonts w:ascii="Arial" w:hAnsi="Arial" w:cs="Arial" w:eastAsia="Arial"/>
                <w:b w:val="0"/>
                <w:bCs w:val="0"/>
                <w:sz w:val="20"/>
                <w:szCs w:val="20"/>
              </w:rPr>
              <w:t>مفروض على جميع ملفات الاتصال (Profiles)، بما فيها ملف المتعاقدين</w:t>
            </w:r>
          </w:p>
        </w:tc>
        <w:tc>
          <w:tcPr>
            <w:tcW w:type="dxa" w:w="3969"/>
          </w:tcPr>
          <w:p>
            <w:pPr>
              <w:bidi/>
              <w:spacing w:after="20" w:line="252" w:lineRule="auto"/>
            </w:pPr>
            <w:r/>
            <w:r>
              <w:rPr>
                <w:rFonts w:ascii="Arial" w:hAnsi="Arial" w:cs="Arial" w:eastAsia="Arial"/>
                <w:b w:val="0"/>
                <w:bCs w:val="0"/>
                <w:sz w:val="20"/>
                <w:szCs w:val="20"/>
              </w:rPr>
              <w:t>مفروض على جميع الجلسات</w:t>
            </w:r>
          </w:p>
        </w:tc>
      </w:tr>
      <w:tr>
        <w:trPr>
          <w:cantSplit/>
        </w:trPr>
        <w:tc>
          <w:tcPr>
            <w:tcW w:type="dxa" w:w="1701"/>
          </w:tcPr>
          <w:p>
            <w:pPr>
              <w:bidi/>
              <w:spacing w:after="20" w:line="252" w:lineRule="auto"/>
            </w:pPr>
            <w:r/>
            <w:r>
              <w:rPr>
                <w:rFonts w:ascii="Arial" w:hAnsi="Arial" w:cs="Arial" w:eastAsia="Arial"/>
                <w:b w:val="0"/>
                <w:bCs w:val="0"/>
                <w:sz w:val="20"/>
                <w:szCs w:val="20"/>
              </w:rPr>
              <w:t>النطاق</w:t>
            </w:r>
          </w:p>
        </w:tc>
        <w:tc>
          <w:tcPr>
            <w:tcW w:type="dxa" w:w="3969"/>
          </w:tcPr>
          <w:p>
            <w:pPr>
              <w:bidi/>
              <w:spacing w:after="20" w:line="252" w:lineRule="auto"/>
            </w:pPr>
            <w:r/>
            <w:r>
              <w:rPr>
                <w:rFonts w:ascii="Arial" w:hAnsi="Arial" w:cs="Arial" w:eastAsia="Arial"/>
                <w:b w:val="0"/>
                <w:bCs w:val="0"/>
                <w:sz w:val="20"/>
                <w:szCs w:val="20"/>
              </w:rPr>
              <w:t>أعضاء GRP-VPN-Users فقط</w:t>
            </w:r>
          </w:p>
        </w:tc>
        <w:tc>
          <w:tcPr>
            <w:tcW w:type="dxa" w:w="3969"/>
          </w:tcPr>
          <w:p>
            <w:pPr>
              <w:bidi/>
              <w:spacing w:after="20" w:line="252" w:lineRule="auto"/>
            </w:pPr>
            <w:r/>
            <w:r>
              <w:rPr>
                <w:rFonts w:ascii="Arial" w:hAnsi="Arial" w:cs="Arial" w:eastAsia="Arial"/>
                <w:b w:val="0"/>
                <w:bCs w:val="0"/>
                <w:sz w:val="20"/>
                <w:szCs w:val="20"/>
              </w:rPr>
              <w:t>الخوادم وأجهزة الشبكة ووحدات تحكم النطاق</w:t>
            </w:r>
          </w:p>
        </w:tc>
      </w:tr>
      <w:tr>
        <w:trPr>
          <w:cantSplit/>
        </w:trPr>
        <w:tc>
          <w:tcPr>
            <w:tcW w:type="dxa" w:w="1701"/>
          </w:tcPr>
          <w:p>
            <w:pPr>
              <w:bidi/>
              <w:spacing w:after="20" w:line="252" w:lineRule="auto"/>
            </w:pPr>
            <w:r/>
            <w:r>
              <w:rPr>
                <w:rFonts w:ascii="Arial" w:hAnsi="Arial" w:cs="Arial" w:eastAsia="Arial"/>
                <w:b w:val="0"/>
                <w:bCs w:val="0"/>
                <w:sz w:val="20"/>
                <w:szCs w:val="20"/>
              </w:rPr>
              <w:t>ملاحظات الإعداد</w:t>
            </w:r>
          </w:p>
        </w:tc>
        <w:tc>
          <w:tcPr>
            <w:tcW w:type="dxa" w:w="3969"/>
          </w:tcPr>
          <w:p>
            <w:pPr>
              <w:bidi/>
              <w:spacing w:after="20" w:line="252" w:lineRule="auto"/>
            </w:pPr>
            <w:r/>
            <w:r>
              <w:rPr>
                <w:rFonts w:ascii="Arial" w:hAnsi="Arial" w:cs="Arial" w:eastAsia="Arial"/>
                <w:b w:val="0"/>
                <w:bCs w:val="0"/>
                <w:sz w:val="20"/>
                <w:szCs w:val="20"/>
              </w:rPr>
              <w:t>ملف المتعاقدين مقيد بقائمة عناوين IP للموردين</w:t>
            </w:r>
          </w:p>
        </w:tc>
        <w:tc>
          <w:tcPr>
            <w:tcW w:type="dxa" w:w="3969"/>
          </w:tcPr>
          <w:p>
            <w:pPr>
              <w:bidi/>
              <w:spacing w:after="20" w:line="252" w:lineRule="auto"/>
            </w:pPr>
            <w:r/>
            <w:r>
              <w:rPr>
                <w:rFonts w:ascii="Arial" w:hAnsi="Arial" w:cs="Arial" w:eastAsia="Arial"/>
                <w:b w:val="0"/>
                <w:bCs w:val="0"/>
                <w:sz w:val="20"/>
                <w:szCs w:val="20"/>
              </w:rPr>
              <w:t>قواعد الجدار الناري تمنع RDP إلى الخوادم من شبكة المستخدمين، وتسمح به من بوابة PAM والشبكة الإدارية (VLAN 50)</w:t>
            </w:r>
          </w:p>
        </w:tc>
      </w:tr>
      <w:tr>
        <w:trPr>
          <w:cantSplit/>
        </w:trPr>
        <w:tc>
          <w:tcPr>
            <w:tcW w:type="dxa" w:w="1701"/>
          </w:tcPr>
          <w:p>
            <w:pPr>
              <w:bidi/>
              <w:spacing w:after="20" w:line="252" w:lineRule="auto"/>
            </w:pPr>
            <w:r/>
            <w:r>
              <w:rPr>
                <w:rFonts w:ascii="Arial" w:hAnsi="Arial" w:cs="Arial" w:eastAsia="Arial"/>
                <w:b w:val="0"/>
                <w:bCs w:val="0"/>
                <w:sz w:val="20"/>
                <w:szCs w:val="20"/>
              </w:rPr>
              <w:t>تاريخ اللقطة</w:t>
            </w:r>
          </w:p>
        </w:tc>
        <w:tc>
          <w:tcPr>
            <w:tcW w:type="dxa" w:w="3969"/>
          </w:tcPr>
          <w:p>
            <w:pPr>
              <w:bidi/>
              <w:spacing w:after="20" w:line="252" w:lineRule="auto"/>
            </w:pPr>
            <w:r/>
            <w:r>
              <w:rPr>
                <w:rFonts w:ascii="Arial" w:hAnsi="Arial" w:cs="Arial" w:eastAsia="Arial"/>
                <w:b w:val="0"/>
                <w:bCs w:val="0"/>
                <w:sz w:val="20"/>
                <w:szCs w:val="20"/>
              </w:rPr>
              <w:t>‎2026-09-30‎</w:t>
            </w:r>
          </w:p>
        </w:tc>
        <w:tc>
          <w:tcPr>
            <w:tcW w:type="dxa" w:w="3969"/>
          </w:tcPr>
          <w:p>
            <w:pPr>
              <w:bidi/>
              <w:spacing w:after="20" w:line="252" w:lineRule="auto"/>
            </w:pPr>
            <w:r/>
            <w:r>
              <w:rPr>
                <w:rFonts w:ascii="Arial" w:hAnsi="Arial" w:cs="Arial" w:eastAsia="Arial"/>
                <w:b w:val="0"/>
                <w:bCs w:val="0"/>
                <w:sz w:val="20"/>
                <w:szCs w:val="20"/>
              </w:rPr>
              <w:t>‎2026-09-30‎</w:t>
            </w:r>
          </w:p>
        </w:tc>
      </w:tr>
    </w:tbl>
    <w:p>
      <w:pPr>
        <w:spacing w:after="40"/>
      </w:pPr>
    </w:p>
    <w:p>
      <w:pPr>
        <w:pStyle w:val="Heading1"/>
        <w:bidi/>
      </w:pPr>
      <w:r>
        <w:rPr>
          <w:rFonts w:ascii="Arial" w:hAnsi="Arial" w:cs="Arial" w:eastAsia="Arial"/>
          <w:b w:val="0"/>
          <w:bCs w:val="0"/>
        </w:rPr>
        <w:t>7. مصطلحات سريعة</w:t>
      </w:r>
    </w:p>
    <w:tbl>
      <w:tblPr>
        <w:tblStyle w:val="TableGrid"/>
        <w:bidiVisual/>
        <w:tblW w:type="dxa" w:w="9637"/>
        <w:jc w:val="center"/>
        <w:tblLayout w:type="fixed"/>
        <w:tblLook w:firstColumn="1" w:firstRow="1" w:lastColumn="0" w:lastRow="0" w:noHBand="0" w:noVBand="1" w:val="04A0"/>
      </w:tblPr>
      <w:tblGrid>
        <w:gridCol w:w="3288"/>
        <w:gridCol w:w="6349"/>
      </w:tblGrid>
      <w:tr>
        <w:trPr>
          <w:cantSplit/>
          <w:tblHeader/>
        </w:trPr>
        <w:tc>
          <w:tcPr>
            <w:tcW w:type="dxa" w:w="3288"/>
            <w:shd w:val="clear" w:color="auto" w:fill="D9E2F3"/>
          </w:tcPr>
          <w:p>
            <w:pPr>
              <w:bidi/>
              <w:spacing w:after="20" w:line="252" w:lineRule="auto"/>
            </w:pPr>
            <w:r/>
            <w:r>
              <w:rPr>
                <w:rFonts w:ascii="Arial" w:hAnsi="Arial" w:cs="Arial" w:eastAsia="Arial"/>
                <w:b w:val="1"/>
                <w:bCs w:val="1"/>
                <w:sz w:val="20"/>
                <w:szCs w:val="20"/>
              </w:rPr>
              <w:t>المصطلح</w:t>
            </w:r>
          </w:p>
        </w:tc>
        <w:tc>
          <w:tcPr>
            <w:tcW w:type="dxa" w:w="6350"/>
            <w:shd w:val="clear" w:color="auto" w:fill="D9E2F3"/>
          </w:tcPr>
          <w:p>
            <w:pPr>
              <w:bidi/>
              <w:spacing w:after="20" w:line="252" w:lineRule="auto"/>
            </w:pPr>
            <w:r/>
            <w:r>
              <w:rPr>
                <w:rFonts w:ascii="Arial" w:hAnsi="Arial" w:cs="Arial" w:eastAsia="Arial"/>
                <w:b w:val="1"/>
                <w:bCs w:val="1"/>
                <w:sz w:val="20"/>
                <w:szCs w:val="20"/>
              </w:rPr>
              <w:t>المعنى</w:t>
            </w:r>
          </w:p>
        </w:tc>
      </w:tr>
      <w:tr>
        <w:trPr>
          <w:cantSplit/>
        </w:trPr>
        <w:tc>
          <w:tcPr>
            <w:tcW w:type="dxa" w:w="3288"/>
          </w:tcPr>
          <w:p>
            <w:pPr>
              <w:bidi/>
              <w:spacing w:after="20" w:line="252" w:lineRule="auto"/>
            </w:pPr>
            <w:r/>
            <w:r>
              <w:rPr>
                <w:rFonts w:ascii="Arial" w:hAnsi="Arial" w:cs="Arial" w:eastAsia="Arial"/>
                <w:b w:val="0"/>
                <w:bCs w:val="0"/>
                <w:sz w:val="20"/>
                <w:szCs w:val="20"/>
              </w:rPr>
              <w:t>تسجيل طريقة التحقق</w:t>
            </w:r>
          </w:p>
        </w:tc>
        <w:tc>
          <w:tcPr>
            <w:tcW w:type="dxa" w:w="6350"/>
          </w:tcPr>
          <w:p>
            <w:pPr>
              <w:bidi/>
              <w:spacing w:after="20" w:line="252" w:lineRule="auto"/>
            </w:pPr>
            <w:r/>
            <w:r>
              <w:rPr>
                <w:rFonts w:ascii="Arial" w:hAnsi="Arial" w:cs="Arial" w:eastAsia="Arial"/>
                <w:b w:val="0"/>
                <w:bCs w:val="0"/>
                <w:sz w:val="20"/>
                <w:szCs w:val="20"/>
              </w:rPr>
              <w:t>أن يضيف المستخدم إلى حسابه طريقة تحقق (تطبيق، رسالة نصية، مفتاح أمان).</w:t>
            </w:r>
          </w:p>
        </w:tc>
      </w:tr>
      <w:tr>
        <w:trPr>
          <w:cantSplit/>
        </w:trPr>
        <w:tc>
          <w:tcPr>
            <w:tcW w:type="dxa" w:w="3288"/>
          </w:tcPr>
          <w:p>
            <w:pPr>
              <w:bidi/>
              <w:spacing w:after="20" w:line="252" w:lineRule="auto"/>
            </w:pPr>
            <w:r/>
            <w:r>
              <w:rPr>
                <w:rFonts w:ascii="Arial" w:hAnsi="Arial" w:cs="Arial" w:eastAsia="Arial"/>
                <w:b w:val="0"/>
                <w:bCs w:val="0"/>
                <w:sz w:val="20"/>
                <w:szCs w:val="20"/>
              </w:rPr>
              <w:t>فرض التحقق</w:t>
            </w:r>
          </w:p>
        </w:tc>
        <w:tc>
          <w:tcPr>
            <w:tcW w:type="dxa" w:w="6350"/>
          </w:tcPr>
          <w:p>
            <w:pPr>
              <w:bidi/>
              <w:spacing w:after="20" w:line="252" w:lineRule="auto"/>
            </w:pPr>
            <w:r/>
            <w:r>
              <w:rPr>
                <w:rFonts w:ascii="Arial" w:hAnsi="Arial" w:cs="Arial" w:eastAsia="Arial"/>
                <w:b w:val="0"/>
                <w:bCs w:val="0"/>
                <w:sz w:val="20"/>
                <w:szCs w:val="20"/>
              </w:rPr>
              <w:t>أن يشترط النظام استخدام عامل إضافي عند الدخول، فلا يكتمل الدخول بدونه.</w:t>
            </w:r>
          </w:p>
        </w:tc>
      </w:tr>
      <w:tr>
        <w:trPr>
          <w:cantSplit/>
        </w:trPr>
        <w:tc>
          <w:tcPr>
            <w:tcW w:type="dxa" w:w="3288"/>
          </w:tcPr>
          <w:p>
            <w:pPr>
              <w:bidi/>
              <w:spacing w:after="20" w:line="252" w:lineRule="auto"/>
            </w:pPr>
            <w:r/>
            <w:r>
              <w:rPr>
                <w:rFonts w:ascii="Arial" w:hAnsi="Arial" w:cs="Arial" w:eastAsia="Arial"/>
                <w:b w:val="0"/>
                <w:bCs w:val="0"/>
                <w:sz w:val="20"/>
                <w:szCs w:val="20"/>
              </w:rPr>
              <w:t>الوصول المشروط</w:t>
            </w:r>
          </w:p>
        </w:tc>
        <w:tc>
          <w:tcPr>
            <w:tcW w:type="dxa" w:w="6350"/>
          </w:tcPr>
          <w:p>
            <w:pPr>
              <w:bidi/>
              <w:spacing w:after="20" w:line="252" w:lineRule="auto"/>
            </w:pPr>
            <w:r/>
            <w:r>
              <w:rPr>
                <w:rFonts w:ascii="Arial" w:hAnsi="Arial" w:cs="Arial" w:eastAsia="Arial"/>
                <w:b w:val="0"/>
                <w:bCs w:val="0"/>
                <w:sz w:val="20"/>
                <w:szCs w:val="20"/>
              </w:rPr>
              <w:t>قواعد تقرر شروط الدخول (من؟ إلى أي تطبيق؟ من أين؟ بأي عميل؟) وما يُشترط عندها.</w:t>
            </w:r>
          </w:p>
        </w:tc>
      </w:tr>
      <w:tr>
        <w:trPr>
          <w:cantSplit/>
        </w:trPr>
        <w:tc>
          <w:tcPr>
            <w:tcW w:type="dxa" w:w="3288"/>
          </w:tcPr>
          <w:p>
            <w:pPr>
              <w:bidi/>
              <w:spacing w:after="20" w:line="252" w:lineRule="auto"/>
            </w:pPr>
            <w:r/>
            <w:r>
              <w:rPr>
                <w:rFonts w:ascii="Arial" w:hAnsi="Arial" w:cs="Arial" w:eastAsia="Arial"/>
                <w:b w:val="0"/>
                <w:bCs w:val="0"/>
                <w:sz w:val="20"/>
                <w:szCs w:val="20"/>
              </w:rPr>
              <w:t>وضع التقرير فقط (Report-only)</w:t>
            </w:r>
          </w:p>
        </w:tc>
        <w:tc>
          <w:tcPr>
            <w:tcW w:type="dxa" w:w="6350"/>
          </w:tcPr>
          <w:p>
            <w:pPr>
              <w:bidi/>
              <w:spacing w:after="20" w:line="252" w:lineRule="auto"/>
            </w:pPr>
            <w:r/>
            <w:r>
              <w:rPr>
                <w:rFonts w:ascii="Arial" w:hAnsi="Arial" w:cs="Arial" w:eastAsia="Arial"/>
                <w:b w:val="0"/>
                <w:bCs w:val="0"/>
                <w:sz w:val="20"/>
                <w:szCs w:val="20"/>
              </w:rPr>
              <w:t>حالة تشغيل للسياسة تُسجَّل فيها النتيجة التي كانت ستحدث، دون تطبيقها على المستخدم.</w:t>
            </w:r>
          </w:p>
        </w:tc>
      </w:tr>
      <w:tr>
        <w:trPr>
          <w:cantSplit/>
        </w:trPr>
        <w:tc>
          <w:tcPr>
            <w:tcW w:type="dxa" w:w="3288"/>
          </w:tcPr>
          <w:p>
            <w:pPr>
              <w:bidi/>
              <w:spacing w:after="20" w:line="252" w:lineRule="auto"/>
            </w:pPr>
            <w:r/>
            <w:r>
              <w:rPr>
                <w:rFonts w:ascii="Arial" w:hAnsi="Arial" w:cs="Arial" w:eastAsia="Arial"/>
                <w:b w:val="0"/>
                <w:bCs w:val="0"/>
                <w:sz w:val="20"/>
                <w:szCs w:val="20"/>
              </w:rPr>
              <w:t>التحقق الأساسي (Basic authentication)</w:t>
            </w:r>
          </w:p>
        </w:tc>
        <w:tc>
          <w:tcPr>
            <w:tcW w:type="dxa" w:w="6350"/>
          </w:tcPr>
          <w:p>
            <w:pPr>
              <w:bidi/>
              <w:spacing w:after="20" w:line="252" w:lineRule="auto"/>
            </w:pPr>
            <w:r/>
            <w:r>
              <w:rPr>
                <w:rFonts w:ascii="Arial" w:hAnsi="Arial" w:cs="Arial" w:eastAsia="Arial"/>
                <w:b w:val="0"/>
                <w:bCs w:val="0"/>
                <w:sz w:val="20"/>
                <w:szCs w:val="20"/>
              </w:rPr>
              <w:t>إرسال اسم المستخدم وكلمة المرور مباشرة مع الطلب، وتستخدمه بعض عملاء البريد القديمة عبر بروتوكولات مثل IMAP وPOP.</w:t>
            </w:r>
          </w:p>
        </w:tc>
      </w:tr>
      <w:tr>
        <w:trPr>
          <w:cantSplit/>
        </w:trPr>
        <w:tc>
          <w:tcPr>
            <w:tcW w:type="dxa" w:w="3288"/>
          </w:tcPr>
          <w:p>
            <w:pPr>
              <w:bidi/>
              <w:spacing w:after="20" w:line="252" w:lineRule="auto"/>
            </w:pPr>
            <w:r/>
            <w:r>
              <w:rPr>
                <w:rFonts w:ascii="Arial" w:hAnsi="Arial" w:cs="Arial" w:eastAsia="Arial"/>
                <w:b w:val="0"/>
                <w:bCs w:val="0"/>
                <w:sz w:val="20"/>
                <w:szCs w:val="20"/>
              </w:rPr>
              <w:t>حساب الطوارئ (Break-glass)</w:t>
            </w:r>
          </w:p>
        </w:tc>
        <w:tc>
          <w:tcPr>
            <w:tcW w:type="dxa" w:w="6350"/>
          </w:tcPr>
          <w:p>
            <w:pPr>
              <w:bidi/>
              <w:spacing w:after="20" w:line="252" w:lineRule="auto"/>
            </w:pPr>
            <w:r/>
            <w:r>
              <w:rPr>
                <w:rFonts w:ascii="Arial" w:hAnsi="Arial" w:cs="Arial" w:eastAsia="Arial"/>
                <w:b w:val="0"/>
                <w:bCs w:val="0"/>
                <w:sz w:val="20"/>
                <w:szCs w:val="20"/>
              </w:rPr>
              <w:t>حساب إداري يُحفظ للاستخدام عند تعطل وسائل الدخول المعتادة.</w:t>
            </w:r>
          </w:p>
        </w:tc>
      </w:tr>
      <w:tr>
        <w:trPr>
          <w:cantSplit/>
        </w:trPr>
        <w:tc>
          <w:tcPr>
            <w:tcW w:type="dxa" w:w="3288"/>
          </w:tcPr>
          <w:p>
            <w:pPr>
              <w:bidi/>
              <w:spacing w:after="20" w:line="252" w:lineRule="auto"/>
            </w:pPr>
            <w:r/>
            <w:r>
              <w:rPr>
                <w:rFonts w:ascii="Arial" w:hAnsi="Arial" w:cs="Arial" w:eastAsia="Arial"/>
                <w:b w:val="0"/>
                <w:bCs w:val="0"/>
                <w:sz w:val="20"/>
                <w:szCs w:val="20"/>
              </w:rPr>
              <w:t>هوية التطبيق / حمل العمل</w:t>
            </w:r>
          </w:p>
        </w:tc>
        <w:tc>
          <w:tcPr>
            <w:tcW w:type="dxa" w:w="6350"/>
          </w:tcPr>
          <w:p>
            <w:pPr>
              <w:bidi/>
              <w:spacing w:after="20" w:line="252" w:lineRule="auto"/>
            </w:pPr>
            <w:r/>
            <w:r>
              <w:rPr>
                <w:rFonts w:ascii="Arial" w:hAnsi="Arial" w:cs="Arial" w:eastAsia="Arial"/>
                <w:b w:val="0"/>
                <w:bCs w:val="0"/>
                <w:sz w:val="20"/>
                <w:szCs w:val="20"/>
              </w:rPr>
              <w:t>هوية يستخدمها برنامج أو خدمة للاتصال بخدمة أخرى، وليست هوية إنسان.</w:t>
            </w:r>
          </w:p>
        </w:tc>
      </w:tr>
      <w:tr>
        <w:trPr>
          <w:cantSplit/>
        </w:trPr>
        <w:tc>
          <w:tcPr>
            <w:tcW w:type="dxa" w:w="3288"/>
          </w:tcPr>
          <w:p>
            <w:pPr>
              <w:bidi/>
              <w:spacing w:after="20" w:line="252" w:lineRule="auto"/>
            </w:pPr>
            <w:r/>
            <w:r>
              <w:rPr>
                <w:rFonts w:ascii="Arial" w:hAnsi="Arial" w:cs="Arial" w:eastAsia="Arial"/>
                <w:b w:val="0"/>
                <w:bCs w:val="0"/>
                <w:sz w:val="20"/>
                <w:szCs w:val="20"/>
              </w:rPr>
              <w:t>الدخول التفاعلي</w:t>
            </w:r>
          </w:p>
        </w:tc>
        <w:tc>
          <w:tcPr>
            <w:tcW w:type="dxa" w:w="6350"/>
          </w:tcPr>
          <w:p>
            <w:pPr>
              <w:bidi/>
              <w:spacing w:after="20" w:line="252" w:lineRule="auto"/>
            </w:pPr>
            <w:r/>
            <w:r>
              <w:rPr>
                <w:rFonts w:ascii="Arial" w:hAnsi="Arial" w:cs="Arial" w:eastAsia="Arial"/>
                <w:b w:val="0"/>
                <w:bCs w:val="0"/>
                <w:sz w:val="20"/>
                <w:szCs w:val="20"/>
              </w:rPr>
              <w:t>دخول يجلس فيه شخص أمام شاشة (مثل سطح المكتب البعيد RDP أو المتصفح)، بخلاف دخول الخدمات الآلي.</w:t>
            </w:r>
          </w:p>
        </w:tc>
      </w:tr>
    </w:tbl>
    <w:p>
      <w:pPr>
        <w:spacing w:after="40"/>
      </w:pPr>
    </w:p>
    <w:p>
      <w:pPr>
        <w:bidi/>
      </w:pPr>
      <w:r>
        <w:rPr>
          <w:rFonts w:ascii="Arial" w:hAnsi="Arial" w:cs="Arial" w:eastAsia="Arial"/>
          <w:b w:val="0"/>
          <w:bCs w:val="0"/>
          <w:color w:val="555555"/>
          <w:sz w:val="21"/>
          <w:szCs w:val="21"/>
        </w:rPr>
        <w:t>الأوقات كلها بتوقيت الرياض. تاريخ استخراج البيانات: ‎2026-09-30‎.</w:t>
      </w:r>
    </w:p>
    <w:sectPr w:rsidR="00FC693F" w:rsidRPr="0006063C" w:rsidSect="00034616">
      <w:headerReference w:type="default" r:id="rId9"/>
      <w:footerReference w:type="default" r:id="rId10"/>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Arial" w:hAnsi="Arial" w:cs="Arial" w:eastAsia="Arial"/>
        <w:color w:val="555555"/>
        <w:sz w:val="17"/>
        <w:szCs w:val="17"/>
      </w:rPr>
      <w:t xml:space="preserve">بيانات تدريبية افتراضية — هيئة المدار للخدمات الرقمية — صفحة </w:t>
    </w:r>
    <w:r>
      <w:rPr>
        <w:rFonts w:ascii="Arial" w:hAnsi="Arial" w:cs="Arial" w:eastAsia="Arial"/>
        <w:color w:val="555555"/>
        <w:sz w:val="17"/>
        <w:szCs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rPr>
        <w:rFonts w:ascii="Arial" w:hAnsi="Arial" w:cs="Arial" w:eastAsia="Arial"/>
        <w:color w:val="555555"/>
        <w:sz w:val="17"/>
        <w:szCs w:val="17"/>
      </w:rPr>
      <w:t>التطبيق العملي 01 — إدارة هويات الدخول والصلاحيات ‎2-2‎ — حالة التطبيق (للمتدرب)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100" w:line="276"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00"/>
      <w:outlineLvl w:val="0"/>
    </w:pPr>
    <w:rPr>
      <w:rFonts w:ascii="Arial" w:hAnsi="Arial" w:cs="Arial" w:eastAsia="Arial"/>
      <w:b w:val="1"/>
      <w:bCs w:val="1"/>
      <w:i w:val="0"/>
      <w:iCs w:val="0"/>
      <w:color w:val="1F3A5F" w:themeColor="accent1" w:themeShade="BF"/>
      <w:sz w:val="32"/>
      <w:szCs w:val="32"/>
    </w:rPr>
  </w:style>
  <w:style w:type="paragraph" w:styleId="Heading2">
    <w:name w:val="heading 2"/>
    <w:basedOn w:val="Normal"/>
    <w:next w:val="Normal"/>
    <w:link w:val="Heading2Char"/>
    <w:uiPriority w:val="9"/>
    <w:unhideWhenUsed/>
    <w:qFormat/>
    <w:rsid w:val="00FC693F"/>
    <w:pPr>
      <w:keepNext/>
      <w:keepLines/>
      <w:bidi/>
      <w:spacing w:before="180" w:after="100"/>
      <w:outlineLvl w:val="1"/>
    </w:pPr>
    <w:rPr>
      <w:rFonts w:ascii="Arial" w:hAnsi="Arial" w:cs="Arial" w:eastAsia="Arial"/>
      <w:b w:val="1"/>
      <w:bCs w:val="1"/>
      <w:i w:val="0"/>
      <w:iCs w:val="0"/>
      <w:color w:val="1F3A5F" w:themeColor="accent1"/>
      <w:sz w:val="27"/>
      <w:szCs w:val="27"/>
    </w:rPr>
  </w:style>
  <w:style w:type="paragraph" w:styleId="Heading3">
    <w:name w:val="heading 3"/>
    <w:basedOn w:val="Normal"/>
    <w:next w:val="Normal"/>
    <w:link w:val="Heading3Char"/>
    <w:uiPriority w:val="9"/>
    <w:unhideWhenUsed/>
    <w:qFormat/>
    <w:rsid w:val="00FC693F"/>
    <w:pPr>
      <w:keepNext/>
      <w:keepLines/>
      <w:bidi/>
      <w:spacing w:before="180" w:after="100"/>
      <w:outlineLvl w:val="2"/>
    </w:pPr>
    <w:rPr>
      <w:rFonts w:ascii="Arial" w:hAnsi="Arial" w:cs="Arial" w:eastAsia="Arial"/>
      <w:b w:val="1"/>
      <w:bCs w:val="1"/>
      <w:i w:val="0"/>
      <w:iCs w:val="0"/>
      <w:color w:val="1F3A5F"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حالة التطبيق 01</dc:title>
  <dc:subject/>
  <dc:creator>فريق التدريب — بيانات افتراضية</dc:creator>
  <cp:keywords>ECC-2:2024; بيانات تدريبية افتراضية</cp:keywords>
  <dc:description>بيانات تدريبية افتراضية</dc:description>
  <cp:lastModifiedBy/>
  <cp:revision>1</cp:revision>
  <dcterms:created xsi:type="dcterms:W3CDTF">2013-12-23T23:15:00Z</dcterms:created>
  <dcterms:modified xsi:type="dcterms:W3CDTF">2013-12-23T23:15:00Z</dcterms:modified>
  <cp:category/>
</cp:coreProperties>
</file>