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ECC-2:2024 · تطبيق عملي للمبتدئين</w:t>
      </w:r>
    </w:p>
    <w:p>
      <w:pPr>
        <w:bidi/>
        <w:spacing w:after="80"/>
        <w:jc w:val="center"/>
      </w:pPr>
      <w:r>
        <w:rPr>
          <w:rFonts w:ascii="Arial" w:hAnsi="Arial" w:cs="Arial" w:eastAsia="Arial"/>
          <w:b w:val="1"/>
          <w:bCs w:val="1"/>
          <w:color w:val="1F3A5F"/>
          <w:sz w:val="40"/>
          <w:szCs w:val="40"/>
        </w:rPr>
        <w:t>التطبيق العملي 02: النسخ الاحتياطية والاستعادة</w:t>
      </w:r>
    </w:p>
    <w:p>
      <w:pPr>
        <w:bidi/>
        <w:spacing w:after="200"/>
        <w:jc w:val="center"/>
      </w:pPr>
      <w:r>
        <w:rPr>
          <w:rFonts w:ascii="Arial" w:hAnsi="Arial" w:cs="Arial" w:eastAsia="Arial"/>
          <w:b w:val="0"/>
          <w:bCs w:val="0"/>
          <w:color w:val="333333"/>
          <w:sz w:val="24"/>
          <w:szCs w:val="24"/>
        </w:rPr>
        <w:t>مقارنة نطاق النسخ ونتائجه بالمستهدفات ومتطلبات السياسة — المكون الفرعي ‎2-9‎</w:t>
      </w:r>
    </w:p>
    <w:p>
      <w:pPr>
        <w:bidi/>
        <w:spacing w:after="240"/>
        <w:jc w:val="center"/>
      </w:pPr>
      <w:r>
        <w:rPr>
          <w:rFonts w:ascii="Arial" w:hAnsi="Arial" w:cs="Arial" w:eastAsia="Arial"/>
          <w:b w:val="1"/>
          <w:bCs w:val="1"/>
          <w:color w:val="A61B1B"/>
          <w:sz w:val="19"/>
          <w:szCs w:val="19"/>
        </w:rPr>
        <w:t>بيانات تدريبية افتراضية — هيئة المدار للخدمات الرقمية (جهة حكومية افتراضية لأغراض التدريب)</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المدة</w:t>
            </w:r>
          </w:p>
        </w:tc>
        <w:tc>
          <w:tcPr>
            <w:tcW w:type="dxa" w:w="7654"/>
          </w:tcPr>
          <w:p>
            <w:pPr>
              <w:bidi/>
              <w:spacing w:after="20" w:line="252" w:lineRule="auto"/>
            </w:pPr>
            <w:r/>
            <w:r>
              <w:rPr>
                <w:rFonts w:ascii="Arial" w:hAnsi="Arial" w:cs="Arial" w:eastAsia="Arial"/>
                <w:b w:val="0"/>
                <w:bCs w:val="0"/>
                <w:sz w:val="21"/>
                <w:szCs w:val="21"/>
              </w:rPr>
              <w:t>75 دقيقة للعمل + 20 دقيقة لمناقشة الحل مع المدرب</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طريقة العمل</w:t>
            </w:r>
          </w:p>
        </w:tc>
        <w:tc>
          <w:tcPr>
            <w:tcW w:type="dxa" w:w="7654"/>
          </w:tcPr>
          <w:p>
            <w:pPr>
              <w:bidi/>
              <w:spacing w:after="20" w:line="252" w:lineRule="auto"/>
            </w:pPr>
            <w:r/>
            <w:r>
              <w:rPr>
                <w:rFonts w:ascii="Arial" w:hAnsi="Arial" w:cs="Arial" w:eastAsia="Arial"/>
                <w:b w:val="0"/>
                <w:bCs w:val="0"/>
                <w:sz w:val="21"/>
                <w:szCs w:val="21"/>
              </w:rPr>
              <w:t>فردي أو في ثنائيات</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المخرج المطلوب</w:t>
            </w:r>
          </w:p>
        </w:tc>
        <w:tc>
          <w:tcPr>
            <w:tcW w:type="dxa" w:w="7654"/>
          </w:tcPr>
          <w:p>
            <w:pPr>
              <w:bidi/>
              <w:spacing w:after="20" w:line="252" w:lineRule="auto"/>
            </w:pPr>
            <w:r/>
            <w:r>
              <w:rPr>
                <w:rFonts w:ascii="Arial" w:hAnsi="Arial" w:cs="Arial" w:eastAsia="Arial"/>
                <w:b w:val="0"/>
                <w:bCs w:val="0"/>
                <w:sz w:val="21"/>
                <w:szCs w:val="21"/>
              </w:rPr>
              <w:t>القالب الفارغ بعد تعبئته: بطاقات الملاحظات، والحكم الإجمالي لكل ضابط، ومصفوفة التغطية في الجزء (ج)</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الملفات</w:t>
            </w:r>
          </w:p>
        </w:tc>
        <w:tc>
          <w:tcPr>
            <w:tcW w:type="dxa" w:w="7654"/>
          </w:tcPr>
          <w:p>
            <w:pPr>
              <w:bidi/>
              <w:spacing w:after="20" w:line="252" w:lineRule="auto"/>
            </w:pPr>
            <w:r/>
            <w:r>
              <w:rPr>
                <w:rFonts w:ascii="Arial" w:hAnsi="Arial" w:cs="Arial" w:eastAsia="Arial"/>
                <w:b w:val="0"/>
                <w:bCs w:val="0"/>
                <w:sz w:val="21"/>
                <w:szCs w:val="21"/>
              </w:rPr>
              <w:t>هذا الملف، وملف البيانات data.xlsx، والقالب الفارغ، وملف الجهة الافتراضية</w:t>
            </w:r>
          </w:p>
        </w:tc>
      </w:tr>
      <w:tr>
        <w:trPr>
          <w:cantSplit/>
        </w:trPr>
        <w:tc>
          <w:tcPr>
            <w:tcW w:type="dxa" w:w="1984"/>
            <w:shd w:val="clear" w:color="auto" w:fill="EEF2F8"/>
          </w:tcPr>
          <w:p>
            <w:pPr>
              <w:bidi/>
              <w:spacing w:after="20" w:line="252" w:lineRule="auto"/>
            </w:pPr>
            <w:r/>
            <w:r>
              <w:rPr>
                <w:rFonts w:ascii="Arial" w:hAnsi="Arial" w:cs="Arial" w:eastAsia="Arial"/>
                <w:b w:val="1"/>
                <w:bCs w:val="1"/>
                <w:sz w:val="21"/>
                <w:szCs w:val="21"/>
              </w:rPr>
              <w:t>المرجع</w:t>
            </w:r>
          </w:p>
        </w:tc>
        <w:tc>
          <w:tcPr>
            <w:tcW w:type="dxa" w:w="7654"/>
          </w:tcPr>
          <w:p>
            <w:pPr>
              <w:bidi/>
              <w:spacing w:after="20" w:line="252" w:lineRule="auto"/>
            </w:pPr>
            <w:r/>
            <w:r>
              <w:rPr>
                <w:rFonts w:ascii="Arial" w:hAnsi="Arial" w:cs="Arial" w:eastAsia="Arial"/>
                <w:b w:val="0"/>
                <w:bCs w:val="0"/>
                <w:sz w:val="21"/>
                <w:szCs w:val="21"/>
              </w:rPr>
              <w:t>وثيقة ECC-2:2024 الرسمية (النص العربي هو المعتمد)</w:t>
            </w:r>
          </w:p>
        </w:tc>
      </w:tr>
    </w:tbl>
    <w:p>
      <w:pPr>
        <w:spacing w:after="40"/>
      </w:pPr>
    </w:p>
    <w:p>
      <w:pPr>
        <w:pStyle w:val="Heading1"/>
        <w:bidi/>
      </w:pPr>
      <w:r>
        <w:rPr>
          <w:rFonts w:ascii="Arial" w:hAnsi="Arial" w:cs="Arial" w:eastAsia="Arial"/>
          <w:b w:val="0"/>
          <w:bCs w:val="0"/>
        </w:rPr>
        <w:t>1. ما المطلوب منك</w:t>
      </w:r>
    </w:p>
    <w:p>
      <w:pPr>
        <w:bidi/>
        <w:spacing w:after="60"/>
        <w:ind w:right="283" w:hanging="255"/>
      </w:pPr>
      <w:r>
        <w:rPr>
          <w:rFonts w:ascii="Arial" w:hAnsi="Arial" w:cs="Arial" w:eastAsia="Arial"/>
          <w:b w:val="0"/>
          <w:bCs w:val="0"/>
        </w:rPr>
        <w:t>• اقرأ السيناريو ومقتطف سياسة النسخ الاحتياطي، ثم افتح data.xlsx وابدأ بورقة «دليل الأوراق».</w:t>
      </w:r>
    </w:p>
    <w:p>
      <w:pPr>
        <w:bidi/>
        <w:spacing w:after="60"/>
        <w:ind w:right="283" w:hanging="255"/>
      </w:pPr>
      <w:r>
        <w:rPr>
          <w:rFonts w:ascii="Arial" w:hAnsi="Arial" w:cs="Arial" w:eastAsia="Arial"/>
          <w:b w:val="0"/>
          <w:bCs w:val="0"/>
        </w:rPr>
        <w:t>• املأ مصفوفة التغطية في الجزء (ج) من القالب: لكل نظام في سجل الأصول قارن ما هو مطلوب بما هو موجود.</w:t>
      </w:r>
    </w:p>
    <w:p>
      <w:pPr>
        <w:bidi/>
        <w:spacing w:after="60"/>
        <w:ind w:right="283" w:hanging="255"/>
      </w:pPr>
      <w:r>
        <w:rPr>
          <w:rFonts w:ascii="Arial" w:hAnsi="Arial" w:cs="Arial" w:eastAsia="Arial"/>
          <w:b w:val="0"/>
          <w:bCs w:val="0"/>
        </w:rPr>
        <w:t>• افحص سجل التنفيذ لكل مهمة: النتائج، والتذاكر، وهل تحقق النسخ الناجحة مستهدف RPO.</w:t>
      </w:r>
    </w:p>
    <w:p>
      <w:pPr>
        <w:bidi/>
        <w:spacing w:after="60"/>
        <w:ind w:right="283" w:hanging="255"/>
      </w:pPr>
      <w:r>
        <w:rPr>
          <w:rFonts w:ascii="Arial" w:hAnsi="Arial" w:cs="Arial" w:eastAsia="Arial"/>
          <w:b w:val="0"/>
          <w:bCs w:val="0"/>
        </w:rPr>
        <w:t>• افحص سجل اختبارات الاستعادة: أي الأنظمة اختُبرت؟ متى؟ وهل تحقق RTO؟</w:t>
      </w:r>
    </w:p>
    <w:p>
      <w:pPr>
        <w:bidi/>
        <w:spacing w:after="60"/>
        <w:ind w:right="283" w:hanging="255"/>
      </w:pPr>
      <w:r>
        <w:rPr>
          <w:rFonts w:ascii="Arial" w:hAnsi="Arial" w:cs="Arial" w:eastAsia="Arial"/>
          <w:b w:val="0"/>
          <w:bCs w:val="0"/>
        </w:rPr>
        <w:t>• سجّل كل ملاحظة في بطاقة مستقلة مع الدليل (الورقة، ورقم المهمة أو الاختبار، والتاريخ)، ثم أكمل الحكم الإجمالي لكل ضابط.</w:t>
      </w:r>
    </w:p>
    <w:p>
      <w:pPr>
        <w:bidi/>
        <w:spacing w:after="60"/>
        <w:ind w:right="283" w:hanging="255"/>
      </w:pPr>
      <w:r>
        <w:rPr>
          <w:rFonts w:ascii="Arial" w:hAnsi="Arial" w:cs="Arial" w:eastAsia="Arial"/>
          <w:b w:val="0"/>
          <w:bCs w:val="0"/>
        </w:rPr>
        <w:t>• لا تفترض وجود دليل غير مقدم؛ اكتب ما تحتاجه في «المعلومات الناقصة / الطلبات».</w:t>
      </w:r>
    </w:p>
    <w:p>
      <w:pPr>
        <w:pStyle w:val="Heading1"/>
        <w:bidi/>
      </w:pPr>
      <w:r>
        <w:rPr>
          <w:rFonts w:ascii="Arial" w:hAnsi="Arial" w:cs="Arial" w:eastAsia="Arial"/>
          <w:b w:val="0"/>
          <w:bCs w:val="0"/>
        </w:rPr>
        <w:t>2. السيناريو</w:t>
      </w:r>
    </w:p>
    <w:p>
      <w:pPr>
        <w:bidi/>
      </w:pPr>
      <w:r>
        <w:rPr>
          <w:rFonts w:ascii="Arial" w:hAnsi="Arial" w:cs="Arial" w:eastAsia="Arial"/>
          <w:b w:val="0"/>
          <w:bCs w:val="0"/>
        </w:rPr>
        <w:t>بعد حادثة فدية في جهة أخرى، طلب الرئيس التنفيذي من م. نوال الشهري (مدير عام الأمن السيبراني) تقييماً سريعاً لجاهزية الاستعادة في الجهة. كُلّفت بالتقييم الأولي لإدارة النسخ الاحتياطية عن فترة التقييم من ‎2026-07-01‎ إلى ‎2026-09-30‎، مع سجل تنفيذ لآخر 60 يوماً منها.</w:t>
      </w:r>
    </w:p>
    <w:p>
      <w:pPr>
        <w:bidi/>
      </w:pPr>
      <w:r>
        <w:rPr>
          <w:rFonts w:ascii="Arial" w:hAnsi="Arial" w:cs="Arial" w:eastAsia="Arial"/>
          <w:b w:val="0"/>
          <w:bCs w:val="0"/>
        </w:rPr>
        <w:t>قدّم هشام البلوي (مسؤول النسخ الاحتياطي والاستعادة) الأدلة في القسم 4، وكتب في ملخصه:</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2F2F2"/>
          </w:tcPr>
          <w:p>
            <w:pPr>
              <w:bidi/>
              <w:spacing w:after="40"/>
            </w:pPr>
            <w:r/>
            <w:r>
              <w:rPr>
                <w:rFonts w:ascii="Arial" w:hAnsi="Arial" w:cs="Arial" w:eastAsia="Arial"/>
                <w:b w:val="0"/>
                <w:bCs w:val="0"/>
                <w:sz w:val="21"/>
                <w:szCs w:val="21"/>
              </w:rPr>
              <w:t>«جميع الأنظمة الحرجة مشمولة بالنسخ الاحتياطي، ونسبة نجاح المهام المجدولة خلال الشهرين الماضيين 97.3%، واختبرنا الاستعادة لأنظمتنا الحرجة هذا الربع بنجاح.»</w:t>
            </w:r>
          </w:p>
        </w:tc>
      </w:tr>
    </w:tbl>
    <w:p>
      <w:pPr>
        <w:spacing w:after="40"/>
      </w:pPr>
    </w:p>
    <w:p>
      <w:pPr>
        <w:bidi/>
      </w:pPr>
      <w:r>
        <w:rPr>
          <w:rFonts w:ascii="Arial" w:hAnsi="Arial" w:cs="Arial" w:eastAsia="Arial"/>
          <w:b w:val="0"/>
          <w:bCs w:val="0"/>
        </w:rPr>
        <w:t>مهمتك أن تتحقق من كل جملة في هذا الملخص من الأدلة.</w:t>
      </w:r>
    </w:p>
    <w:p>
      <w:pPr>
        <w:pStyle w:val="Heading1"/>
        <w:bidi/>
      </w:pPr>
      <w:r>
        <w:rPr>
          <w:rFonts w:ascii="Arial" w:hAnsi="Arial" w:cs="Arial" w:eastAsia="Arial"/>
          <w:b w:val="0"/>
          <w:bCs w:val="0"/>
        </w:rPr>
        <w:t>3. نطاق التقييم</w:t>
      </w:r>
    </w:p>
    <w:tbl>
      <w:tblPr>
        <w:tblStyle w:val="TableGrid"/>
        <w:bidiVisual/>
        <w:tblW w:type="dxa" w:w="9637"/>
        <w:jc w:val="center"/>
        <w:tblLayout w:type="fixed"/>
        <w:tblLook w:firstColumn="1" w:firstRow="1" w:lastColumn="0" w:lastRow="0" w:noHBand="0" w:noVBand="1" w:val="04A0"/>
      </w:tblPr>
      <w:tblGrid>
        <w:gridCol w:w="1700"/>
        <w:gridCol w:w="7937"/>
      </w:tblGrid>
      <w:tr>
        <w:trPr>
          <w:cantSplit/>
          <w:tblHeader/>
        </w:trPr>
        <w:tc>
          <w:tcPr>
            <w:tcW w:type="dxa" w:w="1701"/>
            <w:shd w:val="clear" w:color="auto" w:fill="D9E2F3"/>
          </w:tcPr>
          <w:p>
            <w:pPr>
              <w:bidi/>
              <w:spacing w:after="20" w:line="252" w:lineRule="auto"/>
            </w:pPr>
            <w:r/>
            <w:r>
              <w:rPr>
                <w:rFonts w:ascii="Arial" w:hAnsi="Arial" w:cs="Arial" w:eastAsia="Arial"/>
                <w:b w:val="1"/>
                <w:bCs w:val="1"/>
                <w:sz w:val="20"/>
                <w:szCs w:val="20"/>
              </w:rPr>
              <w:t>الضابط</w:t>
            </w:r>
          </w:p>
        </w:tc>
        <w:tc>
          <w:tcPr>
            <w:tcW w:type="dxa" w:w="7937"/>
            <w:shd w:val="clear" w:color="auto" w:fill="D9E2F3"/>
          </w:tcPr>
          <w:p>
            <w:pPr>
              <w:bidi/>
              <w:spacing w:after="20" w:line="252" w:lineRule="auto"/>
            </w:pPr>
            <w:r/>
            <w:r>
              <w:rPr>
                <w:rFonts w:ascii="Arial" w:hAnsi="Arial" w:cs="Arial" w:eastAsia="Arial"/>
                <w:b w:val="1"/>
                <w:bCs w:val="1"/>
                <w:sz w:val="20"/>
                <w:szCs w:val="20"/>
              </w:rPr>
              <w:t>الموضوع (صياغة مختصرة للشرح؛ ارجع إلى النص الرسمي)</w:t>
            </w:r>
          </w:p>
        </w:tc>
      </w:tr>
      <w:tr>
        <w:trPr>
          <w:cantSplit/>
        </w:trPr>
        <w:tc>
          <w:tcPr>
            <w:tcW w:type="dxa" w:w="1701"/>
          </w:tcPr>
          <w:p>
            <w:pPr>
              <w:bidi/>
              <w:spacing w:after="20" w:line="252" w:lineRule="auto"/>
            </w:pPr>
            <w:r/>
            <w:r>
              <w:rPr>
                <w:rFonts w:ascii="Arial" w:hAnsi="Arial" w:cs="Arial" w:eastAsia="Arial"/>
                <w:b w:val="0"/>
                <w:bCs w:val="0"/>
                <w:sz w:val="20"/>
                <w:szCs w:val="20"/>
              </w:rPr>
              <w:t>‎2-9-1‎</w:t>
            </w:r>
          </w:p>
        </w:tc>
        <w:tc>
          <w:tcPr>
            <w:tcW w:type="dxa" w:w="7937"/>
          </w:tcPr>
          <w:p>
            <w:pPr>
              <w:bidi/>
              <w:spacing w:after="20" w:line="252" w:lineRule="auto"/>
            </w:pPr>
            <w:r/>
            <w:r>
              <w:rPr>
                <w:rFonts w:ascii="Arial" w:hAnsi="Arial" w:cs="Arial" w:eastAsia="Arial"/>
                <w:b w:val="0"/>
                <w:bCs w:val="0"/>
                <w:sz w:val="20"/>
                <w:szCs w:val="20"/>
              </w:rPr>
              <w:t>تحديد وتوثيق واعتماد متطلبات إدارة النسخ الاحتياطية</w:t>
            </w:r>
          </w:p>
        </w:tc>
      </w:tr>
      <w:tr>
        <w:trPr>
          <w:cantSplit/>
        </w:trPr>
        <w:tc>
          <w:tcPr>
            <w:tcW w:type="dxa" w:w="1701"/>
          </w:tcPr>
          <w:p>
            <w:pPr>
              <w:bidi/>
              <w:spacing w:after="20" w:line="252" w:lineRule="auto"/>
            </w:pPr>
            <w:r/>
            <w:r>
              <w:rPr>
                <w:rFonts w:ascii="Arial" w:hAnsi="Arial" w:cs="Arial" w:eastAsia="Arial"/>
                <w:b w:val="0"/>
                <w:bCs w:val="0"/>
                <w:sz w:val="20"/>
                <w:szCs w:val="20"/>
              </w:rPr>
              <w:t>‎2-9-2‎</w:t>
            </w:r>
          </w:p>
        </w:tc>
        <w:tc>
          <w:tcPr>
            <w:tcW w:type="dxa" w:w="7937"/>
          </w:tcPr>
          <w:p>
            <w:pPr>
              <w:bidi/>
              <w:spacing w:after="20" w:line="252" w:lineRule="auto"/>
            </w:pPr>
            <w:r/>
            <w:r>
              <w:rPr>
                <w:rFonts w:ascii="Arial" w:hAnsi="Arial" w:cs="Arial" w:eastAsia="Arial"/>
                <w:b w:val="0"/>
                <w:bCs w:val="0"/>
                <w:sz w:val="20"/>
                <w:szCs w:val="20"/>
              </w:rPr>
              <w:t>تطبيق متطلبات إدارة النسخ الاحتياطية</w:t>
            </w:r>
          </w:p>
        </w:tc>
      </w:tr>
      <w:tr>
        <w:trPr>
          <w:cantSplit/>
        </w:trPr>
        <w:tc>
          <w:tcPr>
            <w:tcW w:type="dxa" w:w="1701"/>
          </w:tcPr>
          <w:p>
            <w:pPr>
              <w:bidi/>
              <w:spacing w:after="20" w:line="252" w:lineRule="auto"/>
            </w:pPr>
            <w:r/>
            <w:r>
              <w:rPr>
                <w:rFonts w:ascii="Arial" w:hAnsi="Arial" w:cs="Arial" w:eastAsia="Arial"/>
                <w:b w:val="0"/>
                <w:bCs w:val="0"/>
                <w:sz w:val="20"/>
                <w:szCs w:val="20"/>
              </w:rPr>
              <w:t>‎2-9-3-1‎</w:t>
            </w:r>
          </w:p>
        </w:tc>
        <w:tc>
          <w:tcPr>
            <w:tcW w:type="dxa" w:w="7937"/>
          </w:tcPr>
          <w:p>
            <w:pPr>
              <w:bidi/>
              <w:spacing w:after="20" w:line="252" w:lineRule="auto"/>
            </w:pPr>
            <w:r/>
            <w:r>
              <w:rPr>
                <w:rFonts w:ascii="Arial" w:hAnsi="Arial" w:cs="Arial" w:eastAsia="Arial"/>
                <w:b w:val="0"/>
                <w:bCs w:val="0"/>
                <w:sz w:val="20"/>
                <w:szCs w:val="20"/>
              </w:rPr>
              <w:t>نطاق النسخ الاحتياطية وشموليتها للأصول المعلوماتية والتقنية الحساسة</w:t>
            </w:r>
          </w:p>
        </w:tc>
      </w:tr>
      <w:tr>
        <w:trPr>
          <w:cantSplit/>
        </w:trPr>
        <w:tc>
          <w:tcPr>
            <w:tcW w:type="dxa" w:w="1701"/>
          </w:tcPr>
          <w:p>
            <w:pPr>
              <w:bidi/>
              <w:spacing w:after="20" w:line="252" w:lineRule="auto"/>
            </w:pPr>
            <w:r/>
            <w:r>
              <w:rPr>
                <w:rFonts w:ascii="Arial" w:hAnsi="Arial" w:cs="Arial" w:eastAsia="Arial"/>
                <w:b w:val="0"/>
                <w:bCs w:val="0"/>
                <w:sz w:val="20"/>
                <w:szCs w:val="20"/>
              </w:rPr>
              <w:t>‎2-9-3-2‎</w:t>
            </w:r>
          </w:p>
        </w:tc>
        <w:tc>
          <w:tcPr>
            <w:tcW w:type="dxa" w:w="7937"/>
          </w:tcPr>
          <w:p>
            <w:pPr>
              <w:bidi/>
              <w:spacing w:after="20" w:line="252" w:lineRule="auto"/>
            </w:pPr>
            <w:r/>
            <w:r>
              <w:rPr>
                <w:rFonts w:ascii="Arial" w:hAnsi="Arial" w:cs="Arial" w:eastAsia="Arial"/>
                <w:b w:val="0"/>
                <w:bCs w:val="0"/>
                <w:sz w:val="20"/>
                <w:szCs w:val="20"/>
              </w:rPr>
              <w:t>القدرة السريعة على استعادة البيانات والأنظمة بعد حوادث الأمن السيبراني</w:t>
            </w:r>
          </w:p>
        </w:tc>
      </w:tr>
      <w:tr>
        <w:trPr>
          <w:cantSplit/>
        </w:trPr>
        <w:tc>
          <w:tcPr>
            <w:tcW w:type="dxa" w:w="1701"/>
          </w:tcPr>
          <w:p>
            <w:pPr>
              <w:bidi/>
              <w:spacing w:after="20" w:line="252" w:lineRule="auto"/>
            </w:pPr>
            <w:r/>
            <w:r>
              <w:rPr>
                <w:rFonts w:ascii="Arial" w:hAnsi="Arial" w:cs="Arial" w:eastAsia="Arial"/>
                <w:b w:val="0"/>
                <w:bCs w:val="0"/>
                <w:sz w:val="20"/>
                <w:szCs w:val="20"/>
              </w:rPr>
              <w:t>‎2-9-3-3‎</w:t>
            </w:r>
          </w:p>
        </w:tc>
        <w:tc>
          <w:tcPr>
            <w:tcW w:type="dxa" w:w="7937"/>
          </w:tcPr>
          <w:p>
            <w:pPr>
              <w:bidi/>
              <w:spacing w:after="20" w:line="252" w:lineRule="auto"/>
            </w:pPr>
            <w:r/>
            <w:r>
              <w:rPr>
                <w:rFonts w:ascii="Arial" w:hAnsi="Arial" w:cs="Arial" w:eastAsia="Arial"/>
                <w:b w:val="0"/>
                <w:bCs w:val="0"/>
                <w:sz w:val="20"/>
                <w:szCs w:val="20"/>
              </w:rPr>
              <w:t>الفحص الدوري لمدى فعالية استعادة النسخ الاحتياطية</w:t>
            </w:r>
          </w:p>
        </w:tc>
      </w:tr>
      <w:tr>
        <w:trPr>
          <w:cantSplit/>
        </w:trPr>
        <w:tc>
          <w:tcPr>
            <w:tcW w:type="dxa" w:w="1701"/>
          </w:tcPr>
          <w:p>
            <w:pPr>
              <w:bidi/>
              <w:spacing w:after="20" w:line="252" w:lineRule="auto"/>
            </w:pPr>
            <w:r/>
            <w:r>
              <w:rPr>
                <w:rFonts w:ascii="Arial" w:hAnsi="Arial" w:cs="Arial" w:eastAsia="Arial"/>
                <w:b w:val="0"/>
                <w:bCs w:val="0"/>
                <w:sz w:val="20"/>
                <w:szCs w:val="20"/>
              </w:rPr>
              <w:t>‎2-9-4‎</w:t>
            </w:r>
          </w:p>
        </w:tc>
        <w:tc>
          <w:tcPr>
            <w:tcW w:type="dxa" w:w="7937"/>
          </w:tcPr>
          <w:p>
            <w:pPr>
              <w:bidi/>
              <w:spacing w:after="20" w:line="252" w:lineRule="auto"/>
            </w:pPr>
            <w:r/>
            <w:r>
              <w:rPr>
                <w:rFonts w:ascii="Arial" w:hAnsi="Arial" w:cs="Arial" w:eastAsia="Arial"/>
                <w:b w:val="0"/>
                <w:bCs w:val="0"/>
                <w:sz w:val="20"/>
                <w:szCs w:val="20"/>
              </w:rPr>
              <w:t>مراجعة تطبيق متطلبات إدارة النسخ الاحتياطية</w:t>
            </w:r>
          </w:p>
        </w:tc>
      </w:tr>
    </w:tbl>
    <w:p>
      <w:pPr>
        <w:spacing w:after="40"/>
      </w:pPr>
    </w:p>
    <w:p>
      <w:pPr>
        <w:pStyle w:val="Heading1"/>
        <w:bidi/>
      </w:pPr>
      <w:r>
        <w:rPr>
          <w:rFonts w:ascii="Arial" w:hAnsi="Arial" w:cs="Arial" w:eastAsia="Arial"/>
          <w:b w:val="0"/>
          <w:bCs w:val="0"/>
        </w:rPr>
        <w:t>4. الأدلة المقدمة</w:t>
      </w:r>
    </w:p>
    <w:tbl>
      <w:tblPr>
        <w:tblStyle w:val="TableGrid"/>
        <w:bidiVisual/>
        <w:tblW w:type="dxa" w:w="9637"/>
        <w:jc w:val="center"/>
        <w:tblLayout w:type="fixed"/>
        <w:tblLook w:firstColumn="1" w:firstRow="1" w:lastColumn="0" w:lastRow="0" w:noHBand="0" w:noVBand="1" w:val="04A0"/>
      </w:tblPr>
      <w:tblGrid>
        <w:gridCol w:w="1417"/>
        <w:gridCol w:w="5669"/>
        <w:gridCol w:w="2551"/>
      </w:tblGrid>
      <w:tr>
        <w:trPr>
          <w:cantSplit/>
          <w:tblHeader/>
        </w:trPr>
        <w:tc>
          <w:tcPr>
            <w:tcW w:type="dxa" w:w="1417"/>
            <w:shd w:val="clear" w:color="auto" w:fill="D9E2F3"/>
          </w:tcPr>
          <w:p>
            <w:pPr>
              <w:bidi/>
              <w:spacing w:after="20" w:line="252" w:lineRule="auto"/>
            </w:pPr>
            <w:r/>
            <w:r>
              <w:rPr>
                <w:rFonts w:ascii="Arial" w:hAnsi="Arial" w:cs="Arial" w:eastAsia="Arial"/>
                <w:b w:val="1"/>
                <w:bCs w:val="1"/>
                <w:sz w:val="20"/>
                <w:szCs w:val="20"/>
              </w:rPr>
              <w:t>الرقم</w:t>
            </w:r>
          </w:p>
        </w:tc>
        <w:tc>
          <w:tcPr>
            <w:tcW w:type="dxa" w:w="5669"/>
            <w:shd w:val="clear" w:color="auto" w:fill="D9E2F3"/>
          </w:tcPr>
          <w:p>
            <w:pPr>
              <w:bidi/>
              <w:spacing w:after="20" w:line="252" w:lineRule="auto"/>
            </w:pPr>
            <w:r/>
            <w:r>
              <w:rPr>
                <w:rFonts w:ascii="Arial" w:hAnsi="Arial" w:cs="Arial" w:eastAsia="Arial"/>
                <w:b w:val="1"/>
                <w:bCs w:val="1"/>
                <w:sz w:val="20"/>
                <w:szCs w:val="20"/>
              </w:rPr>
              <w:t>الدليل</w:t>
            </w:r>
          </w:p>
        </w:tc>
        <w:tc>
          <w:tcPr>
            <w:tcW w:type="dxa" w:w="2551"/>
            <w:shd w:val="clear" w:color="auto" w:fill="D9E2F3"/>
          </w:tcPr>
          <w:p>
            <w:pPr>
              <w:bidi/>
              <w:spacing w:after="20" w:line="252" w:lineRule="auto"/>
            </w:pPr>
            <w:r/>
            <w:r>
              <w:rPr>
                <w:rFonts w:ascii="Arial" w:hAnsi="Arial" w:cs="Arial" w:eastAsia="Arial"/>
                <w:b w:val="1"/>
                <w:bCs w:val="1"/>
                <w:sz w:val="20"/>
                <w:szCs w:val="20"/>
              </w:rPr>
              <w:t>أين تجده</w:t>
            </w:r>
          </w:p>
        </w:tc>
      </w:tr>
      <w:tr>
        <w:trPr>
          <w:cantSplit/>
        </w:trPr>
        <w:tc>
          <w:tcPr>
            <w:tcW w:type="dxa" w:w="1417"/>
          </w:tcPr>
          <w:p>
            <w:pPr>
              <w:bidi/>
              <w:spacing w:after="20" w:line="252" w:lineRule="auto"/>
            </w:pPr>
            <w:r/>
            <w:r>
              <w:rPr>
                <w:rFonts w:ascii="Arial" w:hAnsi="Arial" w:cs="Arial" w:eastAsia="Arial"/>
                <w:b w:val="0"/>
                <w:bCs w:val="0"/>
                <w:sz w:val="20"/>
                <w:szCs w:val="20"/>
              </w:rPr>
              <w:t>EV-BKP-01</w:t>
            </w:r>
          </w:p>
        </w:tc>
        <w:tc>
          <w:tcPr>
            <w:tcW w:type="dxa" w:w="5669"/>
          </w:tcPr>
          <w:p>
            <w:pPr>
              <w:bidi/>
              <w:spacing w:after="20" w:line="252" w:lineRule="auto"/>
            </w:pPr>
            <w:r/>
            <w:r>
              <w:rPr>
                <w:rFonts w:ascii="Arial" w:hAnsi="Arial" w:cs="Arial" w:eastAsia="Arial"/>
                <w:b w:val="0"/>
                <w:bCs w:val="0"/>
                <w:sz w:val="20"/>
                <w:szCs w:val="20"/>
              </w:rPr>
              <w:t>سياسة النسخ الاحتياطي والاستعادة، الإصدار 1.3، معتمدة من الرئيس التنفيذي بتاريخ ‎2025-09-14‎، مالكها مدير البنية التحتية والعمليات (مقتطف)</w:t>
            </w:r>
          </w:p>
        </w:tc>
        <w:tc>
          <w:tcPr>
            <w:tcW w:type="dxa" w:w="2551"/>
          </w:tcPr>
          <w:p>
            <w:pPr>
              <w:bidi/>
              <w:spacing w:after="20" w:line="252" w:lineRule="auto"/>
            </w:pPr>
            <w:r/>
            <w:r>
              <w:rPr>
                <w:rFonts w:ascii="Arial" w:hAnsi="Arial" w:cs="Arial" w:eastAsia="Arial"/>
                <w:b w:val="0"/>
                <w:bCs w:val="0"/>
                <w:sz w:val="20"/>
                <w:szCs w:val="20"/>
              </w:rPr>
              <w:t>القسم 5 في هذا الملف</w:t>
            </w:r>
          </w:p>
        </w:tc>
      </w:tr>
      <w:tr>
        <w:trPr>
          <w:cantSplit/>
        </w:trPr>
        <w:tc>
          <w:tcPr>
            <w:tcW w:type="dxa" w:w="1417"/>
          </w:tcPr>
          <w:p>
            <w:pPr>
              <w:bidi/>
              <w:spacing w:after="20" w:line="252" w:lineRule="auto"/>
            </w:pPr>
            <w:r/>
            <w:r>
              <w:rPr>
                <w:rFonts w:ascii="Arial" w:hAnsi="Arial" w:cs="Arial" w:eastAsia="Arial"/>
                <w:b w:val="0"/>
                <w:bCs w:val="0"/>
                <w:sz w:val="20"/>
                <w:szCs w:val="20"/>
              </w:rPr>
              <w:t>EV-BKP-02</w:t>
            </w:r>
          </w:p>
        </w:tc>
        <w:tc>
          <w:tcPr>
            <w:tcW w:type="dxa" w:w="5669"/>
          </w:tcPr>
          <w:p>
            <w:pPr>
              <w:bidi/>
              <w:spacing w:after="20" w:line="252" w:lineRule="auto"/>
            </w:pPr>
            <w:r/>
            <w:r>
              <w:rPr>
                <w:rFonts w:ascii="Arial" w:hAnsi="Arial" w:cs="Arial" w:eastAsia="Arial"/>
                <w:b w:val="0"/>
                <w:bCs w:val="0"/>
                <w:sz w:val="20"/>
                <w:szCs w:val="20"/>
              </w:rPr>
              <w:t>سجل الأصول ومستهدفات الاستعادة</w:t>
            </w:r>
          </w:p>
        </w:tc>
        <w:tc>
          <w:tcPr>
            <w:tcW w:type="dxa" w:w="2551"/>
          </w:tcPr>
          <w:p>
            <w:pPr>
              <w:bidi/>
              <w:spacing w:after="20" w:line="252" w:lineRule="auto"/>
            </w:pPr>
            <w:r/>
            <w:r>
              <w:rPr>
                <w:rFonts w:ascii="Arial" w:hAnsi="Arial" w:cs="Arial" w:eastAsia="Arial"/>
                <w:b w:val="0"/>
                <w:bCs w:val="0"/>
                <w:sz w:val="20"/>
                <w:szCs w:val="20"/>
              </w:rPr>
              <w:t>ورقة «سجل الأصول والمستهدفات»</w:t>
            </w:r>
          </w:p>
        </w:tc>
      </w:tr>
      <w:tr>
        <w:trPr>
          <w:cantSplit/>
        </w:trPr>
        <w:tc>
          <w:tcPr>
            <w:tcW w:type="dxa" w:w="1417"/>
          </w:tcPr>
          <w:p>
            <w:pPr>
              <w:bidi/>
              <w:spacing w:after="20" w:line="252" w:lineRule="auto"/>
            </w:pPr>
            <w:r/>
            <w:r>
              <w:rPr>
                <w:rFonts w:ascii="Arial" w:hAnsi="Arial" w:cs="Arial" w:eastAsia="Arial"/>
                <w:b w:val="0"/>
                <w:bCs w:val="0"/>
                <w:sz w:val="20"/>
                <w:szCs w:val="20"/>
              </w:rPr>
              <w:t>EV-BKP-03</w:t>
            </w:r>
          </w:p>
        </w:tc>
        <w:tc>
          <w:tcPr>
            <w:tcW w:type="dxa" w:w="5669"/>
          </w:tcPr>
          <w:p>
            <w:pPr>
              <w:bidi/>
              <w:spacing w:after="20" w:line="252" w:lineRule="auto"/>
            </w:pPr>
            <w:r/>
            <w:r>
              <w:rPr>
                <w:rFonts w:ascii="Arial" w:hAnsi="Arial" w:cs="Arial" w:eastAsia="Arial"/>
                <w:b w:val="0"/>
                <w:bCs w:val="0"/>
                <w:sz w:val="20"/>
                <w:szCs w:val="20"/>
              </w:rPr>
              <w:t>تصدير إعدادات مهام النسخ من منصة النسخ</w:t>
            </w:r>
          </w:p>
        </w:tc>
        <w:tc>
          <w:tcPr>
            <w:tcW w:type="dxa" w:w="2551"/>
          </w:tcPr>
          <w:p>
            <w:pPr>
              <w:bidi/>
              <w:spacing w:after="20" w:line="252" w:lineRule="auto"/>
            </w:pPr>
            <w:r/>
            <w:r>
              <w:rPr>
                <w:rFonts w:ascii="Arial" w:hAnsi="Arial" w:cs="Arial" w:eastAsia="Arial"/>
                <w:b w:val="0"/>
                <w:bCs w:val="0"/>
                <w:sz w:val="20"/>
                <w:szCs w:val="20"/>
              </w:rPr>
              <w:t>ورقة «إعدادات مهام النسخ»</w:t>
            </w:r>
          </w:p>
        </w:tc>
      </w:tr>
      <w:tr>
        <w:trPr>
          <w:cantSplit/>
        </w:trPr>
        <w:tc>
          <w:tcPr>
            <w:tcW w:type="dxa" w:w="1417"/>
          </w:tcPr>
          <w:p>
            <w:pPr>
              <w:bidi/>
              <w:spacing w:after="20" w:line="252" w:lineRule="auto"/>
            </w:pPr>
            <w:r/>
            <w:r>
              <w:rPr>
                <w:rFonts w:ascii="Arial" w:hAnsi="Arial" w:cs="Arial" w:eastAsia="Arial"/>
                <w:b w:val="0"/>
                <w:bCs w:val="0"/>
                <w:sz w:val="20"/>
                <w:szCs w:val="20"/>
              </w:rPr>
              <w:t>EV-BKP-04</w:t>
            </w:r>
          </w:p>
        </w:tc>
        <w:tc>
          <w:tcPr>
            <w:tcW w:type="dxa" w:w="5669"/>
          </w:tcPr>
          <w:p>
            <w:pPr>
              <w:bidi/>
              <w:spacing w:after="20" w:line="252" w:lineRule="auto"/>
            </w:pPr>
            <w:r/>
            <w:r>
              <w:rPr>
                <w:rFonts w:ascii="Arial" w:hAnsi="Arial" w:cs="Arial" w:eastAsia="Arial"/>
                <w:b w:val="0"/>
                <w:bCs w:val="0"/>
                <w:sz w:val="20"/>
                <w:szCs w:val="20"/>
              </w:rPr>
              <w:t>سجل تنفيذ المهام لآخر 60 يوماً</w:t>
            </w:r>
          </w:p>
        </w:tc>
        <w:tc>
          <w:tcPr>
            <w:tcW w:type="dxa" w:w="2551"/>
          </w:tcPr>
          <w:p>
            <w:pPr>
              <w:bidi/>
              <w:spacing w:after="20" w:line="252" w:lineRule="auto"/>
            </w:pPr>
            <w:r/>
            <w:r>
              <w:rPr>
                <w:rFonts w:ascii="Arial" w:hAnsi="Arial" w:cs="Arial" w:eastAsia="Arial"/>
                <w:b w:val="0"/>
                <w:bCs w:val="0"/>
                <w:sz w:val="20"/>
                <w:szCs w:val="20"/>
              </w:rPr>
              <w:t>ورقة «سجل تنفيذ المهام»</w:t>
            </w:r>
          </w:p>
        </w:tc>
      </w:tr>
      <w:tr>
        <w:trPr>
          <w:cantSplit/>
        </w:trPr>
        <w:tc>
          <w:tcPr>
            <w:tcW w:type="dxa" w:w="1417"/>
          </w:tcPr>
          <w:p>
            <w:pPr>
              <w:bidi/>
              <w:spacing w:after="20" w:line="252" w:lineRule="auto"/>
            </w:pPr>
            <w:r/>
            <w:r>
              <w:rPr>
                <w:rFonts w:ascii="Arial" w:hAnsi="Arial" w:cs="Arial" w:eastAsia="Arial"/>
                <w:b w:val="0"/>
                <w:bCs w:val="0"/>
                <w:sz w:val="20"/>
                <w:szCs w:val="20"/>
              </w:rPr>
              <w:t>EV-BKP-05</w:t>
            </w:r>
          </w:p>
        </w:tc>
        <w:tc>
          <w:tcPr>
            <w:tcW w:type="dxa" w:w="5669"/>
          </w:tcPr>
          <w:p>
            <w:pPr>
              <w:bidi/>
              <w:spacing w:after="20" w:line="252" w:lineRule="auto"/>
            </w:pPr>
            <w:r/>
            <w:r>
              <w:rPr>
                <w:rFonts w:ascii="Arial" w:hAnsi="Arial" w:cs="Arial" w:eastAsia="Arial"/>
                <w:b w:val="0"/>
                <w:bCs w:val="0"/>
                <w:sz w:val="20"/>
                <w:szCs w:val="20"/>
              </w:rPr>
              <w:t>سجل اختبارات الاستعادة</w:t>
            </w:r>
          </w:p>
        </w:tc>
        <w:tc>
          <w:tcPr>
            <w:tcW w:type="dxa" w:w="2551"/>
          </w:tcPr>
          <w:p>
            <w:pPr>
              <w:bidi/>
              <w:spacing w:after="20" w:line="252" w:lineRule="auto"/>
            </w:pPr>
            <w:r/>
            <w:r>
              <w:rPr>
                <w:rFonts w:ascii="Arial" w:hAnsi="Arial" w:cs="Arial" w:eastAsia="Arial"/>
                <w:b w:val="0"/>
                <w:bCs w:val="0"/>
                <w:sz w:val="20"/>
                <w:szCs w:val="20"/>
              </w:rPr>
              <w:t>ورقة «اختبارات الاستعادة»</w:t>
            </w:r>
          </w:p>
        </w:tc>
      </w:tr>
      <w:tr>
        <w:trPr>
          <w:cantSplit/>
        </w:trPr>
        <w:tc>
          <w:tcPr>
            <w:tcW w:type="dxa" w:w="1417"/>
          </w:tcPr>
          <w:p>
            <w:pPr>
              <w:bidi/>
              <w:spacing w:after="20" w:line="252" w:lineRule="auto"/>
            </w:pPr>
            <w:r/>
            <w:r>
              <w:rPr>
                <w:rFonts w:ascii="Arial" w:hAnsi="Arial" w:cs="Arial" w:eastAsia="Arial"/>
                <w:b w:val="0"/>
                <w:bCs w:val="0"/>
                <w:sz w:val="20"/>
                <w:szCs w:val="20"/>
              </w:rPr>
              <w:t>EV-BKP-06</w:t>
            </w:r>
          </w:p>
        </w:tc>
        <w:tc>
          <w:tcPr>
            <w:tcW w:type="dxa" w:w="5669"/>
          </w:tcPr>
          <w:p>
            <w:pPr>
              <w:bidi/>
              <w:spacing w:after="20" w:line="252" w:lineRule="auto"/>
            </w:pPr>
            <w:r/>
            <w:r>
              <w:rPr>
                <w:rFonts w:ascii="Arial" w:hAnsi="Arial" w:cs="Arial" w:eastAsia="Arial"/>
                <w:b w:val="0"/>
                <w:bCs w:val="0"/>
                <w:sz w:val="20"/>
                <w:szCs w:val="20"/>
              </w:rPr>
              <w:t>تذاكر النسخ الاحتياطي في نظام إدارة الخدمات</w:t>
            </w:r>
          </w:p>
        </w:tc>
        <w:tc>
          <w:tcPr>
            <w:tcW w:type="dxa" w:w="2551"/>
          </w:tcPr>
          <w:p>
            <w:pPr>
              <w:bidi/>
              <w:spacing w:after="20" w:line="252" w:lineRule="auto"/>
            </w:pPr>
            <w:r/>
            <w:r>
              <w:rPr>
                <w:rFonts w:ascii="Arial" w:hAnsi="Arial" w:cs="Arial" w:eastAsia="Arial"/>
                <w:b w:val="0"/>
                <w:bCs w:val="0"/>
                <w:sz w:val="20"/>
                <w:szCs w:val="20"/>
              </w:rPr>
              <w:t>ورقة «التذاكر»</w:t>
            </w:r>
          </w:p>
        </w:tc>
      </w:tr>
    </w:tbl>
    <w:p>
      <w:pPr>
        <w:spacing w:after="40"/>
      </w:pPr>
    </w:p>
    <w:p>
      <w:pPr>
        <w:bidi/>
      </w:pPr>
      <w:r>
        <w:rPr>
          <w:rFonts w:ascii="Arial" w:hAnsi="Arial" w:cs="Arial" w:eastAsia="Arial"/>
          <w:b w:val="0"/>
          <w:bCs w:val="0"/>
          <w:color w:val="555555"/>
          <w:sz w:val="21"/>
          <w:szCs w:val="21"/>
        </w:rPr>
        <w:t>لم تُقدَّم وثائق أخرى ضمن هذه الحزمة.</w:t>
      </w:r>
    </w:p>
    <w:p>
      <w:pPr>
        <w:pStyle w:val="Heading1"/>
        <w:bidi/>
      </w:pPr>
      <w:r>
        <w:rPr>
          <w:rFonts w:ascii="Arial" w:hAnsi="Arial" w:cs="Arial" w:eastAsia="Arial"/>
          <w:b w:val="0"/>
          <w:bCs w:val="0"/>
        </w:rPr>
        <w:t>5. مقتطف من سياسة النسخ الاحتياطي والاستعادة (EV-BKP-01)</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3.1 النطاق</w:t>
            </w:r>
          </w:p>
        </w:tc>
        <w:tc>
          <w:tcPr>
            <w:tcW w:type="dxa" w:w="7370"/>
          </w:tcPr>
          <w:p>
            <w:pPr>
              <w:bidi/>
              <w:spacing w:after="20" w:line="252" w:lineRule="auto"/>
            </w:pPr>
            <w:r/>
            <w:r>
              <w:rPr>
                <w:rFonts w:ascii="Arial" w:hAnsi="Arial" w:cs="Arial" w:eastAsia="Arial"/>
                <w:b w:val="0"/>
                <w:bCs w:val="0"/>
                <w:sz w:val="20"/>
                <w:szCs w:val="20"/>
              </w:rPr>
              <w:t>كل نظام مصنف «حرج» أو «عالٍ» أو «متوسط» في سجل الأصول يجب أن تكون له مهمة نسخ احتياطي واحدة على الأقل تغطي بياناته، بتكرار يحقق RPO المحدد له.</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3.2 مدة الاحتفاظ</w:t>
            </w:r>
          </w:p>
        </w:tc>
        <w:tc>
          <w:tcPr>
            <w:tcW w:type="dxa" w:w="7370"/>
          </w:tcPr>
          <w:p>
            <w:pPr>
              <w:bidi/>
              <w:spacing w:after="20" w:line="252" w:lineRule="auto"/>
            </w:pPr>
            <w:r/>
            <w:r>
              <w:rPr>
                <w:rFonts w:ascii="Arial" w:hAnsi="Arial" w:cs="Arial" w:eastAsia="Arial"/>
                <w:b w:val="0"/>
                <w:bCs w:val="0"/>
                <w:sz w:val="20"/>
                <w:szCs w:val="20"/>
              </w:rPr>
              <w:t>حرج: 35 يوماً للنسخ اليومية مع 12 نسخة شهرية. عالٍ: 30 يوماً. متوسط: 14 يوماً.</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3.3 النسخة المعزولة</w:t>
            </w:r>
          </w:p>
        </w:tc>
        <w:tc>
          <w:tcPr>
            <w:tcW w:type="dxa" w:w="7370"/>
          </w:tcPr>
          <w:p>
            <w:pPr>
              <w:bidi/>
              <w:spacing w:after="20" w:line="252" w:lineRule="auto"/>
            </w:pPr>
            <w:r/>
            <w:r>
              <w:rPr>
                <w:rFonts w:ascii="Arial" w:hAnsi="Arial" w:cs="Arial" w:eastAsia="Arial"/>
                <w:b w:val="0"/>
                <w:bCs w:val="0"/>
                <w:sz w:val="20"/>
                <w:szCs w:val="20"/>
              </w:rPr>
              <w:t>لكل نظام حرج نسخة معزولة واحدة على الأقل (غير متصلة أو غير قابلة للتعديل Immutable) تُحدَّث أسبوعياً على الأقل. ويوصى بها للأنظمة العالية.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3.4 موقع التعافي</w:t>
            </w:r>
          </w:p>
        </w:tc>
        <w:tc>
          <w:tcPr>
            <w:tcW w:type="dxa" w:w="7370"/>
          </w:tcPr>
          <w:p>
            <w:pPr>
              <w:bidi/>
              <w:spacing w:after="20" w:line="252" w:lineRule="auto"/>
            </w:pPr>
            <w:r/>
            <w:r>
              <w:rPr>
                <w:rFonts w:ascii="Arial" w:hAnsi="Arial" w:cs="Arial" w:eastAsia="Arial"/>
                <w:b w:val="0"/>
                <w:bCs w:val="0"/>
                <w:sz w:val="20"/>
                <w:szCs w:val="20"/>
              </w:rPr>
              <w:t>تُنسخ جميع النسخ الاحتياطية إلى موقع التعافي من الكوارث.</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3.5 متابعة الفشل</w:t>
            </w:r>
          </w:p>
        </w:tc>
        <w:tc>
          <w:tcPr>
            <w:tcW w:type="dxa" w:w="7370"/>
          </w:tcPr>
          <w:p>
            <w:pPr>
              <w:bidi/>
              <w:spacing w:after="20" w:line="252" w:lineRule="auto"/>
            </w:pPr>
            <w:r/>
            <w:r>
              <w:rPr>
                <w:rFonts w:ascii="Arial" w:hAnsi="Arial" w:cs="Arial" w:eastAsia="Arial"/>
                <w:b w:val="0"/>
                <w:bCs w:val="0"/>
                <w:sz w:val="20"/>
                <w:szCs w:val="20"/>
              </w:rPr>
              <w:t>كل تشغيل فاشل أو ناجح جزئياً لمهمة نظام حرج أو عالٍ تُفتح له تذكرة خلال يوم عمل، ولا تُغلق التذكرة إلا بعد نجاح إعادة التشغيل أو التشغيل التالي.</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3.6 اختبار الاستعادة</w:t>
            </w:r>
          </w:p>
        </w:tc>
        <w:tc>
          <w:tcPr>
            <w:tcW w:type="dxa" w:w="7370"/>
          </w:tcPr>
          <w:p>
            <w:pPr>
              <w:bidi/>
              <w:spacing w:after="20" w:line="252" w:lineRule="auto"/>
            </w:pPr>
            <w:r/>
            <w:r>
              <w:rPr>
                <w:rFonts w:ascii="Arial" w:hAnsi="Arial" w:cs="Arial" w:eastAsia="Arial"/>
                <w:b w:val="0"/>
                <w:bCs w:val="0"/>
                <w:sz w:val="20"/>
                <w:szCs w:val="20"/>
              </w:rPr>
              <w:t>يُختبر كل نظام حرج مرة كل ستة أشهر على الأقل، وكل نظام عالٍ مرة سنوياً. يُقاس الزمن الفعلي مقابل RTO ويُتحقق من سلامة البيانات. إذا تجاوز الزمن RTO تُعد خطة تصحيحية خلال 30 يوماً ويُعاد الاختبار.</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3.7 المتابعة والتقارير</w:t>
            </w:r>
          </w:p>
        </w:tc>
        <w:tc>
          <w:tcPr>
            <w:tcW w:type="dxa" w:w="7370"/>
          </w:tcPr>
          <w:p>
            <w:pPr>
              <w:bidi/>
              <w:spacing w:after="20" w:line="252" w:lineRule="auto"/>
            </w:pPr>
            <w:r/>
            <w:r>
              <w:rPr>
                <w:rFonts w:ascii="Arial" w:hAnsi="Arial" w:cs="Arial" w:eastAsia="Arial"/>
                <w:b w:val="0"/>
                <w:bCs w:val="0"/>
                <w:sz w:val="20"/>
                <w:szCs w:val="20"/>
              </w:rPr>
              <w:t>يراجع مسؤول النسخ تقرير المهام يومياً، ويرفع تقريراً شهرياً إلى مدير البنية التحتية والعمليات.</w:t>
            </w:r>
          </w:p>
        </w:tc>
      </w:tr>
    </w:tbl>
    <w:p>
      <w:pPr>
        <w:spacing w:after="40"/>
      </w:pPr>
    </w:p>
    <w:p>
      <w:pPr>
        <w:pStyle w:val="Heading1"/>
        <w:bidi/>
      </w:pPr>
      <w:r>
        <w:rPr>
          <w:rFonts w:ascii="Arial" w:hAnsi="Arial" w:cs="Arial" w:eastAsia="Arial"/>
          <w:b w:val="0"/>
          <w:bCs w:val="0"/>
        </w:rPr>
        <w:t>6. مصطلحات سريعة</w:t>
      </w:r>
    </w:p>
    <w:tbl>
      <w:tblPr>
        <w:tblStyle w:val="TableGrid"/>
        <w:bidiVisual/>
        <w:tblW w:type="dxa" w:w="9637"/>
        <w:jc w:val="center"/>
        <w:tblLayout w:type="fixed"/>
        <w:tblLook w:firstColumn="1" w:firstRow="1" w:lastColumn="0" w:lastRow="0" w:noHBand="0" w:noVBand="1" w:val="04A0"/>
      </w:tblPr>
      <w:tblGrid>
        <w:gridCol w:w="2834"/>
        <w:gridCol w:w="6803"/>
      </w:tblGrid>
      <w:tr>
        <w:trPr>
          <w:cantSplit/>
          <w:tblHeader/>
        </w:trPr>
        <w:tc>
          <w:tcPr>
            <w:tcW w:type="dxa" w:w="2835"/>
            <w:shd w:val="clear" w:color="auto" w:fill="D9E2F3"/>
          </w:tcPr>
          <w:p>
            <w:pPr>
              <w:bidi/>
              <w:spacing w:after="20" w:line="252" w:lineRule="auto"/>
            </w:pPr>
            <w:r/>
            <w:r>
              <w:rPr>
                <w:rFonts w:ascii="Arial" w:hAnsi="Arial" w:cs="Arial" w:eastAsia="Arial"/>
                <w:b w:val="1"/>
                <w:bCs w:val="1"/>
                <w:sz w:val="20"/>
                <w:szCs w:val="20"/>
              </w:rPr>
              <w:t>المصطلح</w:t>
            </w:r>
          </w:p>
        </w:tc>
        <w:tc>
          <w:tcPr>
            <w:tcW w:type="dxa" w:w="6803"/>
            <w:shd w:val="clear" w:color="auto" w:fill="D9E2F3"/>
          </w:tcPr>
          <w:p>
            <w:pPr>
              <w:bidi/>
              <w:spacing w:after="20" w:line="252" w:lineRule="auto"/>
            </w:pPr>
            <w:r/>
            <w:r>
              <w:rPr>
                <w:rFonts w:ascii="Arial" w:hAnsi="Arial" w:cs="Arial" w:eastAsia="Arial"/>
                <w:b w:val="1"/>
                <w:bCs w:val="1"/>
                <w:sz w:val="20"/>
                <w:szCs w:val="20"/>
              </w:rPr>
              <w:t>المعنى</w:t>
            </w:r>
          </w:p>
        </w:tc>
      </w:tr>
      <w:tr>
        <w:trPr>
          <w:cantSplit/>
        </w:trPr>
        <w:tc>
          <w:tcPr>
            <w:tcW w:type="dxa" w:w="2835"/>
          </w:tcPr>
          <w:p>
            <w:pPr>
              <w:bidi/>
              <w:spacing w:after="20" w:line="252" w:lineRule="auto"/>
            </w:pPr>
            <w:r/>
            <w:r>
              <w:rPr>
                <w:rFonts w:ascii="Arial" w:hAnsi="Arial" w:cs="Arial" w:eastAsia="Arial"/>
                <w:b w:val="0"/>
                <w:bCs w:val="0"/>
                <w:sz w:val="20"/>
                <w:szCs w:val="20"/>
              </w:rPr>
              <w:t>RPO — نقطة الاستعادة المستهدفة</w:t>
            </w:r>
          </w:p>
        </w:tc>
        <w:tc>
          <w:tcPr>
            <w:tcW w:type="dxa" w:w="6803"/>
          </w:tcPr>
          <w:p>
            <w:pPr>
              <w:bidi/>
              <w:spacing w:after="20" w:line="252" w:lineRule="auto"/>
            </w:pPr>
            <w:r/>
            <w:r>
              <w:rPr>
                <w:rFonts w:ascii="Arial" w:hAnsi="Arial" w:cs="Arial" w:eastAsia="Arial"/>
                <w:b w:val="0"/>
                <w:bCs w:val="0"/>
                <w:sz w:val="20"/>
                <w:szCs w:val="20"/>
              </w:rPr>
              <w:t>أقصى مقدار من البيانات يمكن تحمل فقده، مقاساً بالزمن. RPO = 24 ساعة يعني أن آخر نسخة صالحة يجب ألا تكون أقدم من 24 ساعة تقريباً عند وقوع العطل.</w:t>
            </w:r>
          </w:p>
        </w:tc>
      </w:tr>
      <w:tr>
        <w:trPr>
          <w:cantSplit/>
        </w:trPr>
        <w:tc>
          <w:tcPr>
            <w:tcW w:type="dxa" w:w="2835"/>
          </w:tcPr>
          <w:p>
            <w:pPr>
              <w:bidi/>
              <w:spacing w:after="20" w:line="252" w:lineRule="auto"/>
            </w:pPr>
            <w:r/>
            <w:r>
              <w:rPr>
                <w:rFonts w:ascii="Arial" w:hAnsi="Arial" w:cs="Arial" w:eastAsia="Arial"/>
                <w:b w:val="0"/>
                <w:bCs w:val="0"/>
                <w:sz w:val="20"/>
                <w:szCs w:val="20"/>
              </w:rPr>
              <w:t>RTO — زمن الاستعادة المستهدف</w:t>
            </w:r>
          </w:p>
        </w:tc>
        <w:tc>
          <w:tcPr>
            <w:tcW w:type="dxa" w:w="6803"/>
          </w:tcPr>
          <w:p>
            <w:pPr>
              <w:bidi/>
              <w:spacing w:after="20" w:line="252" w:lineRule="auto"/>
            </w:pPr>
            <w:r/>
            <w:r>
              <w:rPr>
                <w:rFonts w:ascii="Arial" w:hAnsi="Arial" w:cs="Arial" w:eastAsia="Arial"/>
                <w:b w:val="0"/>
                <w:bCs w:val="0"/>
                <w:sz w:val="20"/>
                <w:szCs w:val="20"/>
              </w:rPr>
              <w:t>أقصى زمن مقبول من بدء الاستعادة حتى عودة النظام للعمل.</w:t>
            </w:r>
          </w:p>
        </w:tc>
      </w:tr>
      <w:tr>
        <w:trPr>
          <w:cantSplit/>
        </w:trPr>
        <w:tc>
          <w:tcPr>
            <w:tcW w:type="dxa" w:w="2835"/>
          </w:tcPr>
          <w:p>
            <w:pPr>
              <w:bidi/>
              <w:spacing w:after="20" w:line="252" w:lineRule="auto"/>
            </w:pPr>
            <w:r/>
            <w:r>
              <w:rPr>
                <w:rFonts w:ascii="Arial" w:hAnsi="Arial" w:cs="Arial" w:eastAsia="Arial"/>
                <w:b w:val="0"/>
                <w:bCs w:val="0"/>
                <w:sz w:val="20"/>
                <w:szCs w:val="20"/>
              </w:rPr>
              <w:t>نسخة معزولة / غير قابلة للتعديل</w:t>
            </w:r>
          </w:p>
        </w:tc>
        <w:tc>
          <w:tcPr>
            <w:tcW w:type="dxa" w:w="6803"/>
          </w:tcPr>
          <w:p>
            <w:pPr>
              <w:bidi/>
              <w:spacing w:after="20" w:line="252" w:lineRule="auto"/>
            </w:pPr>
            <w:r/>
            <w:r>
              <w:rPr>
                <w:rFonts w:ascii="Arial" w:hAnsi="Arial" w:cs="Arial" w:eastAsia="Arial"/>
                <w:b w:val="0"/>
                <w:bCs w:val="0"/>
                <w:sz w:val="20"/>
                <w:szCs w:val="20"/>
              </w:rPr>
              <w:t>نسخة لا يستطيع المهاجم الذي يسيطر على الشبكة أو على منصة النسخ حذفها أو تشفيرها، مثل الأشرطة غير المتصلة أو التخزين غير القابل للتعديل.</w:t>
            </w:r>
          </w:p>
        </w:tc>
      </w:tr>
      <w:tr>
        <w:trPr>
          <w:cantSplit/>
        </w:trPr>
        <w:tc>
          <w:tcPr>
            <w:tcW w:type="dxa" w:w="2835"/>
          </w:tcPr>
          <w:p>
            <w:pPr>
              <w:bidi/>
              <w:spacing w:after="20" w:line="252" w:lineRule="auto"/>
            </w:pPr>
            <w:r/>
            <w:r>
              <w:rPr>
                <w:rFonts w:ascii="Arial" w:hAnsi="Arial" w:cs="Arial" w:eastAsia="Arial"/>
                <w:b w:val="0"/>
                <w:bCs w:val="0"/>
                <w:sz w:val="20"/>
                <w:szCs w:val="20"/>
              </w:rPr>
              <w:t>مدة الاحتفاظ</w:t>
            </w:r>
          </w:p>
        </w:tc>
        <w:tc>
          <w:tcPr>
            <w:tcW w:type="dxa" w:w="6803"/>
          </w:tcPr>
          <w:p>
            <w:pPr>
              <w:bidi/>
              <w:spacing w:after="20" w:line="252" w:lineRule="auto"/>
            </w:pPr>
            <w:r/>
            <w:r>
              <w:rPr>
                <w:rFonts w:ascii="Arial" w:hAnsi="Arial" w:cs="Arial" w:eastAsia="Arial"/>
                <w:b w:val="0"/>
                <w:bCs w:val="0"/>
                <w:sz w:val="20"/>
                <w:szCs w:val="20"/>
              </w:rPr>
              <w:t>عدد الأيام التي تبقى فيها النسخة قابلة للاستعادة قبل حذفها آلياً.</w:t>
            </w:r>
          </w:p>
        </w:tc>
      </w:tr>
      <w:tr>
        <w:trPr>
          <w:cantSplit/>
        </w:trPr>
        <w:tc>
          <w:tcPr>
            <w:tcW w:type="dxa" w:w="2835"/>
          </w:tcPr>
          <w:p>
            <w:pPr>
              <w:bidi/>
              <w:spacing w:after="20" w:line="252" w:lineRule="auto"/>
            </w:pPr>
            <w:r/>
            <w:r>
              <w:rPr>
                <w:rFonts w:ascii="Arial" w:hAnsi="Arial" w:cs="Arial" w:eastAsia="Arial"/>
                <w:b w:val="0"/>
                <w:bCs w:val="0"/>
                <w:sz w:val="20"/>
                <w:szCs w:val="20"/>
              </w:rPr>
              <w:t>ناجح جزئياً</w:t>
            </w:r>
          </w:p>
        </w:tc>
        <w:tc>
          <w:tcPr>
            <w:tcW w:type="dxa" w:w="6803"/>
          </w:tcPr>
          <w:p>
            <w:pPr>
              <w:bidi/>
              <w:spacing w:after="20" w:line="252" w:lineRule="auto"/>
            </w:pPr>
            <w:r/>
            <w:r>
              <w:rPr>
                <w:rFonts w:ascii="Arial" w:hAnsi="Arial" w:cs="Arial" w:eastAsia="Arial"/>
                <w:b w:val="0"/>
                <w:bCs w:val="0"/>
                <w:sz w:val="20"/>
                <w:szCs w:val="20"/>
              </w:rPr>
              <w:t>اكتمل التشغيل لكن بعض العناصر لم تُنسخ (مثل ملفات مقفلة).</w:t>
            </w:r>
          </w:p>
        </w:tc>
      </w:tr>
      <w:tr>
        <w:trPr>
          <w:cantSplit/>
        </w:trPr>
        <w:tc>
          <w:tcPr>
            <w:tcW w:type="dxa" w:w="2835"/>
          </w:tcPr>
          <w:p>
            <w:pPr>
              <w:bidi/>
              <w:spacing w:after="20" w:line="252" w:lineRule="auto"/>
            </w:pPr>
            <w:r/>
            <w:r>
              <w:rPr>
                <w:rFonts w:ascii="Arial" w:hAnsi="Arial" w:cs="Arial" w:eastAsia="Arial"/>
                <w:b w:val="0"/>
                <w:bCs w:val="0"/>
                <w:sz w:val="20"/>
                <w:szCs w:val="20"/>
              </w:rPr>
              <w:t>اختبار الاستعادة</w:t>
            </w:r>
          </w:p>
        </w:tc>
        <w:tc>
          <w:tcPr>
            <w:tcW w:type="dxa" w:w="6803"/>
          </w:tcPr>
          <w:p>
            <w:pPr>
              <w:bidi/>
              <w:spacing w:after="20" w:line="252" w:lineRule="auto"/>
            </w:pPr>
            <w:r/>
            <w:r>
              <w:rPr>
                <w:rFonts w:ascii="Arial" w:hAnsi="Arial" w:cs="Arial" w:eastAsia="Arial"/>
                <w:b w:val="0"/>
                <w:bCs w:val="0"/>
                <w:sz w:val="20"/>
                <w:szCs w:val="20"/>
              </w:rPr>
              <w:t>استعادة فعلية من النسخة إلى بيئة اختبار، مع قياس الزمن والتحقق من سلامة البيانات.</w:t>
            </w:r>
          </w:p>
        </w:tc>
      </w:tr>
    </w:tbl>
    <w:p>
      <w:pPr>
        <w:spacing w:after="40"/>
      </w:pPr>
    </w:p>
    <w:p>
      <w:pPr>
        <w:bidi/>
      </w:pPr>
      <w:r>
        <w:rPr>
          <w:rFonts w:ascii="Arial" w:hAnsi="Arial" w:cs="Arial" w:eastAsia="Arial"/>
          <w:b w:val="0"/>
          <w:bCs w:val="0"/>
          <w:color w:val="555555"/>
          <w:sz w:val="21"/>
          <w:szCs w:val="21"/>
        </w:rPr>
        <w:t>الأوقات بتوقيت الرياض. أيام نهاية الأسبوع في الجهة: الجمعة والسبت، والمهام الأسبوعية تعمل يوم الجمعة.</w:t>
      </w: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بيانات تدريبية افتراضية — هيئة المدار للخدمات الرقمية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التطبيق العملي 02 — إدارة النسخ الاحتياطية ‎2-9‎ — حالة التطبيق (للمتدرب)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حالة التطبيق 02</dc:title>
  <dc:subject/>
  <dc:creator>فريق التدريب — بيانات افتراضية</dc:creator>
  <cp:keywords>ECC-2:2024;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