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ECC-2:2024 · تطبيق عملي للمبتدئين</w:t>
      </w:r>
    </w:p>
    <w:p>
      <w:pPr>
        <w:bidi/>
        <w:spacing w:after="80"/>
        <w:jc w:val="center"/>
      </w:pPr>
      <w:r>
        <w:rPr>
          <w:rFonts w:ascii="Arial" w:hAnsi="Arial" w:cs="Arial" w:eastAsia="Arial"/>
          <w:b w:val="1"/>
          <w:bCs w:val="1"/>
          <w:color w:val="1F3A5F"/>
          <w:sz w:val="40"/>
          <w:szCs w:val="40"/>
        </w:rPr>
        <w:t>التطبيق العملي 03: الأطراف الخارجية</w:t>
      </w:r>
    </w:p>
    <w:p>
      <w:pPr>
        <w:bidi/>
        <w:spacing w:after="200"/>
        <w:jc w:val="center"/>
      </w:pPr>
      <w:r>
        <w:rPr>
          <w:rFonts w:ascii="Arial" w:hAnsi="Arial" w:cs="Arial" w:eastAsia="Arial"/>
          <w:b w:val="0"/>
          <w:bCs w:val="0"/>
          <w:color w:val="333333"/>
          <w:sz w:val="24"/>
          <w:szCs w:val="24"/>
        </w:rPr>
        <w:t>مراجعة عقد مركز العمليات المُدار وعقد الاستضافة السحابية — المكون الفرعي ‎4-1‎</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المدة</w:t>
            </w:r>
          </w:p>
        </w:tc>
        <w:tc>
          <w:tcPr>
            <w:tcW w:type="dxa" w:w="7654"/>
          </w:tcPr>
          <w:p>
            <w:pPr>
              <w:bidi/>
              <w:spacing w:after="20" w:line="252" w:lineRule="auto"/>
            </w:pPr>
            <w:r/>
            <w:r>
              <w:rPr>
                <w:rFonts w:ascii="Arial" w:hAnsi="Arial" w:cs="Arial" w:eastAsia="Arial"/>
                <w:b w:val="0"/>
                <w:bCs w:val="0"/>
                <w:sz w:val="21"/>
                <w:szCs w:val="21"/>
              </w:rPr>
              <w:t>75 دقيقة للعمل + 20 دقيقة لمناقشة الحل مع المدرب</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طريقة العمل</w:t>
            </w:r>
          </w:p>
        </w:tc>
        <w:tc>
          <w:tcPr>
            <w:tcW w:type="dxa" w:w="7654"/>
          </w:tcPr>
          <w:p>
            <w:pPr>
              <w:bidi/>
              <w:spacing w:after="20" w:line="252" w:lineRule="auto"/>
            </w:pPr>
            <w:r/>
            <w:r>
              <w:rPr>
                <w:rFonts w:ascii="Arial" w:hAnsi="Arial" w:cs="Arial" w:eastAsia="Arial"/>
                <w:b w:val="0"/>
                <w:bCs w:val="0"/>
                <w:sz w:val="21"/>
                <w:szCs w:val="21"/>
              </w:rPr>
              <w:t>فردي أو في ثنائيات</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المخرج المطلوب</w:t>
            </w:r>
          </w:p>
        </w:tc>
        <w:tc>
          <w:tcPr>
            <w:tcW w:type="dxa" w:w="7654"/>
          </w:tcPr>
          <w:p>
            <w:pPr>
              <w:bidi/>
              <w:spacing w:after="20" w:line="252" w:lineRule="auto"/>
            </w:pPr>
            <w:r/>
            <w:r>
              <w:rPr>
                <w:rFonts w:ascii="Arial" w:hAnsi="Arial" w:cs="Arial" w:eastAsia="Arial"/>
                <w:b w:val="0"/>
                <w:bCs w:val="0"/>
                <w:sz w:val="21"/>
                <w:szCs w:val="21"/>
              </w:rPr>
              <w:t>القالب الفارغ بعد تعبئته: (أ) بطاقات أوجه القصور، (ب) الحكم الإجمالي لكل ضابط، (ج) صياغات تعاقدية مقترحة، (د) توصية مبررة</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الملفات</w:t>
            </w:r>
          </w:p>
        </w:tc>
        <w:tc>
          <w:tcPr>
            <w:tcW w:type="dxa" w:w="7654"/>
          </w:tcPr>
          <w:p>
            <w:pPr>
              <w:bidi/>
              <w:spacing w:after="20" w:line="252" w:lineRule="auto"/>
            </w:pPr>
            <w:r/>
            <w:r>
              <w:rPr>
                <w:rFonts w:ascii="Arial" w:hAnsi="Arial" w:cs="Arial" w:eastAsia="Arial"/>
                <w:b w:val="0"/>
                <w:bCs w:val="0"/>
                <w:sz w:val="21"/>
                <w:szCs w:val="21"/>
              </w:rPr>
              <w:t>هذا الملف، وملف البيانات data.xlsx، والقالب الفارغ، وملف الجهة الافتراضية</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المرجع</w:t>
            </w:r>
          </w:p>
        </w:tc>
        <w:tc>
          <w:tcPr>
            <w:tcW w:type="dxa" w:w="7654"/>
          </w:tcPr>
          <w:p>
            <w:pPr>
              <w:bidi/>
              <w:spacing w:after="20" w:line="252" w:lineRule="auto"/>
            </w:pPr>
            <w:r/>
            <w:r>
              <w:rPr>
                <w:rFonts w:ascii="Arial" w:hAnsi="Arial" w:cs="Arial" w:eastAsia="Arial"/>
                <w:b w:val="0"/>
                <w:bCs w:val="0"/>
                <w:sz w:val="21"/>
                <w:szCs w:val="21"/>
              </w:rPr>
              <w:t>وثيقة ECC-2:2024 الرسمية (النص العربي هو المعتمد)</w:t>
            </w:r>
          </w:p>
        </w:tc>
      </w:tr>
    </w:tbl>
    <w:p>
      <w:pPr>
        <w:spacing w:after="40"/>
      </w:pPr>
    </w:p>
    <w:p>
      <w:pPr>
        <w:pStyle w:val="Heading1"/>
        <w:bidi/>
      </w:pPr>
      <w:r>
        <w:rPr>
          <w:rFonts w:ascii="Arial" w:hAnsi="Arial" w:cs="Arial" w:eastAsia="Arial"/>
          <w:b w:val="0"/>
          <w:bCs w:val="0"/>
        </w:rPr>
        <w:t>1. ما المطلوب منك</w:t>
      </w:r>
    </w:p>
    <w:p>
      <w:pPr>
        <w:bidi/>
        <w:spacing w:after="60"/>
        <w:ind w:right="283" w:hanging="255"/>
      </w:pPr>
      <w:r>
        <w:rPr>
          <w:rFonts w:ascii="Arial" w:hAnsi="Arial" w:cs="Arial" w:eastAsia="Arial"/>
          <w:b w:val="0"/>
          <w:bCs w:val="0"/>
        </w:rPr>
        <w:t>• اقرأ مقتطفي العقدين، ثم إجابات المورد وكشف فريقه وسجل الحوادث في data.xlsx، ثم تقييم المخاطر.</w:t>
      </w:r>
    </w:p>
    <w:p>
      <w:pPr>
        <w:bidi/>
        <w:spacing w:after="60"/>
        <w:ind w:right="283" w:hanging="255"/>
      </w:pPr>
      <w:r>
        <w:rPr>
          <w:rFonts w:ascii="Arial" w:hAnsi="Arial" w:cs="Arial" w:eastAsia="Arial"/>
          <w:b w:val="0"/>
          <w:bCs w:val="0"/>
        </w:rPr>
        <w:t>• قارن كل عقد بما تطلبه الضوابط ‎4-1-2‎ و‎4-1-3‎، وقارن ما يقوله المورد بما تظهره مستنداته.</w:t>
      </w:r>
    </w:p>
    <w:p>
      <w:pPr>
        <w:bidi/>
        <w:spacing w:after="60"/>
        <w:ind w:right="283" w:hanging="255"/>
      </w:pPr>
      <w:r>
        <w:rPr>
          <w:rFonts w:ascii="Arial" w:hAnsi="Arial" w:cs="Arial" w:eastAsia="Arial"/>
          <w:b w:val="0"/>
          <w:bCs w:val="0"/>
        </w:rPr>
        <w:t>• اكتب كل وجه قصور في بطاقة مع دليله (البند، أو رقم السؤال، أو الصف، والتاريخ).</w:t>
      </w:r>
    </w:p>
    <w:p>
      <w:pPr>
        <w:bidi/>
        <w:spacing w:after="60"/>
        <w:ind w:right="283" w:hanging="255"/>
      </w:pPr>
      <w:r>
        <w:rPr>
          <w:rFonts w:ascii="Arial" w:hAnsi="Arial" w:cs="Arial" w:eastAsia="Arial"/>
          <w:b w:val="0"/>
          <w:bCs w:val="0"/>
        </w:rPr>
        <w:t>• في الجزء (ج) من القالب: اقترح صياغة تعاقدية لكل بند يحتاج تعديلاً، واذكر الضابط الذي تخدمه.</w:t>
      </w:r>
    </w:p>
    <w:p>
      <w:pPr>
        <w:bidi/>
        <w:spacing w:after="60"/>
        <w:ind w:right="283" w:hanging="255"/>
      </w:pPr>
      <w:r>
        <w:rPr>
          <w:rFonts w:ascii="Arial" w:hAnsi="Arial" w:cs="Arial" w:eastAsia="Arial"/>
          <w:b w:val="0"/>
          <w:bCs w:val="0"/>
        </w:rPr>
        <w:t>• في الجزء (د): اختر توصية واحدة وبررها، واذكر الإجراءات الفورية وشروطها ومواعيدها.</w:t>
      </w:r>
    </w:p>
    <w:p>
      <w:pPr>
        <w:bidi/>
        <w:spacing w:after="60"/>
        <w:ind w:right="283" w:hanging="255"/>
      </w:pPr>
      <w:r>
        <w:rPr>
          <w:rFonts w:ascii="Arial" w:hAnsi="Arial" w:cs="Arial" w:eastAsia="Arial"/>
          <w:b w:val="0"/>
          <w:bCs w:val="0"/>
        </w:rPr>
        <w:t>• لا تفترض وجود بنود أو مستندات غير مقدمة؛ اكتب ما تحتاجه في «المعلومات الناقصة / الطلبات».</w:t>
      </w:r>
    </w:p>
    <w:p>
      <w:pPr>
        <w:pStyle w:val="Heading1"/>
        <w:bidi/>
      </w:pPr>
      <w:r>
        <w:rPr>
          <w:rFonts w:ascii="Arial" w:hAnsi="Arial" w:cs="Arial" w:eastAsia="Arial"/>
          <w:b w:val="0"/>
          <w:bCs w:val="0"/>
        </w:rPr>
        <w:t>2. السيناريو</w:t>
      </w:r>
    </w:p>
    <w:p>
      <w:pPr>
        <w:bidi/>
      </w:pPr>
      <w:r>
        <w:rPr>
          <w:rFonts w:ascii="Arial" w:hAnsi="Arial" w:cs="Arial" w:eastAsia="Arial"/>
          <w:b w:val="0"/>
          <w:bCs w:val="0"/>
        </w:rPr>
        <w:t>بتاريخ ‎2026-09-07‎ طلب عادل الجهني (مدير المشتريات والعقود) من الإدارة العامة للأمن السيبراني مراجعة عقد مركز العمليات المُدار مع شركة نطاق اليقظة للخدمات الأمنية المُدارة (افتراضية) (رقم MDR-2026-014)، بعد أن لاحظ م. ماجد الزهراني (مشرف العقد) أن تقرير أغسطس الشهري وصل وفيه حوادث عمرها أسابيع. طُلب أيضاً مراجعة عقد الاستضافة مع شركة سحابة الأفق للاستضافة (افتراضية) (رقم HOST-2025-031) للمقارنة.</w:t>
      </w:r>
    </w:p>
    <w:p>
      <w:pPr>
        <w:bidi/>
      </w:pPr>
      <w:r>
        <w:rPr>
          <w:rFonts w:ascii="Arial" w:hAnsi="Arial" w:cs="Arial" w:eastAsia="Arial"/>
          <w:b w:val="0"/>
          <w:bCs w:val="0"/>
        </w:rPr>
        <w:t>الخدمة الأولى مركز عمليات أمن سيبراني مُدار يراقب منصة SIEM لدى الجهة ويحلل تنبيهاتها على مدار الساعة عبر الوصول عن بعد. الخدمة الثانية استضافة سحابية (بنية تحتية كخدمة) لبيئة البوابة الإلكترونية وواجهات تطبيق الأجهزة الذكية.</w:t>
      </w:r>
    </w:p>
    <w:p>
      <w:pPr>
        <w:bidi/>
      </w:pPr>
      <w:r>
        <w:rPr>
          <w:rFonts w:ascii="Arial" w:hAnsi="Arial" w:cs="Arial" w:eastAsia="Arial"/>
          <w:b w:val="0"/>
          <w:bCs w:val="0"/>
          <w:sz w:val="21"/>
          <w:szCs w:val="21"/>
        </w:rPr>
        <w:t>أفادت إدارة المشتريات والعقود كتابياً بأن البنود المقتطفة أدناه هي كل ما يتعلق بالأمن السيبراني في العقدين وملاحقهما، وأن بقية البنود مالية وإدارية.</w:t>
      </w:r>
    </w:p>
    <w:p>
      <w:pPr>
        <w:pStyle w:val="Heading1"/>
        <w:bidi/>
      </w:pPr>
      <w:r>
        <w:rPr>
          <w:rFonts w:ascii="Arial" w:hAnsi="Arial" w:cs="Arial" w:eastAsia="Arial"/>
          <w:b w:val="0"/>
          <w:bCs w:val="0"/>
        </w:rPr>
        <w:t>3. نطاق التقييم</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blHeader/>
        </w:trPr>
        <w:tc>
          <w:tcPr>
            <w:tcW w:type="dxa" w:w="2268"/>
            <w:shd w:val="clear" w:color="auto" w:fill="D9E2F3"/>
          </w:tcPr>
          <w:p>
            <w:pPr>
              <w:bidi/>
              <w:spacing w:after="20" w:line="252" w:lineRule="auto"/>
            </w:pPr>
            <w:r/>
            <w:r>
              <w:rPr>
                <w:rFonts w:ascii="Arial" w:hAnsi="Arial" w:cs="Arial" w:eastAsia="Arial"/>
                <w:b w:val="1"/>
                <w:bCs w:val="1"/>
                <w:sz w:val="20"/>
                <w:szCs w:val="20"/>
              </w:rPr>
              <w:t>الضابط</w:t>
            </w:r>
          </w:p>
        </w:tc>
        <w:tc>
          <w:tcPr>
            <w:tcW w:type="dxa" w:w="7370"/>
            <w:shd w:val="clear" w:color="auto" w:fill="D9E2F3"/>
          </w:tcPr>
          <w:p>
            <w:pPr>
              <w:bidi/>
              <w:spacing w:after="20" w:line="252" w:lineRule="auto"/>
            </w:pPr>
            <w:r/>
            <w:r>
              <w:rPr>
                <w:rFonts w:ascii="Arial" w:hAnsi="Arial" w:cs="Arial" w:eastAsia="Arial"/>
                <w:b w:val="1"/>
                <w:bCs w:val="1"/>
                <w:sz w:val="20"/>
                <w:szCs w:val="20"/>
              </w:rPr>
              <w:t>الموضوع (صياغة مختصرة للشرح؛ ارجع إلى النص الرسمي)</w:t>
            </w:r>
          </w:p>
        </w:tc>
      </w:tr>
      <w:tr>
        <w:trPr>
          <w:cantSplit/>
        </w:trPr>
        <w:tc>
          <w:tcPr>
            <w:tcW w:type="dxa" w:w="2268"/>
          </w:tcPr>
          <w:p>
            <w:pPr>
              <w:bidi/>
              <w:spacing w:after="20" w:line="252" w:lineRule="auto"/>
            </w:pPr>
            <w:r/>
            <w:r>
              <w:rPr>
                <w:rFonts w:ascii="Arial" w:hAnsi="Arial" w:cs="Arial" w:eastAsia="Arial"/>
                <w:b w:val="0"/>
                <w:bCs w:val="0"/>
                <w:sz w:val="20"/>
                <w:szCs w:val="20"/>
              </w:rPr>
              <w:t>‎4-1-1‎</w:t>
            </w:r>
          </w:p>
        </w:tc>
        <w:tc>
          <w:tcPr>
            <w:tcW w:type="dxa" w:w="7370"/>
          </w:tcPr>
          <w:p>
            <w:pPr>
              <w:bidi/>
              <w:spacing w:after="20" w:line="252" w:lineRule="auto"/>
            </w:pPr>
            <w:r/>
            <w:r>
              <w:rPr>
                <w:rFonts w:ascii="Arial" w:hAnsi="Arial" w:cs="Arial" w:eastAsia="Arial"/>
                <w:b w:val="0"/>
                <w:bCs w:val="0"/>
                <w:sz w:val="20"/>
                <w:szCs w:val="20"/>
              </w:rPr>
              <w:t>تحديد وتوثيق واعتماد متطلبات الأمن السيبراني ضمن العقود والاتفاقيات مع الأطراف الخارجية</w:t>
            </w:r>
          </w:p>
        </w:tc>
      </w:tr>
      <w:tr>
        <w:trPr>
          <w:cantSplit/>
        </w:trPr>
        <w:tc>
          <w:tcPr>
            <w:tcW w:type="dxa" w:w="2268"/>
          </w:tcPr>
          <w:p>
            <w:pPr>
              <w:bidi/>
              <w:spacing w:after="20" w:line="252" w:lineRule="auto"/>
            </w:pPr>
            <w:r/>
            <w:r>
              <w:rPr>
                <w:rFonts w:ascii="Arial" w:hAnsi="Arial" w:cs="Arial" w:eastAsia="Arial"/>
                <w:b w:val="0"/>
                <w:bCs w:val="0"/>
                <w:sz w:val="20"/>
                <w:szCs w:val="20"/>
              </w:rPr>
              <w:t>‎4-1-2-1‎ إلى ‎4-1-2-3‎</w:t>
            </w:r>
          </w:p>
        </w:tc>
        <w:tc>
          <w:tcPr>
            <w:tcW w:type="dxa" w:w="7370"/>
          </w:tcPr>
          <w:p>
            <w:pPr>
              <w:bidi/>
              <w:spacing w:after="20" w:line="252" w:lineRule="auto"/>
            </w:pPr>
            <w:r/>
            <w:r>
              <w:rPr>
                <w:rFonts w:ascii="Arial" w:hAnsi="Arial" w:cs="Arial" w:eastAsia="Arial"/>
                <w:b w:val="0"/>
                <w:bCs w:val="0"/>
                <w:sz w:val="20"/>
                <w:szCs w:val="20"/>
              </w:rPr>
              <w:t>الحد الأدنى في عقود الأطراف الخارجية التي قد تتأثر بإصابتها بيانات الجهة أو خدماتها</w:t>
            </w:r>
          </w:p>
        </w:tc>
      </w:tr>
      <w:tr>
        <w:trPr>
          <w:cantSplit/>
        </w:trPr>
        <w:tc>
          <w:tcPr>
            <w:tcW w:type="dxa" w:w="2268"/>
          </w:tcPr>
          <w:p>
            <w:pPr>
              <w:bidi/>
              <w:spacing w:after="20" w:line="252" w:lineRule="auto"/>
            </w:pPr>
            <w:r/>
            <w:r>
              <w:rPr>
                <w:rFonts w:ascii="Arial" w:hAnsi="Arial" w:cs="Arial" w:eastAsia="Arial"/>
                <w:b w:val="0"/>
                <w:bCs w:val="0"/>
                <w:sz w:val="20"/>
                <w:szCs w:val="20"/>
              </w:rPr>
              <w:t>‎4-1-3-1‎ و‎4-1-3-2‎</w:t>
            </w:r>
          </w:p>
        </w:tc>
        <w:tc>
          <w:tcPr>
            <w:tcW w:type="dxa" w:w="7370"/>
          </w:tcPr>
          <w:p>
            <w:pPr>
              <w:bidi/>
              <w:spacing w:after="20" w:line="252" w:lineRule="auto"/>
            </w:pPr>
            <w:r/>
            <w:r>
              <w:rPr>
                <w:rFonts w:ascii="Arial" w:hAnsi="Arial" w:cs="Arial" w:eastAsia="Arial"/>
                <w:b w:val="0"/>
                <w:bCs w:val="0"/>
                <w:sz w:val="20"/>
                <w:szCs w:val="20"/>
              </w:rPr>
              <w:t>الحد الأدنى الإضافي مع مقدمي خدمات الإسناد للأمن السيبراني أو لتقنية المعلومات أو الخدمات المدارة</w:t>
            </w:r>
          </w:p>
        </w:tc>
      </w:tr>
      <w:tr>
        <w:trPr>
          <w:cantSplit/>
        </w:trPr>
        <w:tc>
          <w:tcPr>
            <w:tcW w:type="dxa" w:w="2268"/>
          </w:tcPr>
          <w:p>
            <w:pPr>
              <w:bidi/>
              <w:spacing w:after="20" w:line="252" w:lineRule="auto"/>
            </w:pPr>
            <w:r/>
            <w:r>
              <w:rPr>
                <w:rFonts w:ascii="Arial" w:hAnsi="Arial" w:cs="Arial" w:eastAsia="Arial"/>
                <w:b w:val="0"/>
                <w:bCs w:val="0"/>
                <w:sz w:val="20"/>
                <w:szCs w:val="20"/>
              </w:rPr>
              <w:t>‎4-1-4‎</w:t>
            </w:r>
          </w:p>
        </w:tc>
        <w:tc>
          <w:tcPr>
            <w:tcW w:type="dxa" w:w="7370"/>
          </w:tcPr>
          <w:p>
            <w:pPr>
              <w:bidi/>
              <w:spacing w:after="20" w:line="252" w:lineRule="auto"/>
            </w:pPr>
            <w:r/>
            <w:r>
              <w:rPr>
                <w:rFonts w:ascii="Arial" w:hAnsi="Arial" w:cs="Arial" w:eastAsia="Arial"/>
                <w:b w:val="0"/>
                <w:bCs w:val="0"/>
                <w:sz w:val="20"/>
                <w:szCs w:val="20"/>
              </w:rPr>
              <w:t>المراجعة الدورية لمتطلبات الأمن السيبراني مع الأطراف الخارجية</w:t>
            </w:r>
          </w:p>
        </w:tc>
      </w:tr>
    </w:tbl>
    <w:p>
      <w:pPr>
        <w:spacing w:after="40"/>
      </w:pPr>
    </w:p>
    <w:p>
      <w:pPr>
        <w:bidi/>
      </w:pPr>
      <w:r>
        <w:rPr>
          <w:rFonts w:ascii="Arial" w:hAnsi="Arial" w:cs="Arial" w:eastAsia="Arial"/>
          <w:b w:val="0"/>
          <w:bCs w:val="0"/>
          <w:color w:val="555555"/>
          <w:sz w:val="21"/>
          <w:szCs w:val="21"/>
        </w:rPr>
        <w:t>يمكنك الإشارة إلى ضوابط ‎4-2‎ عند تقييم عقد الاستضافة إن رأيت ذلك مناسباً.</w:t>
      </w:r>
    </w:p>
    <w:p>
      <w:pPr>
        <w:pStyle w:val="Heading1"/>
        <w:bidi/>
      </w:pPr>
      <w:r>
        <w:rPr>
          <w:rFonts w:ascii="Arial" w:hAnsi="Arial" w:cs="Arial" w:eastAsia="Arial"/>
          <w:b w:val="0"/>
          <w:bCs w:val="0"/>
        </w:rPr>
        <w:t>4. الأدلة المقدمة</w:t>
      </w:r>
    </w:p>
    <w:tbl>
      <w:tblPr>
        <w:tblStyle w:val="TableGrid"/>
        <w:bidiVisual/>
        <w:tblW w:type="dxa" w:w="9637"/>
        <w:jc w:val="center"/>
        <w:tblLayout w:type="fixed"/>
        <w:tblLook w:firstColumn="1" w:firstRow="1" w:lastColumn="0" w:lastRow="0" w:noHBand="0" w:noVBand="1" w:val="04A0"/>
      </w:tblPr>
      <w:tblGrid>
        <w:gridCol w:w="1303"/>
        <w:gridCol w:w="5782"/>
        <w:gridCol w:w="2551"/>
      </w:tblGrid>
      <w:tr>
        <w:trPr>
          <w:cantSplit/>
          <w:tblHeader/>
        </w:trPr>
        <w:tc>
          <w:tcPr>
            <w:tcW w:type="dxa" w:w="1304"/>
            <w:shd w:val="clear" w:color="auto" w:fill="D9E2F3"/>
          </w:tcPr>
          <w:p>
            <w:pPr>
              <w:bidi/>
              <w:spacing w:after="20" w:line="252" w:lineRule="auto"/>
            </w:pPr>
            <w:r/>
            <w:r>
              <w:rPr>
                <w:rFonts w:ascii="Arial" w:hAnsi="Arial" w:cs="Arial" w:eastAsia="Arial"/>
                <w:b w:val="1"/>
                <w:bCs w:val="1"/>
                <w:sz w:val="20"/>
                <w:szCs w:val="20"/>
              </w:rPr>
              <w:t>الرقم</w:t>
            </w:r>
          </w:p>
        </w:tc>
        <w:tc>
          <w:tcPr>
            <w:tcW w:type="dxa" w:w="5783"/>
            <w:shd w:val="clear" w:color="auto" w:fill="D9E2F3"/>
          </w:tcPr>
          <w:p>
            <w:pPr>
              <w:bidi/>
              <w:spacing w:after="20" w:line="252" w:lineRule="auto"/>
            </w:pPr>
            <w:r/>
            <w:r>
              <w:rPr>
                <w:rFonts w:ascii="Arial" w:hAnsi="Arial" w:cs="Arial" w:eastAsia="Arial"/>
                <w:b w:val="1"/>
                <w:bCs w:val="1"/>
                <w:sz w:val="20"/>
                <w:szCs w:val="20"/>
              </w:rPr>
              <w:t>الدليل</w:t>
            </w:r>
          </w:p>
        </w:tc>
        <w:tc>
          <w:tcPr>
            <w:tcW w:type="dxa" w:w="2551"/>
            <w:shd w:val="clear" w:color="auto" w:fill="D9E2F3"/>
          </w:tcPr>
          <w:p>
            <w:pPr>
              <w:bidi/>
              <w:spacing w:after="20" w:line="252" w:lineRule="auto"/>
            </w:pPr>
            <w:r/>
            <w:r>
              <w:rPr>
                <w:rFonts w:ascii="Arial" w:hAnsi="Arial" w:cs="Arial" w:eastAsia="Arial"/>
                <w:b w:val="1"/>
                <w:bCs w:val="1"/>
                <w:sz w:val="20"/>
                <w:szCs w:val="20"/>
              </w:rPr>
              <w:t>أين تجده</w:t>
            </w:r>
          </w:p>
        </w:tc>
      </w:tr>
      <w:tr>
        <w:trPr>
          <w:cantSplit/>
        </w:trPr>
        <w:tc>
          <w:tcPr>
            <w:tcW w:type="dxa" w:w="1304"/>
          </w:tcPr>
          <w:p>
            <w:pPr>
              <w:bidi/>
              <w:spacing w:after="20" w:line="252" w:lineRule="auto"/>
            </w:pPr>
            <w:r/>
            <w:r>
              <w:rPr>
                <w:rFonts w:ascii="Arial" w:hAnsi="Arial" w:cs="Arial" w:eastAsia="Arial"/>
                <w:b w:val="0"/>
                <w:bCs w:val="0"/>
                <w:sz w:val="20"/>
                <w:szCs w:val="20"/>
              </w:rPr>
              <w:t>EV-TP-01</w:t>
            </w:r>
          </w:p>
        </w:tc>
        <w:tc>
          <w:tcPr>
            <w:tcW w:type="dxa" w:w="5783"/>
          </w:tcPr>
          <w:p>
            <w:pPr>
              <w:bidi/>
              <w:spacing w:after="20" w:line="252" w:lineRule="auto"/>
            </w:pPr>
            <w:r/>
            <w:r>
              <w:rPr>
                <w:rFonts w:ascii="Arial" w:hAnsi="Arial" w:cs="Arial" w:eastAsia="Arial"/>
                <w:b w:val="0"/>
                <w:bCs w:val="0"/>
                <w:sz w:val="20"/>
                <w:szCs w:val="20"/>
              </w:rPr>
              <w:t>مقتطف عقد مركز العمليات المُدار MDR-2026-014</w:t>
            </w:r>
          </w:p>
        </w:tc>
        <w:tc>
          <w:tcPr>
            <w:tcW w:type="dxa" w:w="2551"/>
          </w:tcPr>
          <w:p>
            <w:pPr>
              <w:bidi/>
              <w:spacing w:after="20" w:line="252" w:lineRule="auto"/>
            </w:pPr>
            <w:r/>
            <w:r>
              <w:rPr>
                <w:rFonts w:ascii="Arial" w:hAnsi="Arial" w:cs="Arial" w:eastAsia="Arial"/>
                <w:b w:val="0"/>
                <w:bCs w:val="0"/>
                <w:sz w:val="20"/>
                <w:szCs w:val="20"/>
              </w:rPr>
              <w:t>القسم 5</w:t>
            </w:r>
          </w:p>
        </w:tc>
      </w:tr>
      <w:tr>
        <w:trPr>
          <w:cantSplit/>
        </w:trPr>
        <w:tc>
          <w:tcPr>
            <w:tcW w:type="dxa" w:w="1304"/>
          </w:tcPr>
          <w:p>
            <w:pPr>
              <w:bidi/>
              <w:spacing w:after="20" w:line="252" w:lineRule="auto"/>
            </w:pPr>
            <w:r/>
            <w:r>
              <w:rPr>
                <w:rFonts w:ascii="Arial" w:hAnsi="Arial" w:cs="Arial" w:eastAsia="Arial"/>
                <w:b w:val="0"/>
                <w:bCs w:val="0"/>
                <w:sz w:val="20"/>
                <w:szCs w:val="20"/>
              </w:rPr>
              <w:t>EV-TP-02</w:t>
            </w:r>
          </w:p>
        </w:tc>
        <w:tc>
          <w:tcPr>
            <w:tcW w:type="dxa" w:w="5783"/>
          </w:tcPr>
          <w:p>
            <w:pPr>
              <w:bidi/>
              <w:spacing w:after="20" w:line="252" w:lineRule="auto"/>
            </w:pPr>
            <w:r/>
            <w:r>
              <w:rPr>
                <w:rFonts w:ascii="Arial" w:hAnsi="Arial" w:cs="Arial" w:eastAsia="Arial"/>
                <w:b w:val="0"/>
                <w:bCs w:val="0"/>
                <w:sz w:val="20"/>
                <w:szCs w:val="20"/>
              </w:rPr>
              <w:t>مقتطف عقد الاستضافة السحابية HOST-2025-031</w:t>
            </w:r>
          </w:p>
        </w:tc>
        <w:tc>
          <w:tcPr>
            <w:tcW w:type="dxa" w:w="2551"/>
          </w:tcPr>
          <w:p>
            <w:pPr>
              <w:bidi/>
              <w:spacing w:after="20" w:line="252" w:lineRule="auto"/>
            </w:pPr>
            <w:r/>
            <w:r>
              <w:rPr>
                <w:rFonts w:ascii="Arial" w:hAnsi="Arial" w:cs="Arial" w:eastAsia="Arial"/>
                <w:b w:val="0"/>
                <w:bCs w:val="0"/>
                <w:sz w:val="20"/>
                <w:szCs w:val="20"/>
              </w:rPr>
              <w:t>القسم 6</w:t>
            </w:r>
          </w:p>
        </w:tc>
      </w:tr>
      <w:tr>
        <w:trPr>
          <w:cantSplit/>
        </w:trPr>
        <w:tc>
          <w:tcPr>
            <w:tcW w:type="dxa" w:w="1304"/>
          </w:tcPr>
          <w:p>
            <w:pPr>
              <w:bidi/>
              <w:spacing w:after="20" w:line="252" w:lineRule="auto"/>
            </w:pPr>
            <w:r/>
            <w:r>
              <w:rPr>
                <w:rFonts w:ascii="Arial" w:hAnsi="Arial" w:cs="Arial" w:eastAsia="Arial"/>
                <w:b w:val="0"/>
                <w:bCs w:val="0"/>
                <w:sz w:val="20"/>
                <w:szCs w:val="20"/>
              </w:rPr>
              <w:t>EV-TP-03</w:t>
            </w:r>
          </w:p>
        </w:tc>
        <w:tc>
          <w:tcPr>
            <w:tcW w:type="dxa" w:w="5783"/>
          </w:tcPr>
          <w:p>
            <w:pPr>
              <w:bidi/>
              <w:spacing w:after="20" w:line="252" w:lineRule="auto"/>
            </w:pPr>
            <w:r/>
            <w:r>
              <w:rPr>
                <w:rFonts w:ascii="Arial" w:hAnsi="Arial" w:cs="Arial" w:eastAsia="Arial"/>
                <w:b w:val="0"/>
                <w:bCs w:val="0"/>
                <w:sz w:val="20"/>
                <w:szCs w:val="20"/>
              </w:rPr>
              <w:t>سجل الموردين والعقود</w:t>
            </w:r>
          </w:p>
        </w:tc>
        <w:tc>
          <w:tcPr>
            <w:tcW w:type="dxa" w:w="2551"/>
          </w:tcPr>
          <w:p>
            <w:pPr>
              <w:bidi/>
              <w:spacing w:after="20" w:line="252" w:lineRule="auto"/>
            </w:pPr>
            <w:r/>
            <w:r>
              <w:rPr>
                <w:rFonts w:ascii="Arial" w:hAnsi="Arial" w:cs="Arial" w:eastAsia="Arial"/>
                <w:b w:val="0"/>
                <w:bCs w:val="0"/>
                <w:sz w:val="20"/>
                <w:szCs w:val="20"/>
              </w:rPr>
              <w:t>ورقة «سجل الموردين»</w:t>
            </w:r>
          </w:p>
        </w:tc>
      </w:tr>
      <w:tr>
        <w:trPr>
          <w:cantSplit/>
        </w:trPr>
        <w:tc>
          <w:tcPr>
            <w:tcW w:type="dxa" w:w="1304"/>
          </w:tcPr>
          <w:p>
            <w:pPr>
              <w:bidi/>
              <w:spacing w:after="20" w:line="252" w:lineRule="auto"/>
            </w:pPr>
            <w:r/>
            <w:r>
              <w:rPr>
                <w:rFonts w:ascii="Arial" w:hAnsi="Arial" w:cs="Arial" w:eastAsia="Arial"/>
                <w:b w:val="0"/>
                <w:bCs w:val="0"/>
                <w:sz w:val="20"/>
                <w:szCs w:val="20"/>
              </w:rPr>
              <w:t>EV-TP-04</w:t>
            </w:r>
          </w:p>
        </w:tc>
        <w:tc>
          <w:tcPr>
            <w:tcW w:type="dxa" w:w="5783"/>
          </w:tcPr>
          <w:p>
            <w:pPr>
              <w:bidi/>
              <w:spacing w:after="20" w:line="252" w:lineRule="auto"/>
            </w:pPr>
            <w:r/>
            <w:r>
              <w:rPr>
                <w:rFonts w:ascii="Arial" w:hAnsi="Arial" w:cs="Arial" w:eastAsia="Arial"/>
                <w:b w:val="0"/>
                <w:bCs w:val="0"/>
                <w:sz w:val="20"/>
                <w:szCs w:val="20"/>
              </w:rPr>
              <w:t>إجابات المورد على استبيان الأمن السيبراني</w:t>
            </w:r>
          </w:p>
        </w:tc>
        <w:tc>
          <w:tcPr>
            <w:tcW w:type="dxa" w:w="2551"/>
          </w:tcPr>
          <w:p>
            <w:pPr>
              <w:bidi/>
              <w:spacing w:after="20" w:line="252" w:lineRule="auto"/>
            </w:pPr>
            <w:r/>
            <w:r>
              <w:rPr>
                <w:rFonts w:ascii="Arial" w:hAnsi="Arial" w:cs="Arial" w:eastAsia="Arial"/>
                <w:b w:val="0"/>
                <w:bCs w:val="0"/>
                <w:sz w:val="20"/>
                <w:szCs w:val="20"/>
              </w:rPr>
              <w:t>ورقة «استبيان المورد»</w:t>
            </w:r>
          </w:p>
        </w:tc>
      </w:tr>
      <w:tr>
        <w:trPr>
          <w:cantSplit/>
        </w:trPr>
        <w:tc>
          <w:tcPr>
            <w:tcW w:type="dxa" w:w="1304"/>
          </w:tcPr>
          <w:p>
            <w:pPr>
              <w:bidi/>
              <w:spacing w:after="20" w:line="252" w:lineRule="auto"/>
            </w:pPr>
            <w:r/>
            <w:r>
              <w:rPr>
                <w:rFonts w:ascii="Arial" w:hAnsi="Arial" w:cs="Arial" w:eastAsia="Arial"/>
                <w:b w:val="0"/>
                <w:bCs w:val="0"/>
                <w:sz w:val="20"/>
                <w:szCs w:val="20"/>
              </w:rPr>
              <w:t>EV-TP-05</w:t>
            </w:r>
          </w:p>
        </w:tc>
        <w:tc>
          <w:tcPr>
            <w:tcW w:type="dxa" w:w="5783"/>
          </w:tcPr>
          <w:p>
            <w:pPr>
              <w:bidi/>
              <w:spacing w:after="20" w:line="252" w:lineRule="auto"/>
            </w:pPr>
            <w:r/>
            <w:r>
              <w:rPr>
                <w:rFonts w:ascii="Arial" w:hAnsi="Arial" w:cs="Arial" w:eastAsia="Arial"/>
                <w:b w:val="0"/>
                <w:bCs w:val="0"/>
                <w:sz w:val="20"/>
                <w:szCs w:val="20"/>
              </w:rPr>
              <w:t>كشف فريق الخدمة من تقرير أغسطس 2026</w:t>
            </w:r>
          </w:p>
        </w:tc>
        <w:tc>
          <w:tcPr>
            <w:tcW w:type="dxa" w:w="2551"/>
          </w:tcPr>
          <w:p>
            <w:pPr>
              <w:bidi/>
              <w:spacing w:after="20" w:line="252" w:lineRule="auto"/>
            </w:pPr>
            <w:r/>
            <w:r>
              <w:rPr>
                <w:rFonts w:ascii="Arial" w:hAnsi="Arial" w:cs="Arial" w:eastAsia="Arial"/>
                <w:b w:val="0"/>
                <w:bCs w:val="0"/>
                <w:sz w:val="20"/>
                <w:szCs w:val="20"/>
              </w:rPr>
              <w:t>ورقة «كشف فريق الخدمة»</w:t>
            </w:r>
          </w:p>
        </w:tc>
      </w:tr>
      <w:tr>
        <w:trPr>
          <w:cantSplit/>
        </w:trPr>
        <w:tc>
          <w:tcPr>
            <w:tcW w:type="dxa" w:w="1304"/>
          </w:tcPr>
          <w:p>
            <w:pPr>
              <w:bidi/>
              <w:spacing w:after="20" w:line="252" w:lineRule="auto"/>
            </w:pPr>
            <w:r/>
            <w:r>
              <w:rPr>
                <w:rFonts w:ascii="Arial" w:hAnsi="Arial" w:cs="Arial" w:eastAsia="Arial"/>
                <w:b w:val="0"/>
                <w:bCs w:val="0"/>
                <w:sz w:val="20"/>
                <w:szCs w:val="20"/>
              </w:rPr>
              <w:t>EV-TP-06</w:t>
            </w:r>
          </w:p>
        </w:tc>
        <w:tc>
          <w:tcPr>
            <w:tcW w:type="dxa" w:w="5783"/>
          </w:tcPr>
          <w:p>
            <w:pPr>
              <w:bidi/>
              <w:spacing w:after="20" w:line="252" w:lineRule="auto"/>
            </w:pPr>
            <w:r/>
            <w:r>
              <w:rPr>
                <w:rFonts w:ascii="Arial" w:hAnsi="Arial" w:cs="Arial" w:eastAsia="Arial"/>
                <w:b w:val="0"/>
                <w:bCs w:val="0"/>
                <w:sz w:val="20"/>
                <w:szCs w:val="20"/>
              </w:rPr>
              <w:t>الحوادث المبلغة في تقريري يوليو وأغسطس</w:t>
            </w:r>
          </w:p>
        </w:tc>
        <w:tc>
          <w:tcPr>
            <w:tcW w:type="dxa" w:w="2551"/>
          </w:tcPr>
          <w:p>
            <w:pPr>
              <w:bidi/>
              <w:spacing w:after="20" w:line="252" w:lineRule="auto"/>
            </w:pPr>
            <w:r/>
            <w:r>
              <w:rPr>
                <w:rFonts w:ascii="Arial" w:hAnsi="Arial" w:cs="Arial" w:eastAsia="Arial"/>
                <w:b w:val="0"/>
                <w:bCs w:val="0"/>
                <w:sz w:val="20"/>
                <w:szCs w:val="20"/>
              </w:rPr>
              <w:t>ورقة «الحوادث المبلغة»</w:t>
            </w:r>
          </w:p>
        </w:tc>
      </w:tr>
      <w:tr>
        <w:trPr>
          <w:cantSplit/>
        </w:trPr>
        <w:tc>
          <w:tcPr>
            <w:tcW w:type="dxa" w:w="1304"/>
          </w:tcPr>
          <w:p>
            <w:pPr>
              <w:bidi/>
              <w:spacing w:after="20" w:line="252" w:lineRule="auto"/>
            </w:pPr>
            <w:r/>
            <w:r>
              <w:rPr>
                <w:rFonts w:ascii="Arial" w:hAnsi="Arial" w:cs="Arial" w:eastAsia="Arial"/>
                <w:b w:val="0"/>
                <w:bCs w:val="0"/>
                <w:sz w:val="20"/>
                <w:szCs w:val="20"/>
              </w:rPr>
              <w:t>EV-TP-07</w:t>
            </w:r>
          </w:p>
        </w:tc>
        <w:tc>
          <w:tcPr>
            <w:tcW w:type="dxa" w:w="5783"/>
          </w:tcPr>
          <w:p>
            <w:pPr>
              <w:bidi/>
              <w:spacing w:after="20" w:line="252" w:lineRule="auto"/>
            </w:pPr>
            <w:r/>
            <w:r>
              <w:rPr>
                <w:rFonts w:ascii="Arial" w:hAnsi="Arial" w:cs="Arial" w:eastAsia="Arial"/>
                <w:b w:val="0"/>
                <w:bCs w:val="0"/>
                <w:sz w:val="20"/>
                <w:szCs w:val="20"/>
              </w:rPr>
              <w:t>تقييم مخاطر الطرف الخارجي لمركز العمليات RA-TP-2026-03</w:t>
            </w:r>
          </w:p>
        </w:tc>
        <w:tc>
          <w:tcPr>
            <w:tcW w:type="dxa" w:w="2551"/>
          </w:tcPr>
          <w:p>
            <w:pPr>
              <w:bidi/>
              <w:spacing w:after="20" w:line="252" w:lineRule="auto"/>
            </w:pPr>
            <w:r/>
            <w:r>
              <w:rPr>
                <w:rFonts w:ascii="Arial" w:hAnsi="Arial" w:cs="Arial" w:eastAsia="Arial"/>
                <w:b w:val="0"/>
                <w:bCs w:val="0"/>
                <w:sz w:val="20"/>
                <w:szCs w:val="20"/>
              </w:rPr>
              <w:t>القسم 7</w:t>
            </w:r>
          </w:p>
        </w:tc>
      </w:tr>
      <w:tr>
        <w:trPr>
          <w:cantSplit/>
        </w:trPr>
        <w:tc>
          <w:tcPr>
            <w:tcW w:type="dxa" w:w="1304"/>
          </w:tcPr>
          <w:p>
            <w:pPr>
              <w:bidi/>
              <w:spacing w:after="20" w:line="252" w:lineRule="auto"/>
            </w:pPr>
            <w:r/>
            <w:r>
              <w:rPr>
                <w:rFonts w:ascii="Arial" w:hAnsi="Arial" w:cs="Arial" w:eastAsia="Arial"/>
                <w:b w:val="0"/>
                <w:bCs w:val="0"/>
                <w:sz w:val="20"/>
                <w:szCs w:val="20"/>
              </w:rPr>
              <w:t>EV-TP-08</w:t>
            </w:r>
          </w:p>
        </w:tc>
        <w:tc>
          <w:tcPr>
            <w:tcW w:type="dxa" w:w="5783"/>
          </w:tcPr>
          <w:p>
            <w:pPr>
              <w:bidi/>
              <w:spacing w:after="20" w:line="252" w:lineRule="auto"/>
            </w:pPr>
            <w:r/>
            <w:r>
              <w:rPr>
                <w:rFonts w:ascii="Arial" w:hAnsi="Arial" w:cs="Arial" w:eastAsia="Arial"/>
                <w:b w:val="0"/>
                <w:bCs w:val="0"/>
                <w:sz w:val="20"/>
                <w:szCs w:val="20"/>
              </w:rPr>
              <w:t>تقييم مخاطر الطرف الخارجي للاستضافة RA-TP-2025-09 (ملخص)</w:t>
            </w:r>
          </w:p>
        </w:tc>
        <w:tc>
          <w:tcPr>
            <w:tcW w:type="dxa" w:w="2551"/>
          </w:tcPr>
          <w:p>
            <w:pPr>
              <w:bidi/>
              <w:spacing w:after="20" w:line="252" w:lineRule="auto"/>
            </w:pPr>
            <w:r/>
            <w:r>
              <w:rPr>
                <w:rFonts w:ascii="Arial" w:hAnsi="Arial" w:cs="Arial" w:eastAsia="Arial"/>
                <w:b w:val="0"/>
                <w:bCs w:val="0"/>
                <w:sz w:val="20"/>
                <w:szCs w:val="20"/>
              </w:rPr>
              <w:t>القسم 7</w:t>
            </w:r>
          </w:p>
        </w:tc>
      </w:tr>
    </w:tbl>
    <w:p>
      <w:pPr>
        <w:spacing w:after="40"/>
      </w:pPr>
    </w:p>
    <w:p>
      <w:pPr>
        <w:pStyle w:val="Heading1"/>
        <w:bidi/>
      </w:pPr>
      <w:r>
        <w:rPr>
          <w:rFonts w:ascii="Arial" w:hAnsi="Arial" w:cs="Arial" w:eastAsia="Arial"/>
          <w:b w:val="0"/>
          <w:bCs w:val="0"/>
        </w:rPr>
        <w:t>5. مقتطف عقد مركز العمليات المُدار (EV-TP-01)</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الأطراف</w:t>
            </w:r>
          </w:p>
        </w:tc>
        <w:tc>
          <w:tcPr>
            <w:tcW w:type="dxa" w:w="7370"/>
          </w:tcPr>
          <w:p>
            <w:pPr>
              <w:bidi/>
              <w:spacing w:after="20" w:line="252" w:lineRule="auto"/>
            </w:pPr>
            <w:r/>
            <w:r>
              <w:rPr>
                <w:rFonts w:ascii="Arial" w:hAnsi="Arial" w:cs="Arial" w:eastAsia="Arial"/>
                <w:b w:val="0"/>
                <w:bCs w:val="0"/>
                <w:sz w:val="20"/>
                <w:szCs w:val="20"/>
              </w:rPr>
              <w:t>عبدالإله المرزوقي عن الجهة، وشركة نطاق اليقظة للخدمات الأمنية المُدارة (افتراضية)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رقم العقد</w:t>
            </w:r>
          </w:p>
        </w:tc>
        <w:tc>
          <w:tcPr>
            <w:tcW w:type="dxa" w:w="7370"/>
          </w:tcPr>
          <w:p>
            <w:pPr>
              <w:bidi/>
              <w:spacing w:after="20" w:line="252" w:lineRule="auto"/>
            </w:pPr>
            <w:r/>
            <w:r>
              <w:rPr>
                <w:rFonts w:ascii="Arial" w:hAnsi="Arial" w:cs="Arial" w:eastAsia="Arial"/>
                <w:b w:val="0"/>
                <w:bCs w:val="0"/>
                <w:sz w:val="20"/>
                <w:szCs w:val="20"/>
              </w:rPr>
              <w:t>MDR-2026-014</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التوقيع</w:t>
            </w:r>
          </w:p>
        </w:tc>
        <w:tc>
          <w:tcPr>
            <w:tcW w:type="dxa" w:w="7370"/>
          </w:tcPr>
          <w:p>
            <w:pPr>
              <w:bidi/>
              <w:spacing w:after="20" w:line="252" w:lineRule="auto"/>
            </w:pPr>
            <w:r/>
            <w:r>
              <w:rPr>
                <w:rFonts w:ascii="Arial" w:hAnsi="Arial" w:cs="Arial" w:eastAsia="Arial"/>
                <w:b w:val="0"/>
                <w:bCs w:val="0"/>
                <w:sz w:val="20"/>
                <w:szCs w:val="20"/>
              </w:rPr>
              <w:t>‎2026-03-10‎</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مدة العقد</w:t>
            </w:r>
          </w:p>
        </w:tc>
        <w:tc>
          <w:tcPr>
            <w:tcW w:type="dxa" w:w="7370"/>
          </w:tcPr>
          <w:p>
            <w:pPr>
              <w:bidi/>
              <w:spacing w:after="20" w:line="252" w:lineRule="auto"/>
            </w:pPr>
            <w:r/>
            <w:r>
              <w:rPr>
                <w:rFonts w:ascii="Arial" w:hAnsi="Arial" w:cs="Arial" w:eastAsia="Arial"/>
                <w:b w:val="0"/>
                <w:bCs w:val="0"/>
                <w:sz w:val="20"/>
                <w:szCs w:val="20"/>
              </w:rPr>
              <w:t>من ‎2026-04-01‎ إلى ‎2029-03-31‎</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الملاحق</w:t>
            </w:r>
          </w:p>
        </w:tc>
        <w:tc>
          <w:tcPr>
            <w:tcW w:type="dxa" w:w="7370"/>
          </w:tcPr>
          <w:p>
            <w:pPr>
              <w:bidi/>
              <w:spacing w:after="20" w:line="252" w:lineRule="auto"/>
            </w:pPr>
            <w:r/>
            <w:r>
              <w:rPr>
                <w:rFonts w:ascii="Arial" w:hAnsi="Arial" w:cs="Arial" w:eastAsia="Arial"/>
                <w:b w:val="0"/>
                <w:bCs w:val="0"/>
                <w:sz w:val="20"/>
                <w:szCs w:val="20"/>
              </w:rPr>
              <w:t>ملحق (أ) نطاق العمل الفني، ملحق (ب) الأسعار</w:t>
            </w:r>
          </w:p>
        </w:tc>
      </w:tr>
    </w:tbl>
    <w:p>
      <w:pPr>
        <w:spacing w:after="40"/>
      </w:pP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7: السرية</w:t>
            </w:r>
          </w:p>
        </w:tc>
        <w:tc>
          <w:tcPr>
            <w:tcW w:type="dxa" w:w="7370"/>
          </w:tcPr>
          <w:p>
            <w:pPr>
              <w:bidi/>
              <w:spacing w:after="20" w:line="252" w:lineRule="auto"/>
            </w:pPr>
            <w:r/>
            <w:r>
              <w:rPr>
                <w:rFonts w:ascii="Arial" w:hAnsi="Arial" w:cs="Arial" w:eastAsia="Arial"/>
                <w:b w:val="0"/>
                <w:bCs w:val="0"/>
                <w:sz w:val="20"/>
                <w:szCs w:val="20"/>
              </w:rPr>
              <w:t>يلتزم مقدم الخدمة بالمحافظة على سرية جميع المعلومات التي يطلع عليها بحكم تنفيذ هذا العقد، وعدم إفشائها للغير، طوال مدة سريان العقد.</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8: التقارير والإبلاغ</w:t>
            </w:r>
          </w:p>
        </w:tc>
        <w:tc>
          <w:tcPr>
            <w:tcW w:type="dxa" w:w="7370"/>
          </w:tcPr>
          <w:p>
            <w:pPr>
              <w:bidi/>
              <w:spacing w:after="20" w:line="252" w:lineRule="auto"/>
            </w:pPr>
            <w:r/>
            <w:r>
              <w:rPr>
                <w:rFonts w:ascii="Arial" w:hAnsi="Arial" w:cs="Arial" w:eastAsia="Arial"/>
                <w:b w:val="0"/>
                <w:bCs w:val="0"/>
                <w:sz w:val="20"/>
                <w:szCs w:val="20"/>
              </w:rPr>
              <w:t>يقدم مقدم الخدمة تقريراً شهرياً يتضمن ملخص التنبيهات والحوادث المكتشفة خلال الشهر والإجراءات المتخذة، خلال العشرة أيام الأولى من الشهر التالي.</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9: المعايير والسياسات</w:t>
            </w:r>
          </w:p>
        </w:tc>
        <w:tc>
          <w:tcPr>
            <w:tcW w:type="dxa" w:w="7370"/>
          </w:tcPr>
          <w:p>
            <w:pPr>
              <w:bidi/>
              <w:spacing w:after="20" w:line="252" w:lineRule="auto"/>
            </w:pPr>
            <w:r/>
            <w:r>
              <w:rPr>
                <w:rFonts w:ascii="Arial" w:hAnsi="Arial" w:cs="Arial" w:eastAsia="Arial"/>
                <w:b w:val="0"/>
                <w:bCs w:val="0"/>
                <w:sz w:val="20"/>
                <w:szCs w:val="20"/>
              </w:rPr>
              <w:t>يقدم مقدم الخدمة الخدمات وفقاً لسياساته وإجراءاته الداخلية المعتمدة لديه وأفضل الممارسات الدولية.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10: مكان تقديم الخدمة</w:t>
            </w:r>
          </w:p>
        </w:tc>
        <w:tc>
          <w:tcPr>
            <w:tcW w:type="dxa" w:w="7370"/>
          </w:tcPr>
          <w:p>
            <w:pPr>
              <w:bidi/>
              <w:spacing w:after="20" w:line="252" w:lineRule="auto"/>
            </w:pPr>
            <w:r/>
            <w:r>
              <w:rPr>
                <w:rFonts w:ascii="Arial" w:hAnsi="Arial" w:cs="Arial" w:eastAsia="Arial"/>
                <w:b w:val="0"/>
                <w:bCs w:val="0"/>
                <w:sz w:val="20"/>
                <w:szCs w:val="20"/>
              </w:rPr>
              <w:t>تُقدَّم الخدمة من مركز العمليات الرئيسي لمقدم الخدمة في مدينة الرياض. ويجوز لمقدم الخدمة الاستعانة بفرق الدعم التابعة لمجموعته لضمان استمرارية الخدمة على مدار الساعة.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11: الوصول</w:t>
            </w:r>
          </w:p>
        </w:tc>
        <w:tc>
          <w:tcPr>
            <w:tcW w:type="dxa" w:w="7370"/>
          </w:tcPr>
          <w:p>
            <w:pPr>
              <w:bidi/>
              <w:spacing w:after="20" w:line="252" w:lineRule="auto"/>
            </w:pPr>
            <w:r/>
            <w:r>
              <w:rPr>
                <w:rFonts w:ascii="Arial" w:hAnsi="Arial" w:cs="Arial" w:eastAsia="Arial"/>
                <w:b w:val="0"/>
                <w:bCs w:val="0"/>
                <w:sz w:val="20"/>
                <w:szCs w:val="20"/>
              </w:rPr>
              <w:t>تمنح الجهة مقدم الخدمة وصولاً عن بعد عبر الشبكة الافتراضية الخاصة إلى منصة SIEM لدى الجهة لأغراض المراقبة والتحليل وضبط قواعد الكشف.</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12: التعاقد من الباطن</w:t>
            </w:r>
          </w:p>
        </w:tc>
        <w:tc>
          <w:tcPr>
            <w:tcW w:type="dxa" w:w="7370"/>
          </w:tcPr>
          <w:p>
            <w:pPr>
              <w:bidi/>
              <w:spacing w:after="20" w:line="252" w:lineRule="auto"/>
            </w:pPr>
            <w:r/>
            <w:r>
              <w:rPr>
                <w:rFonts w:ascii="Arial" w:hAnsi="Arial" w:cs="Arial" w:eastAsia="Arial"/>
                <w:b w:val="0"/>
                <w:bCs w:val="0"/>
                <w:sz w:val="20"/>
                <w:szCs w:val="20"/>
              </w:rPr>
              <w:t>يجوز لمقدم الخدمة الاستعانة بمقاولين من الباطن لتنفيذ أجزاء من الخدمة، ويظل مسؤولاً أمام الجهة عن أعمالهم.</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13: مستوى الخدمة</w:t>
            </w:r>
          </w:p>
        </w:tc>
        <w:tc>
          <w:tcPr>
            <w:tcW w:type="dxa" w:w="7370"/>
          </w:tcPr>
          <w:p>
            <w:pPr>
              <w:bidi/>
              <w:spacing w:after="20" w:line="252" w:lineRule="auto"/>
            </w:pPr>
            <w:r/>
            <w:r>
              <w:rPr>
                <w:rFonts w:ascii="Arial" w:hAnsi="Arial" w:cs="Arial" w:eastAsia="Arial"/>
                <w:b w:val="0"/>
                <w:bCs w:val="0"/>
                <w:sz w:val="20"/>
                <w:szCs w:val="20"/>
              </w:rPr>
              <w:t>زمن استجابة المحلل للتنبيهات الحرجة داخل مركز العمليات: 30 دقيقة. نسبة توفر الخدمة الشهرية: 99.5%.</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14: انتهاء العقد</w:t>
            </w:r>
          </w:p>
        </w:tc>
        <w:tc>
          <w:tcPr>
            <w:tcW w:type="dxa" w:w="7370"/>
          </w:tcPr>
          <w:p>
            <w:pPr>
              <w:bidi/>
              <w:spacing w:after="20" w:line="252" w:lineRule="auto"/>
            </w:pPr>
            <w:r/>
            <w:r>
              <w:rPr>
                <w:rFonts w:ascii="Arial" w:hAnsi="Arial" w:cs="Arial" w:eastAsia="Arial"/>
                <w:b w:val="0"/>
                <w:bCs w:val="0"/>
                <w:sz w:val="20"/>
                <w:szCs w:val="20"/>
              </w:rPr>
              <w:t>عند انتهاء العقد يسلّم مقدم الخدمة للجهة التقارير النهائية وقواعد الكشف التي طورها خلال مدة العقد.</w:t>
            </w:r>
          </w:p>
        </w:tc>
      </w:tr>
    </w:tbl>
    <w:p>
      <w:pPr>
        <w:spacing w:after="40"/>
      </w:pPr>
    </w:p>
    <w:p>
      <w:pPr>
        <w:pStyle w:val="Heading1"/>
        <w:bidi/>
      </w:pPr>
      <w:r>
        <w:rPr>
          <w:rFonts w:ascii="Arial" w:hAnsi="Arial" w:cs="Arial" w:eastAsia="Arial"/>
          <w:b w:val="0"/>
          <w:bCs w:val="0"/>
        </w:rPr>
        <w:t>6. مقتطف عقد الاستضافة السحابية (EV-TP-02)</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الأطراف</w:t>
            </w:r>
          </w:p>
        </w:tc>
        <w:tc>
          <w:tcPr>
            <w:tcW w:type="dxa" w:w="7370"/>
          </w:tcPr>
          <w:p>
            <w:pPr>
              <w:bidi/>
              <w:spacing w:after="20" w:line="252" w:lineRule="auto"/>
            </w:pPr>
            <w:r/>
            <w:r>
              <w:rPr>
                <w:rFonts w:ascii="Arial" w:hAnsi="Arial" w:cs="Arial" w:eastAsia="Arial"/>
                <w:b w:val="0"/>
                <w:bCs w:val="0"/>
                <w:sz w:val="20"/>
                <w:szCs w:val="20"/>
              </w:rPr>
              <w:t>عبدالإله المرزوقي عن الجهة، وشركة سحابة الأفق للاستضافة (افتراضية)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رقم العقد</w:t>
            </w:r>
          </w:p>
        </w:tc>
        <w:tc>
          <w:tcPr>
            <w:tcW w:type="dxa" w:w="7370"/>
          </w:tcPr>
          <w:p>
            <w:pPr>
              <w:bidi/>
              <w:spacing w:after="20" w:line="252" w:lineRule="auto"/>
            </w:pPr>
            <w:r/>
            <w:r>
              <w:rPr>
                <w:rFonts w:ascii="Arial" w:hAnsi="Arial" w:cs="Arial" w:eastAsia="Arial"/>
                <w:b w:val="0"/>
                <w:bCs w:val="0"/>
                <w:sz w:val="20"/>
                <w:szCs w:val="20"/>
              </w:rPr>
              <w:t>HOST-2025-031</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التوقيع</w:t>
            </w:r>
          </w:p>
        </w:tc>
        <w:tc>
          <w:tcPr>
            <w:tcW w:type="dxa" w:w="7370"/>
          </w:tcPr>
          <w:p>
            <w:pPr>
              <w:bidi/>
              <w:spacing w:after="20" w:line="252" w:lineRule="auto"/>
            </w:pPr>
            <w:r/>
            <w:r>
              <w:rPr>
                <w:rFonts w:ascii="Arial" w:hAnsi="Arial" w:cs="Arial" w:eastAsia="Arial"/>
                <w:b w:val="0"/>
                <w:bCs w:val="0"/>
                <w:sz w:val="20"/>
                <w:szCs w:val="20"/>
              </w:rPr>
              <w:t>‎2025-11-05‎</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مدة العقد</w:t>
            </w:r>
          </w:p>
        </w:tc>
        <w:tc>
          <w:tcPr>
            <w:tcW w:type="dxa" w:w="7370"/>
          </w:tcPr>
          <w:p>
            <w:pPr>
              <w:bidi/>
              <w:spacing w:after="20" w:line="252" w:lineRule="auto"/>
            </w:pPr>
            <w:r/>
            <w:r>
              <w:rPr>
                <w:rFonts w:ascii="Arial" w:hAnsi="Arial" w:cs="Arial" w:eastAsia="Arial"/>
                <w:b w:val="0"/>
                <w:bCs w:val="0"/>
                <w:sz w:val="20"/>
                <w:szCs w:val="20"/>
              </w:rPr>
              <w:t>من ‎2025-12-01‎ إلى ‎2028-11-30‎</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الملاحق</w:t>
            </w:r>
          </w:p>
        </w:tc>
        <w:tc>
          <w:tcPr>
            <w:tcW w:type="dxa" w:w="7370"/>
          </w:tcPr>
          <w:p>
            <w:pPr>
              <w:bidi/>
              <w:spacing w:after="20" w:line="252" w:lineRule="auto"/>
            </w:pPr>
            <w:r/>
            <w:r>
              <w:rPr>
                <w:rFonts w:ascii="Arial" w:hAnsi="Arial" w:cs="Arial" w:eastAsia="Arial"/>
                <w:b w:val="0"/>
                <w:bCs w:val="0"/>
                <w:sz w:val="20"/>
                <w:szCs w:val="20"/>
              </w:rPr>
              <w:t>ملحق (أ) المواصفات، ملحق (ب) سياسات الأمن السيبراني للجهة، ملحق (ج) مصفوفة التواصل</w:t>
            </w:r>
          </w:p>
        </w:tc>
      </w:tr>
    </w:tbl>
    <w:p>
      <w:pPr>
        <w:spacing w:after="40"/>
      </w:pP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6: السرية</w:t>
            </w:r>
          </w:p>
        </w:tc>
        <w:tc>
          <w:tcPr>
            <w:tcW w:type="dxa" w:w="7370"/>
          </w:tcPr>
          <w:p>
            <w:pPr>
              <w:bidi/>
              <w:spacing w:after="20" w:line="252" w:lineRule="auto"/>
            </w:pPr>
            <w:r/>
            <w:r>
              <w:rPr>
                <w:rFonts w:ascii="Arial" w:hAnsi="Arial" w:cs="Arial" w:eastAsia="Arial"/>
                <w:b w:val="0"/>
                <w:bCs w:val="0"/>
                <w:sz w:val="20"/>
                <w:szCs w:val="20"/>
              </w:rPr>
              <w:t>يلتزم مقدم الخدمة ومنسوبوه ومقاولوه بالمحافظة على سرية معلومات الجهة خلال مدة العقد وبعد انتهائه أو إنهائه لمدة خمس سنوات.</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7: انتهاء الخدمة</w:t>
            </w:r>
          </w:p>
        </w:tc>
        <w:tc>
          <w:tcPr>
            <w:tcW w:type="dxa" w:w="7370"/>
          </w:tcPr>
          <w:p>
            <w:pPr>
              <w:bidi/>
              <w:spacing w:after="20" w:line="252" w:lineRule="auto"/>
            </w:pPr>
            <w:r/>
            <w:r>
              <w:rPr>
                <w:rFonts w:ascii="Arial" w:hAnsi="Arial" w:cs="Arial" w:eastAsia="Arial"/>
                <w:b w:val="0"/>
                <w:bCs w:val="0"/>
                <w:sz w:val="20"/>
                <w:szCs w:val="20"/>
              </w:rPr>
              <w:t>عند انتهاء الخدمة يعيد مقدم الخدمة بيانات الجهة بصيغة قابلة للاستخدام خلال 15 يوماً، ثم يحذفها حذفاً آمناً من جميع أنظمته ونسخه الاحتياطية خلال 30 يوماً، ويقدم شهادة حذف موقعة.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8: الحوادث</w:t>
            </w:r>
          </w:p>
        </w:tc>
        <w:tc>
          <w:tcPr>
            <w:tcW w:type="dxa" w:w="7370"/>
          </w:tcPr>
          <w:p>
            <w:pPr>
              <w:bidi/>
              <w:spacing w:after="20" w:line="252" w:lineRule="auto"/>
            </w:pPr>
            <w:r/>
            <w:r>
              <w:rPr>
                <w:rFonts w:ascii="Arial" w:hAnsi="Arial" w:cs="Arial" w:eastAsia="Arial"/>
                <w:b w:val="0"/>
                <w:bCs w:val="0"/>
                <w:sz w:val="20"/>
                <w:szCs w:val="20"/>
              </w:rPr>
              <w:t>يبلغ مقدم الخدمة الإدارة العامة للأمن السيبراني في الجهة بأي حادثة أمن سيبراني تمس بيانات الجهة أو خدماتها فور اكتشافها وبحد أقصى 24 ساعة، هاتفياً وبالبريد الإلكتروني وفق مصفوفة التواصل في الملحق (ج).</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9: السياسات</w:t>
            </w:r>
          </w:p>
        </w:tc>
        <w:tc>
          <w:tcPr>
            <w:tcW w:type="dxa" w:w="7370"/>
          </w:tcPr>
          <w:p>
            <w:pPr>
              <w:bidi/>
              <w:spacing w:after="20" w:line="252" w:lineRule="auto"/>
            </w:pPr>
            <w:r/>
            <w:r>
              <w:rPr>
                <w:rFonts w:ascii="Arial" w:hAnsi="Arial" w:cs="Arial" w:eastAsia="Arial"/>
                <w:b w:val="0"/>
                <w:bCs w:val="0"/>
                <w:sz w:val="20"/>
                <w:szCs w:val="20"/>
              </w:rPr>
              <w:t>يلتزم مقدم الخدمة بتطبيق متطلبات وسياسات الأمن السيبراني للجهة المرفقة في الملحق (ب)، والمتطلبات التشريعية والتنظيمية ذات العلاقة.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10: البيئة والموقع</w:t>
            </w:r>
          </w:p>
        </w:tc>
        <w:tc>
          <w:tcPr>
            <w:tcW w:type="dxa" w:w="7370"/>
          </w:tcPr>
          <w:p>
            <w:pPr>
              <w:bidi/>
              <w:spacing w:after="20" w:line="252" w:lineRule="auto"/>
            </w:pPr>
            <w:r/>
            <w:r>
              <w:rPr>
                <w:rFonts w:ascii="Arial" w:hAnsi="Arial" w:cs="Arial" w:eastAsia="Arial"/>
                <w:b w:val="0"/>
                <w:bCs w:val="0"/>
                <w:sz w:val="20"/>
                <w:szCs w:val="20"/>
              </w:rPr>
              <w:t>تُستضاف بيئة الجهة في بيئة افتراضية مخصصة ومعزولة منطقياً عن بيئات العملاء الآخرين، في مراكز بيانات مقدم الخدمة داخل المملكة.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11: التدقيق</w:t>
            </w:r>
          </w:p>
        </w:tc>
        <w:tc>
          <w:tcPr>
            <w:tcW w:type="dxa" w:w="7370"/>
          </w:tcPr>
          <w:p>
            <w:pPr>
              <w:bidi/>
              <w:spacing w:after="20" w:line="252" w:lineRule="auto"/>
            </w:pPr>
            <w:r/>
            <w:r>
              <w:rPr>
                <w:rFonts w:ascii="Arial" w:hAnsi="Arial" w:cs="Arial" w:eastAsia="Arial"/>
                <w:b w:val="0"/>
                <w:bCs w:val="0"/>
                <w:sz w:val="20"/>
                <w:szCs w:val="20"/>
              </w:rPr>
              <w:t>يحق للجهة أو من تفوضه مراجعة التزام مقدم الخدمة بمتطلبات الأمن السيبراني مرة سنوياً على الأقل، بإشعار مسبق مدته 15 يوماً.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البند 12: التعاقد من الباطن</w:t>
            </w:r>
          </w:p>
        </w:tc>
        <w:tc>
          <w:tcPr>
            <w:tcW w:type="dxa" w:w="7370"/>
          </w:tcPr>
          <w:p>
            <w:pPr>
              <w:bidi/>
              <w:spacing w:after="20" w:line="252" w:lineRule="auto"/>
            </w:pPr>
            <w:r/>
            <w:r>
              <w:rPr>
                <w:rFonts w:ascii="Arial" w:hAnsi="Arial" w:cs="Arial" w:eastAsia="Arial"/>
                <w:b w:val="0"/>
                <w:bCs w:val="0"/>
                <w:sz w:val="20"/>
                <w:szCs w:val="20"/>
              </w:rPr>
              <w:t>لا يجوز لمقدم الخدمة التعاقد من الباطن في أي جزء من الخدمة إلا بموافقة كتابية مسبقة من الجهة.</w:t>
            </w:r>
          </w:p>
        </w:tc>
      </w:tr>
    </w:tbl>
    <w:p>
      <w:pPr>
        <w:spacing w:after="40"/>
      </w:pPr>
    </w:p>
    <w:p>
      <w:pPr>
        <w:pStyle w:val="Heading1"/>
        <w:bidi/>
      </w:pPr>
      <w:r>
        <w:rPr>
          <w:rFonts w:ascii="Arial" w:hAnsi="Arial" w:cs="Arial" w:eastAsia="Arial"/>
          <w:b w:val="0"/>
          <w:bCs w:val="0"/>
        </w:rPr>
        <w:t>7. تقييما مخاطر الطرف الخارجي (EV-TP-07 وEV-TP-08)</w:t>
      </w:r>
    </w:p>
    <w:p>
      <w:pPr>
        <w:keepNext/>
        <w:bidi/>
      </w:pPr>
      <w:r>
        <w:rPr>
          <w:rFonts w:ascii="Arial" w:hAnsi="Arial" w:cs="Arial" w:eastAsia="Arial"/>
          <w:b w:val="1"/>
          <w:bCs w:val="1"/>
        </w:rPr>
        <w:t>تقييم مركز العمليات المُدار:</w:t>
      </w:r>
    </w:p>
    <w:tbl>
      <w:tblPr>
        <w:tblStyle w:val="TableGrid"/>
        <w:bidiVisual/>
        <w:tblW w:type="dxa" w:w="9637"/>
        <w:jc w:val="center"/>
        <w:tblLayout w:type="fixed"/>
        <w:tblLook w:firstColumn="1" w:firstRow="1" w:lastColumn="0" w:lastRow="0" w:noHBand="0" w:noVBand="1" w:val="04A0"/>
      </w:tblPr>
      <w:tblGrid>
        <w:gridCol w:w="2551"/>
        <w:gridCol w:w="7086"/>
      </w:tblGrid>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رقم التقييم</w:t>
            </w:r>
          </w:p>
        </w:tc>
        <w:tc>
          <w:tcPr>
            <w:tcW w:type="dxa" w:w="7087"/>
          </w:tcPr>
          <w:p>
            <w:pPr>
              <w:bidi/>
              <w:spacing w:after="20" w:line="252" w:lineRule="auto"/>
            </w:pPr>
            <w:r/>
            <w:r>
              <w:rPr>
                <w:rFonts w:ascii="Arial" w:hAnsi="Arial" w:cs="Arial" w:eastAsia="Arial"/>
                <w:b w:val="0"/>
                <w:bCs w:val="0"/>
                <w:sz w:val="20"/>
                <w:szCs w:val="20"/>
              </w:rPr>
              <w:t>RA-TP-2026-03</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الطرف الخارجي والخدمة</w:t>
            </w:r>
          </w:p>
        </w:tc>
        <w:tc>
          <w:tcPr>
            <w:tcW w:type="dxa" w:w="7087"/>
          </w:tcPr>
          <w:p>
            <w:pPr>
              <w:bidi/>
              <w:spacing w:after="20" w:line="252" w:lineRule="auto"/>
            </w:pPr>
            <w:r/>
            <w:r>
              <w:rPr>
                <w:rFonts w:ascii="Arial" w:hAnsi="Arial" w:cs="Arial" w:eastAsia="Arial"/>
                <w:b w:val="0"/>
                <w:bCs w:val="0"/>
                <w:sz w:val="20"/>
                <w:szCs w:val="20"/>
              </w:rPr>
              <w:t>شركة نطاق اليقظة للخدمات الأمنية المُدارة (افتراضية) — مركز عمليات أمن سيبراني مُدار (مراقبة وتحليل التنبيهات 24/7 على منصة SIEM لدى الجهة عبر الوصول عن بعد)</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تاريخ التقييم</w:t>
            </w:r>
          </w:p>
        </w:tc>
        <w:tc>
          <w:tcPr>
            <w:tcW w:type="dxa" w:w="7087"/>
          </w:tcPr>
          <w:p>
            <w:pPr>
              <w:bidi/>
              <w:spacing w:after="20" w:line="252" w:lineRule="auto"/>
            </w:pPr>
            <w:r/>
            <w:r>
              <w:rPr>
                <w:rFonts w:ascii="Arial" w:hAnsi="Arial" w:cs="Arial" w:eastAsia="Arial"/>
                <w:b w:val="0"/>
                <w:bCs w:val="0"/>
                <w:sz w:val="20"/>
                <w:szCs w:val="20"/>
              </w:rPr>
              <w:t>‎2026-04-22‎</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أعده / اعتمده</w:t>
            </w:r>
          </w:p>
        </w:tc>
        <w:tc>
          <w:tcPr>
            <w:tcW w:type="dxa" w:w="7087"/>
          </w:tcPr>
          <w:p>
            <w:pPr>
              <w:bidi/>
              <w:spacing w:after="20" w:line="252" w:lineRule="auto"/>
            </w:pPr>
            <w:r/>
            <w:r>
              <w:rPr>
                <w:rFonts w:ascii="Arial" w:hAnsi="Arial" w:cs="Arial" w:eastAsia="Arial"/>
                <w:b w:val="0"/>
                <w:bCs w:val="0"/>
                <w:sz w:val="20"/>
                <w:szCs w:val="20"/>
              </w:rPr>
              <w:t>ريم الحربي / م. نوال الشهري (اعتماد ‎2026-04-28‎)</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مصادر المعلومات</w:t>
            </w:r>
          </w:p>
        </w:tc>
        <w:tc>
          <w:tcPr>
            <w:tcW w:type="dxa" w:w="7087"/>
          </w:tcPr>
          <w:p>
            <w:pPr>
              <w:bidi/>
              <w:spacing w:after="20" w:line="252" w:lineRule="auto"/>
            </w:pPr>
            <w:r/>
            <w:r>
              <w:rPr>
                <w:rFonts w:ascii="Arial" w:hAnsi="Arial" w:cs="Arial" w:eastAsia="Arial"/>
                <w:b w:val="0"/>
                <w:bCs w:val="0"/>
                <w:sz w:val="20"/>
                <w:szCs w:val="20"/>
              </w:rPr>
              <w:t>إجابات استبيان المورد بتاريخ ‎2026-04-15‎، وشهادة ISO/IEC 27001 للمورد</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موقع تقديم الخدمة كما سُجل</w:t>
            </w:r>
          </w:p>
        </w:tc>
        <w:tc>
          <w:tcPr>
            <w:tcW w:type="dxa" w:w="7087"/>
          </w:tcPr>
          <w:p>
            <w:pPr>
              <w:bidi/>
              <w:spacing w:after="20" w:line="252" w:lineRule="auto"/>
            </w:pPr>
            <w:r/>
            <w:r>
              <w:rPr>
                <w:rFonts w:ascii="Arial" w:hAnsi="Arial" w:cs="Arial" w:eastAsia="Arial"/>
                <w:b w:val="0"/>
                <w:bCs w:val="0"/>
                <w:sz w:val="20"/>
                <w:szCs w:val="20"/>
              </w:rPr>
              <w:t>الرياض</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المخاطر المحددة</w:t>
            </w:r>
          </w:p>
        </w:tc>
        <w:tc>
          <w:tcPr>
            <w:tcW w:type="dxa" w:w="7087"/>
          </w:tcPr>
          <w:p>
            <w:pPr>
              <w:bidi/>
              <w:spacing w:after="20" w:line="252" w:lineRule="auto"/>
            </w:pPr>
            <w:r/>
            <w:r>
              <w:rPr>
                <w:rFonts w:ascii="Arial" w:hAnsi="Arial" w:cs="Arial" w:eastAsia="Arial"/>
                <w:b w:val="0"/>
                <w:bCs w:val="0"/>
                <w:sz w:val="20"/>
                <w:szCs w:val="20"/>
              </w:rPr>
              <w:t>(1) وصول المورد عن بعد إلى SIEM — متوسط — المعالجة: VPN بتحقق متعدد العوامل.</w:t>
            </w:r>
          </w:p>
          <w:p>
            <w:pPr>
              <w:bidi/>
              <w:spacing w:after="20" w:line="252" w:lineRule="auto"/>
            </w:pPr>
            <w:r>
              <w:rPr>
                <w:rFonts w:ascii="Arial" w:hAnsi="Arial" w:cs="Arial" w:eastAsia="Arial"/>
                <w:b w:val="0"/>
                <w:bCs w:val="0"/>
                <w:sz w:val="20"/>
                <w:szCs w:val="20"/>
              </w:rPr>
              <w:t>(2) اطلاع المورد على سجلات حساسة — متوسط — المعالجة: بند السرية في العقد.</w:t>
            </w:r>
          </w:p>
          <w:p>
            <w:pPr>
              <w:bidi/>
              <w:spacing w:after="20" w:line="252" w:lineRule="auto"/>
            </w:pPr>
            <w:r>
              <w:rPr>
                <w:rFonts w:ascii="Arial" w:hAnsi="Arial" w:cs="Arial" w:eastAsia="Arial"/>
                <w:b w:val="0"/>
                <w:bCs w:val="0"/>
                <w:sz w:val="20"/>
                <w:szCs w:val="20"/>
              </w:rPr>
              <w:t>(3) انقطاع الخدمة — منخفض — المعالجة: اتفاقية مستوى الخدمة.</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التوصية</w:t>
            </w:r>
          </w:p>
        </w:tc>
        <w:tc>
          <w:tcPr>
            <w:tcW w:type="dxa" w:w="7087"/>
          </w:tcPr>
          <w:p>
            <w:pPr>
              <w:bidi/>
              <w:spacing w:after="20" w:line="252" w:lineRule="auto"/>
            </w:pPr>
            <w:r/>
            <w:r>
              <w:rPr>
                <w:rFonts w:ascii="Arial" w:hAnsi="Arial" w:cs="Arial" w:eastAsia="Arial"/>
                <w:b w:val="0"/>
                <w:bCs w:val="0"/>
                <w:sz w:val="20"/>
                <w:szCs w:val="20"/>
              </w:rPr>
              <w:t>قبول المخاطر المتبقية والاستمرار في التعاقد.</w:t>
            </w:r>
          </w:p>
        </w:tc>
      </w:tr>
    </w:tbl>
    <w:p>
      <w:pPr>
        <w:spacing w:after="40"/>
      </w:pPr>
    </w:p>
    <w:p>
      <w:pPr>
        <w:keepNext/>
        <w:bidi/>
      </w:pPr>
      <w:r>
        <w:rPr>
          <w:rFonts w:ascii="Arial" w:hAnsi="Arial" w:cs="Arial" w:eastAsia="Arial"/>
          <w:b w:val="1"/>
          <w:bCs w:val="1"/>
        </w:rPr>
        <w:t>تقييم الاستضافة السحابية (ملخص):</w:t>
      </w:r>
    </w:p>
    <w:tbl>
      <w:tblPr>
        <w:tblStyle w:val="TableGrid"/>
        <w:bidiVisual/>
        <w:tblW w:type="dxa" w:w="9637"/>
        <w:jc w:val="center"/>
        <w:tblLayout w:type="fixed"/>
        <w:tblLook w:firstColumn="1" w:firstRow="1" w:lastColumn="0" w:lastRow="0" w:noHBand="0" w:noVBand="1" w:val="04A0"/>
      </w:tblPr>
      <w:tblGrid>
        <w:gridCol w:w="2551"/>
        <w:gridCol w:w="7086"/>
      </w:tblGrid>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رقم التقييم</w:t>
            </w:r>
          </w:p>
        </w:tc>
        <w:tc>
          <w:tcPr>
            <w:tcW w:type="dxa" w:w="7087"/>
          </w:tcPr>
          <w:p>
            <w:pPr>
              <w:bidi/>
              <w:spacing w:after="20" w:line="252" w:lineRule="auto"/>
            </w:pPr>
            <w:r/>
            <w:r>
              <w:rPr>
                <w:rFonts w:ascii="Arial" w:hAnsi="Arial" w:cs="Arial" w:eastAsia="Arial"/>
                <w:b w:val="0"/>
                <w:bCs w:val="0"/>
                <w:sz w:val="20"/>
                <w:szCs w:val="20"/>
              </w:rPr>
              <w:t>RA-TP-2025-09</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الطرف الخارجي والخدمة</w:t>
            </w:r>
          </w:p>
        </w:tc>
        <w:tc>
          <w:tcPr>
            <w:tcW w:type="dxa" w:w="7087"/>
          </w:tcPr>
          <w:p>
            <w:pPr>
              <w:bidi/>
              <w:spacing w:after="20" w:line="252" w:lineRule="auto"/>
            </w:pPr>
            <w:r/>
            <w:r>
              <w:rPr>
                <w:rFonts w:ascii="Arial" w:hAnsi="Arial" w:cs="Arial" w:eastAsia="Arial"/>
                <w:b w:val="0"/>
                <w:bCs w:val="0"/>
                <w:sz w:val="20"/>
                <w:szCs w:val="20"/>
              </w:rPr>
              <w:t>شركة سحابة الأفق للاستضافة (افتراضية) — استضافة سحابية (بنية تحتية كخدمة) لبيئة البوابة الإلكترونية وواجهات تطبيق الأجهزة الذكية</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تاريخ التقييم</w:t>
            </w:r>
          </w:p>
        </w:tc>
        <w:tc>
          <w:tcPr>
            <w:tcW w:type="dxa" w:w="7087"/>
          </w:tcPr>
          <w:p>
            <w:pPr>
              <w:bidi/>
              <w:spacing w:after="20" w:line="252" w:lineRule="auto"/>
            </w:pPr>
            <w:r/>
            <w:r>
              <w:rPr>
                <w:rFonts w:ascii="Arial" w:hAnsi="Arial" w:cs="Arial" w:eastAsia="Arial"/>
                <w:b w:val="0"/>
                <w:bCs w:val="0"/>
                <w:sz w:val="20"/>
                <w:szCs w:val="20"/>
              </w:rPr>
              <w:t>‎2025-10-20‎</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أعده / اعتمده</w:t>
            </w:r>
          </w:p>
        </w:tc>
        <w:tc>
          <w:tcPr>
            <w:tcW w:type="dxa" w:w="7087"/>
          </w:tcPr>
          <w:p>
            <w:pPr>
              <w:bidi/>
              <w:spacing w:after="20" w:line="252" w:lineRule="auto"/>
            </w:pPr>
            <w:r/>
            <w:r>
              <w:rPr>
                <w:rFonts w:ascii="Arial" w:hAnsi="Arial" w:cs="Arial" w:eastAsia="Arial"/>
                <w:b w:val="0"/>
                <w:bCs w:val="0"/>
                <w:sz w:val="20"/>
                <w:szCs w:val="20"/>
              </w:rPr>
              <w:t>ريم الحربي / م. نوال الشهري (اعتماد ‎2025-10-27‎)</w:t>
            </w:r>
          </w:p>
        </w:tc>
      </w:tr>
      <w:tr>
        <w:trPr>
          <w:cantSplit/>
        </w:trPr>
        <w:tc>
          <w:tcPr>
            <w:tcW w:type="dxa" w:w="2551"/>
            <w:shd w:val="clear" w:color="auto" w:fill="EEF2F8"/>
          </w:tcPr>
          <w:p>
            <w:pPr>
              <w:bidi/>
              <w:spacing w:after="20" w:line="252" w:lineRule="auto"/>
            </w:pPr>
            <w:r/>
            <w:r>
              <w:rPr>
                <w:rFonts w:ascii="Arial" w:hAnsi="Arial" w:cs="Arial" w:eastAsia="Arial"/>
                <w:b w:val="1"/>
                <w:bCs w:val="1"/>
                <w:sz w:val="20"/>
                <w:szCs w:val="20"/>
              </w:rPr>
              <w:t>التوصية</w:t>
            </w:r>
          </w:p>
        </w:tc>
        <w:tc>
          <w:tcPr>
            <w:tcW w:type="dxa" w:w="7087"/>
          </w:tcPr>
          <w:p>
            <w:pPr>
              <w:bidi/>
              <w:spacing w:after="20" w:line="252" w:lineRule="auto"/>
            </w:pPr>
            <w:r/>
            <w:r>
              <w:rPr>
                <w:rFonts w:ascii="Arial" w:hAnsi="Arial" w:cs="Arial" w:eastAsia="Arial"/>
                <w:b w:val="0"/>
                <w:bCs w:val="0"/>
                <w:sz w:val="20"/>
                <w:szCs w:val="20"/>
              </w:rPr>
              <w:t>المضي في التعاقد بشرط تضمين بنود السرية والحذف والإبلاغ والتدقيق في العقد (تحققت في البنود 6 إلى 12).</w:t>
            </w:r>
          </w:p>
        </w:tc>
      </w:tr>
    </w:tbl>
    <w:p>
      <w:pPr>
        <w:spacing w:after="40"/>
      </w:pPr>
    </w:p>
    <w:p>
      <w:pPr>
        <w:pStyle w:val="Heading1"/>
        <w:bidi/>
      </w:pPr>
      <w:r>
        <w:rPr>
          <w:rFonts w:ascii="Arial" w:hAnsi="Arial" w:cs="Arial" w:eastAsia="Arial"/>
          <w:b w:val="0"/>
          <w:bCs w:val="0"/>
        </w:rPr>
        <w:t>8. خيارات التوصية (للجزء د من القالب)</w:t>
      </w:r>
    </w:p>
    <w:tbl>
      <w:tblPr>
        <w:tblStyle w:val="TableGrid"/>
        <w:bidiVisual/>
        <w:tblW w:type="dxa" w:w="9637"/>
        <w:jc w:val="center"/>
        <w:tblLayout w:type="fixed"/>
        <w:tblLook w:firstColumn="1" w:firstRow="1" w:lastColumn="0" w:lastRow="0" w:noHBand="0" w:noVBand="1" w:val="04A0"/>
      </w:tblPr>
      <w:tblGrid>
        <w:gridCol w:w="1133"/>
        <w:gridCol w:w="8503"/>
      </w:tblGrid>
      <w:tr>
        <w:trPr>
          <w:cantSplit/>
          <w:tblHeader/>
        </w:trPr>
        <w:tc>
          <w:tcPr>
            <w:tcW w:type="dxa" w:w="1134"/>
            <w:shd w:val="clear" w:color="auto" w:fill="D9E2F3"/>
          </w:tcPr>
          <w:p>
            <w:pPr>
              <w:bidi/>
              <w:spacing w:after="20" w:line="252" w:lineRule="auto"/>
            </w:pPr>
            <w:r/>
            <w:r>
              <w:rPr>
                <w:rFonts w:ascii="Arial" w:hAnsi="Arial" w:cs="Arial" w:eastAsia="Arial"/>
                <w:b w:val="1"/>
                <w:bCs w:val="1"/>
                <w:sz w:val="20"/>
                <w:szCs w:val="20"/>
              </w:rPr>
              <w:t>الخيار</w:t>
            </w:r>
          </w:p>
        </w:tc>
        <w:tc>
          <w:tcPr>
            <w:tcW w:type="dxa" w:w="8504"/>
            <w:shd w:val="clear" w:color="auto" w:fill="D9E2F3"/>
          </w:tcPr>
          <w:p>
            <w:pPr>
              <w:bidi/>
              <w:spacing w:after="20" w:line="252" w:lineRule="auto"/>
            </w:pPr>
            <w:r/>
            <w:r>
              <w:rPr>
                <w:rFonts w:ascii="Arial" w:hAnsi="Arial" w:cs="Arial" w:eastAsia="Arial"/>
                <w:b w:val="1"/>
                <w:bCs w:val="1"/>
                <w:sz w:val="20"/>
                <w:szCs w:val="20"/>
              </w:rPr>
              <w:t>الوصف</w:t>
            </w:r>
          </w:p>
        </w:tc>
      </w:tr>
      <w:tr>
        <w:trPr>
          <w:cantSplit/>
        </w:trPr>
        <w:tc>
          <w:tcPr>
            <w:tcW w:type="dxa" w:w="1134"/>
          </w:tcPr>
          <w:p>
            <w:pPr>
              <w:bidi/>
              <w:spacing w:after="20" w:line="252" w:lineRule="auto"/>
            </w:pPr>
            <w:r/>
            <w:r>
              <w:rPr>
                <w:rFonts w:ascii="Arial" w:hAnsi="Arial" w:cs="Arial" w:eastAsia="Arial"/>
                <w:b w:val="0"/>
                <w:bCs w:val="0"/>
                <w:sz w:val="20"/>
                <w:szCs w:val="20"/>
              </w:rPr>
              <w:t>أ</w:t>
            </w:r>
          </w:p>
        </w:tc>
        <w:tc>
          <w:tcPr>
            <w:tcW w:type="dxa" w:w="8504"/>
          </w:tcPr>
          <w:p>
            <w:pPr>
              <w:bidi/>
              <w:spacing w:after="20" w:line="252" w:lineRule="auto"/>
            </w:pPr>
            <w:r/>
            <w:r>
              <w:rPr>
                <w:rFonts w:ascii="Arial" w:hAnsi="Arial" w:cs="Arial" w:eastAsia="Arial"/>
                <w:b w:val="0"/>
                <w:bCs w:val="0"/>
                <w:sz w:val="20"/>
                <w:szCs w:val="20"/>
              </w:rPr>
              <w:t>الاستمرار في العقد دون تعديل.</w:t>
            </w:r>
          </w:p>
        </w:tc>
      </w:tr>
      <w:tr>
        <w:trPr>
          <w:cantSplit/>
        </w:trPr>
        <w:tc>
          <w:tcPr>
            <w:tcW w:type="dxa" w:w="1134"/>
          </w:tcPr>
          <w:p>
            <w:pPr>
              <w:bidi/>
              <w:spacing w:after="20" w:line="252" w:lineRule="auto"/>
            </w:pPr>
            <w:r/>
            <w:r>
              <w:rPr>
                <w:rFonts w:ascii="Arial" w:hAnsi="Arial" w:cs="Arial" w:eastAsia="Arial"/>
                <w:b w:val="0"/>
                <w:bCs w:val="0"/>
                <w:sz w:val="20"/>
                <w:szCs w:val="20"/>
              </w:rPr>
              <w:t>ب</w:t>
            </w:r>
          </w:p>
        </w:tc>
        <w:tc>
          <w:tcPr>
            <w:tcW w:type="dxa" w:w="8504"/>
          </w:tcPr>
          <w:p>
            <w:pPr>
              <w:bidi/>
              <w:spacing w:after="20" w:line="252" w:lineRule="auto"/>
            </w:pPr>
            <w:r/>
            <w:r>
              <w:rPr>
                <w:rFonts w:ascii="Arial" w:hAnsi="Arial" w:cs="Arial" w:eastAsia="Arial"/>
                <w:b w:val="0"/>
                <w:bCs w:val="0"/>
                <w:sz w:val="20"/>
                <w:szCs w:val="20"/>
              </w:rPr>
              <w:t>الاستمرار بشرط تعديل تعاقدي (ملحق) وإجراءات فورية خلال مدة محددة.</w:t>
            </w:r>
          </w:p>
        </w:tc>
      </w:tr>
      <w:tr>
        <w:trPr>
          <w:cantSplit/>
        </w:trPr>
        <w:tc>
          <w:tcPr>
            <w:tcW w:type="dxa" w:w="1134"/>
          </w:tcPr>
          <w:p>
            <w:pPr>
              <w:bidi/>
              <w:spacing w:after="20" w:line="252" w:lineRule="auto"/>
            </w:pPr>
            <w:r/>
            <w:r>
              <w:rPr>
                <w:rFonts w:ascii="Arial" w:hAnsi="Arial" w:cs="Arial" w:eastAsia="Arial"/>
                <w:b w:val="0"/>
                <w:bCs w:val="0"/>
                <w:sz w:val="20"/>
                <w:szCs w:val="20"/>
              </w:rPr>
              <w:t>ج</w:t>
            </w:r>
          </w:p>
        </w:tc>
        <w:tc>
          <w:tcPr>
            <w:tcW w:type="dxa" w:w="8504"/>
          </w:tcPr>
          <w:p>
            <w:pPr>
              <w:bidi/>
              <w:spacing w:after="20" w:line="252" w:lineRule="auto"/>
            </w:pPr>
            <w:r/>
            <w:r>
              <w:rPr>
                <w:rFonts w:ascii="Arial" w:hAnsi="Arial" w:cs="Arial" w:eastAsia="Arial"/>
                <w:b w:val="0"/>
                <w:bCs w:val="0"/>
                <w:sz w:val="20"/>
                <w:szCs w:val="20"/>
              </w:rPr>
              <w:t>إيقاف الخدمة أو إنهاء العقد والبحث عن مورد بديل.</w:t>
            </w:r>
          </w:p>
        </w:tc>
      </w:tr>
    </w:tbl>
    <w:p>
      <w:pPr>
        <w:spacing w:after="40"/>
      </w:pPr>
    </w:p>
    <w:p>
      <w:pPr>
        <w:pStyle w:val="Heading1"/>
        <w:bidi/>
      </w:pPr>
      <w:r>
        <w:rPr>
          <w:rFonts w:ascii="Arial" w:hAnsi="Arial" w:cs="Arial" w:eastAsia="Arial"/>
          <w:b w:val="0"/>
          <w:bCs w:val="0"/>
        </w:rPr>
        <w:t>9. مصطلحات سريعة</w:t>
      </w:r>
    </w:p>
    <w:tbl>
      <w:tblPr>
        <w:tblStyle w:val="TableGrid"/>
        <w:bidiVisual/>
        <w:tblW w:type="dxa" w:w="9637"/>
        <w:jc w:val="center"/>
        <w:tblLayout w:type="fixed"/>
        <w:tblLook w:firstColumn="1" w:firstRow="1" w:lastColumn="0" w:lastRow="0" w:noHBand="0" w:noVBand="1" w:val="04A0"/>
      </w:tblPr>
      <w:tblGrid>
        <w:gridCol w:w="2551"/>
        <w:gridCol w:w="7086"/>
      </w:tblGrid>
      <w:tr>
        <w:trPr>
          <w:cantSplit/>
          <w:tblHeader/>
        </w:trPr>
        <w:tc>
          <w:tcPr>
            <w:tcW w:type="dxa" w:w="2551"/>
            <w:shd w:val="clear" w:color="auto" w:fill="D9E2F3"/>
          </w:tcPr>
          <w:p>
            <w:pPr>
              <w:bidi/>
              <w:spacing w:after="20" w:line="252" w:lineRule="auto"/>
            </w:pPr>
            <w:r/>
            <w:r>
              <w:rPr>
                <w:rFonts w:ascii="Arial" w:hAnsi="Arial" w:cs="Arial" w:eastAsia="Arial"/>
                <w:b w:val="1"/>
                <w:bCs w:val="1"/>
                <w:sz w:val="20"/>
                <w:szCs w:val="20"/>
              </w:rPr>
              <w:t>المصطلح</w:t>
            </w:r>
          </w:p>
        </w:tc>
        <w:tc>
          <w:tcPr>
            <w:tcW w:type="dxa" w:w="7087"/>
            <w:shd w:val="clear" w:color="auto" w:fill="D9E2F3"/>
          </w:tcPr>
          <w:p>
            <w:pPr>
              <w:bidi/>
              <w:spacing w:after="20" w:line="252" w:lineRule="auto"/>
            </w:pPr>
            <w:r/>
            <w:r>
              <w:rPr>
                <w:rFonts w:ascii="Arial" w:hAnsi="Arial" w:cs="Arial" w:eastAsia="Arial"/>
                <w:b w:val="1"/>
                <w:bCs w:val="1"/>
                <w:sz w:val="20"/>
                <w:szCs w:val="20"/>
              </w:rPr>
              <w:t>المعنى</w:t>
            </w:r>
          </w:p>
        </w:tc>
      </w:tr>
      <w:tr>
        <w:trPr>
          <w:cantSplit/>
        </w:trPr>
        <w:tc>
          <w:tcPr>
            <w:tcW w:type="dxa" w:w="2551"/>
          </w:tcPr>
          <w:p>
            <w:pPr>
              <w:bidi/>
              <w:spacing w:after="20" w:line="252" w:lineRule="auto"/>
            </w:pPr>
            <w:r/>
            <w:r>
              <w:rPr>
                <w:rFonts w:ascii="Arial" w:hAnsi="Arial" w:cs="Arial" w:eastAsia="Arial"/>
                <w:b w:val="0"/>
                <w:bCs w:val="0"/>
                <w:sz w:val="20"/>
                <w:szCs w:val="20"/>
              </w:rPr>
              <w:t>الخدمات المدارة / الإسناد</w:t>
            </w:r>
          </w:p>
        </w:tc>
        <w:tc>
          <w:tcPr>
            <w:tcW w:type="dxa" w:w="7087"/>
          </w:tcPr>
          <w:p>
            <w:pPr>
              <w:bidi/>
              <w:spacing w:after="20" w:line="252" w:lineRule="auto"/>
            </w:pPr>
            <w:r/>
            <w:r>
              <w:rPr>
                <w:rFonts w:ascii="Arial" w:hAnsi="Arial" w:cs="Arial" w:eastAsia="Arial"/>
                <w:b w:val="0"/>
                <w:bCs w:val="0"/>
                <w:sz w:val="20"/>
                <w:szCs w:val="20"/>
              </w:rPr>
              <w:t>أن يتولى طرف خارجي تشغيل خدمة أو جزء منها نيابة عن الجهة.</w:t>
            </w:r>
          </w:p>
        </w:tc>
      </w:tr>
      <w:tr>
        <w:trPr>
          <w:cantSplit/>
        </w:trPr>
        <w:tc>
          <w:tcPr>
            <w:tcW w:type="dxa" w:w="2551"/>
          </w:tcPr>
          <w:p>
            <w:pPr>
              <w:bidi/>
              <w:spacing w:after="20" w:line="252" w:lineRule="auto"/>
            </w:pPr>
            <w:r/>
            <w:r>
              <w:rPr>
                <w:rFonts w:ascii="Arial" w:hAnsi="Arial" w:cs="Arial" w:eastAsia="Arial"/>
                <w:b w:val="0"/>
                <w:bCs w:val="0"/>
                <w:sz w:val="20"/>
                <w:szCs w:val="20"/>
              </w:rPr>
              <w:t>مركز العمليات المُدار</w:t>
            </w:r>
          </w:p>
        </w:tc>
        <w:tc>
          <w:tcPr>
            <w:tcW w:type="dxa" w:w="7087"/>
          </w:tcPr>
          <w:p>
            <w:pPr>
              <w:bidi/>
              <w:spacing w:after="20" w:line="252" w:lineRule="auto"/>
            </w:pPr>
            <w:r/>
            <w:r>
              <w:rPr>
                <w:rFonts w:ascii="Arial" w:hAnsi="Arial" w:cs="Arial" w:eastAsia="Arial"/>
                <w:b w:val="0"/>
                <w:bCs w:val="0"/>
                <w:sz w:val="20"/>
                <w:szCs w:val="20"/>
              </w:rPr>
              <w:t>مورد يراقب الأحداث الأمنية للجهة ويحللها ويستجيب لها، غالباً بالوصول عن بعد إلى منصاتها.</w:t>
            </w:r>
          </w:p>
        </w:tc>
      </w:tr>
      <w:tr>
        <w:trPr>
          <w:cantSplit/>
        </w:trPr>
        <w:tc>
          <w:tcPr>
            <w:tcW w:type="dxa" w:w="2551"/>
          </w:tcPr>
          <w:p>
            <w:pPr>
              <w:bidi/>
              <w:spacing w:after="20" w:line="252" w:lineRule="auto"/>
            </w:pPr>
            <w:r/>
            <w:r>
              <w:rPr>
                <w:rFonts w:ascii="Arial" w:hAnsi="Arial" w:cs="Arial" w:eastAsia="Arial"/>
                <w:b w:val="0"/>
                <w:bCs w:val="0"/>
                <w:sz w:val="20"/>
                <w:szCs w:val="20"/>
              </w:rPr>
              <w:t>التعاقد من الباطن</w:t>
            </w:r>
          </w:p>
        </w:tc>
        <w:tc>
          <w:tcPr>
            <w:tcW w:type="dxa" w:w="7087"/>
          </w:tcPr>
          <w:p>
            <w:pPr>
              <w:bidi/>
              <w:spacing w:after="20" w:line="252" w:lineRule="auto"/>
            </w:pPr>
            <w:r/>
            <w:r>
              <w:rPr>
                <w:rFonts w:ascii="Arial" w:hAnsi="Arial" w:cs="Arial" w:eastAsia="Arial"/>
                <w:b w:val="0"/>
                <w:bCs w:val="0"/>
                <w:sz w:val="20"/>
                <w:szCs w:val="20"/>
              </w:rPr>
              <w:t>أن يسند المورد جزءاً من العمل إلى شركة أخرى.</w:t>
            </w:r>
          </w:p>
        </w:tc>
      </w:tr>
      <w:tr>
        <w:trPr>
          <w:cantSplit/>
        </w:trPr>
        <w:tc>
          <w:tcPr>
            <w:tcW w:type="dxa" w:w="2551"/>
          </w:tcPr>
          <w:p>
            <w:pPr>
              <w:bidi/>
              <w:spacing w:after="20" w:line="252" w:lineRule="auto"/>
            </w:pPr>
            <w:r/>
            <w:r>
              <w:rPr>
                <w:rFonts w:ascii="Arial" w:hAnsi="Arial" w:cs="Arial" w:eastAsia="Arial"/>
                <w:b w:val="0"/>
                <w:bCs w:val="0"/>
                <w:sz w:val="20"/>
                <w:szCs w:val="20"/>
              </w:rPr>
              <w:t>حق التدقيق</w:t>
            </w:r>
          </w:p>
        </w:tc>
        <w:tc>
          <w:tcPr>
            <w:tcW w:type="dxa" w:w="7087"/>
          </w:tcPr>
          <w:p>
            <w:pPr>
              <w:bidi/>
              <w:spacing w:after="20" w:line="252" w:lineRule="auto"/>
            </w:pPr>
            <w:r/>
            <w:r>
              <w:rPr>
                <w:rFonts w:ascii="Arial" w:hAnsi="Arial" w:cs="Arial" w:eastAsia="Arial"/>
                <w:b w:val="0"/>
                <w:bCs w:val="0"/>
                <w:sz w:val="20"/>
                <w:szCs w:val="20"/>
              </w:rPr>
              <w:t>بند يسمح للجهة أو لمن تفوضه بالتحقق من التزام المورد بالمتطلبات.</w:t>
            </w:r>
          </w:p>
        </w:tc>
      </w:tr>
      <w:tr>
        <w:trPr>
          <w:cantSplit/>
        </w:trPr>
        <w:tc>
          <w:tcPr>
            <w:tcW w:type="dxa" w:w="2551"/>
          </w:tcPr>
          <w:p>
            <w:pPr>
              <w:bidi/>
              <w:spacing w:after="20" w:line="252" w:lineRule="auto"/>
            </w:pPr>
            <w:r/>
            <w:r>
              <w:rPr>
                <w:rFonts w:ascii="Arial" w:hAnsi="Arial" w:cs="Arial" w:eastAsia="Arial"/>
                <w:b w:val="0"/>
                <w:bCs w:val="0"/>
                <w:sz w:val="20"/>
                <w:szCs w:val="20"/>
              </w:rPr>
              <w:t>الحذف الآمن</w:t>
            </w:r>
          </w:p>
        </w:tc>
        <w:tc>
          <w:tcPr>
            <w:tcW w:type="dxa" w:w="7087"/>
          </w:tcPr>
          <w:p>
            <w:pPr>
              <w:bidi/>
              <w:spacing w:after="20" w:line="252" w:lineRule="auto"/>
            </w:pPr>
            <w:r/>
            <w:r>
              <w:rPr>
                <w:rFonts w:ascii="Arial" w:hAnsi="Arial" w:cs="Arial" w:eastAsia="Arial"/>
                <w:b w:val="0"/>
                <w:bCs w:val="0"/>
                <w:sz w:val="20"/>
                <w:szCs w:val="20"/>
              </w:rPr>
              <w:t>حذف لا يمكن معه استرجاع البيانات، ويشمل النسخ الاحتياطية، ويُثبت عادة بشهادة حذف.</w:t>
            </w:r>
          </w:p>
        </w:tc>
      </w:tr>
    </w:tbl>
    <w:p>
      <w:pPr>
        <w:spacing w:after="40"/>
      </w:pP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التطبيق العملي 03 — الأمن السيبراني المتعلق بالأطراف الخارجية ‎4-1‎ — حالة التطبيق (للمتدرب)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حالة التطبيق 03</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