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eastAsia="Arial"/>
          <w:b w:val="0"/>
          <w:bCs w:val="0"/>
          <w:color w:val="555555"/>
          <w:sz w:val="20"/>
          <w:szCs w:val="20"/>
        </w:rPr>
        <w:t>للمدرب فقط</w:t>
      </w:r>
    </w:p>
    <w:p>
      <w:pPr>
        <w:bidi/>
        <w:spacing w:after="80"/>
        <w:jc w:val="center"/>
      </w:pPr>
      <w:r>
        <w:rPr>
          <w:rFonts w:ascii="Arial" w:hAnsi="Arial" w:cs="Arial" w:eastAsia="Arial"/>
          <w:b w:val="1"/>
          <w:bCs w:val="1"/>
          <w:color w:val="1F3A5F"/>
          <w:sz w:val="40"/>
          <w:szCs w:val="40"/>
        </w:rPr>
        <w:t>الحل النموذجي ومعيار التصحيح — التطبيق 03</w:t>
      </w:r>
    </w:p>
    <w:p>
      <w:pPr>
        <w:bidi/>
        <w:spacing w:after="200"/>
        <w:jc w:val="center"/>
      </w:pPr>
      <w:r>
        <w:rPr>
          <w:rFonts w:ascii="Arial" w:hAnsi="Arial" w:cs="Arial" w:eastAsia="Arial"/>
          <w:b w:val="0"/>
          <w:bCs w:val="0"/>
          <w:color w:val="333333"/>
          <w:sz w:val="24"/>
          <w:szCs w:val="24"/>
        </w:rPr>
        <w:t>الأمن السيبراني المتعلق بالأطراف الخارجية ‎4-1‎</w:t>
      </w:r>
    </w:p>
    <w:p>
      <w:pPr>
        <w:bidi/>
        <w:spacing w:after="240"/>
        <w:jc w:val="center"/>
      </w:pPr>
      <w:r>
        <w:rPr>
          <w:rFonts w:ascii="Arial" w:hAnsi="Arial" w:cs="Arial" w:eastAsia="Arial"/>
          <w:b w:val="1"/>
          <w:bCs w:val="1"/>
          <w:color w:val="A61B1B"/>
          <w:sz w:val="19"/>
          <w:szCs w:val="19"/>
        </w:rPr>
        <w:t>بيانات تدريبية افتراضية — هيئة المدار للخدمات الرقمية (جهة حكومية افتراضية لأغراض التدريب)</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FDECEC"/>
          </w:tcPr>
          <w:p>
            <w:pPr>
              <w:bidi/>
              <w:spacing w:after="40"/>
            </w:pPr>
            <w:r/>
            <w:r>
              <w:rPr>
                <w:rFonts w:ascii="Arial" w:hAnsi="Arial" w:cs="Arial" w:eastAsia="Arial"/>
                <w:b w:val="1"/>
                <w:bCs w:val="1"/>
                <w:sz w:val="21"/>
                <w:szCs w:val="21"/>
              </w:rPr>
              <w:t>تنبيه:</w:t>
            </w:r>
            <w:r>
              <w:rPr>
                <w:rFonts w:ascii="Arial" w:hAnsi="Arial" w:cs="Arial" w:eastAsia="Arial"/>
                <w:b w:val="0"/>
                <w:bCs w:val="0"/>
                <w:sz w:val="21"/>
                <w:szCs w:val="21"/>
              </w:rPr>
              <w:t xml:space="preserve"> </w:t>
            </w:r>
            <w:r>
              <w:rPr>
                <w:rFonts w:ascii="Arial" w:hAnsi="Arial" w:cs="Arial" w:eastAsia="Arial"/>
                <w:b w:val="0"/>
                <w:bCs w:val="0"/>
                <w:sz w:val="21"/>
                <w:szCs w:val="21"/>
              </w:rPr>
              <w:t>هذا الملف للمدرب. الأرقام (فروق التواريخ وتأخر الإبلاغ) محسوبة آلياً من البيانات.</w:t>
            </w:r>
          </w:p>
        </w:tc>
      </w:tr>
    </w:tbl>
    <w:p>
      <w:pPr>
        <w:spacing w:after="40"/>
      </w:pPr>
    </w:p>
    <w:p>
      <w:pPr>
        <w:pStyle w:val="Heading2"/>
        <w:bidi/>
      </w:pPr>
      <w:r>
        <w:rPr>
          <w:rFonts w:ascii="Arial" w:hAnsi="Arial" w:cs="Arial" w:eastAsia="Arial"/>
          <w:b w:val="0"/>
          <w:bCs w:val="0"/>
        </w:rPr>
        <w:t>دليل التسميات المستخدمة في الحل</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blHeader/>
        </w:trPr>
        <w:tc>
          <w:tcPr>
            <w:tcW w:type="dxa" w:w="1984"/>
            <w:shd w:val="clear" w:color="auto" w:fill="D9E2F3"/>
          </w:tcPr>
          <w:p>
            <w:pPr>
              <w:bidi/>
              <w:spacing w:after="20" w:line="252" w:lineRule="auto"/>
            </w:pPr>
            <w:r/>
            <w:r>
              <w:rPr>
                <w:rFonts w:ascii="Arial" w:hAnsi="Arial" w:cs="Arial" w:eastAsia="Arial"/>
                <w:b w:val="1"/>
                <w:bCs w:val="1"/>
                <w:sz w:val="20"/>
                <w:szCs w:val="20"/>
              </w:rPr>
              <w:t>التسمية</w:t>
            </w:r>
          </w:p>
        </w:tc>
        <w:tc>
          <w:tcPr>
            <w:tcW w:type="dxa" w:w="7654"/>
            <w:shd w:val="clear" w:color="auto" w:fill="D9E2F3"/>
          </w:tcPr>
          <w:p>
            <w:pPr>
              <w:bidi/>
              <w:spacing w:after="20" w:line="252" w:lineRule="auto"/>
            </w:pPr>
            <w:r/>
            <w:r>
              <w:rPr>
                <w:rFonts w:ascii="Arial" w:hAnsi="Arial" w:cs="Arial" w:eastAsia="Arial"/>
                <w:b w:val="1"/>
                <w:bCs w:val="1"/>
                <w:sz w:val="20"/>
                <w:szCs w:val="20"/>
              </w:rPr>
              <w:t>المعنى</w:t>
            </w:r>
          </w:p>
        </w:tc>
      </w:tr>
      <w:tr>
        <w:trPr>
          <w:cantSplit/>
        </w:trPr>
        <w:tc>
          <w:tcPr>
            <w:tcW w:type="dxa" w:w="1984"/>
          </w:tcPr>
          <w:p>
            <w:pPr>
              <w:bidi/>
              <w:spacing w:after="20" w:line="252" w:lineRule="auto"/>
            </w:pPr>
            <w:r/>
            <w:r>
              <w:rPr>
                <w:rFonts w:ascii="Arial" w:hAnsi="Arial" w:cs="Arial" w:eastAsia="Arial"/>
                <w:b w:val="1"/>
                <w:bCs w:val="1"/>
                <w:color w:val="1F6F5C"/>
                <w:sz w:val="20"/>
                <w:szCs w:val="20"/>
              </w:rPr>
              <w:t>«متطلب رسمي»</w:t>
            </w:r>
          </w:p>
        </w:tc>
        <w:tc>
          <w:tcPr>
            <w:tcW w:type="dxa" w:w="7654"/>
          </w:tcPr>
          <w:p>
            <w:pPr>
              <w:bidi/>
              <w:spacing w:after="20" w:line="252" w:lineRule="auto"/>
            </w:pPr>
            <w:r/>
            <w:r>
              <w:rPr>
                <w:rFonts w:ascii="Arial" w:hAnsi="Arial" w:cs="Arial" w:eastAsia="Arial"/>
                <w:b w:val="0"/>
                <w:bCs w:val="0"/>
                <w:sz w:val="20"/>
                <w:szCs w:val="20"/>
              </w:rPr>
              <w:t>نص الضابط من وثيقة ECC-2:2024 (النص العربي هو المعتمد). الرمز يُقرأ من اليسار.</w:t>
            </w:r>
          </w:p>
        </w:tc>
      </w:tr>
      <w:tr>
        <w:trPr>
          <w:cantSplit/>
        </w:trPr>
        <w:tc>
          <w:tcPr>
            <w:tcW w:type="dxa" w:w="1984"/>
          </w:tcPr>
          <w:p>
            <w:pPr>
              <w:bidi/>
              <w:spacing w:after="20" w:line="252" w:lineRule="auto"/>
            </w:pPr>
            <w:r/>
            <w:r>
              <w:rPr>
                <w:rFonts w:ascii="Arial" w:hAnsi="Arial" w:cs="Arial" w:eastAsia="Arial"/>
                <w:b w:val="1"/>
                <w:bCs w:val="1"/>
                <w:color w:val="1F6F5C"/>
                <w:sz w:val="20"/>
                <w:szCs w:val="20"/>
              </w:rPr>
              <w:t>«شرح مبسط»</w:t>
            </w:r>
          </w:p>
        </w:tc>
        <w:tc>
          <w:tcPr>
            <w:tcW w:type="dxa" w:w="7654"/>
          </w:tcPr>
          <w:p>
            <w:pPr>
              <w:bidi/>
              <w:spacing w:after="20" w:line="252" w:lineRule="auto"/>
            </w:pPr>
            <w:r/>
            <w:r>
              <w:rPr>
                <w:rFonts w:ascii="Arial" w:hAnsi="Arial" w:cs="Arial" w:eastAsia="Arial"/>
                <w:b w:val="0"/>
                <w:bCs w:val="0"/>
                <w:sz w:val="20"/>
                <w:szCs w:val="20"/>
              </w:rPr>
              <w:t>إعادة صياغة للشرح فقط، لا تحل محل النص الرسمي.</w:t>
            </w:r>
          </w:p>
        </w:tc>
      </w:tr>
      <w:tr>
        <w:trPr>
          <w:cantSplit/>
        </w:trPr>
        <w:tc>
          <w:tcPr>
            <w:tcW w:type="dxa" w:w="1984"/>
          </w:tcPr>
          <w:p>
            <w:pPr>
              <w:bidi/>
              <w:spacing w:after="20" w:line="252" w:lineRule="auto"/>
            </w:pPr>
            <w:r/>
            <w:r>
              <w:rPr>
                <w:rFonts w:ascii="Arial" w:hAnsi="Arial" w:cs="Arial" w:eastAsia="Arial"/>
                <w:b w:val="1"/>
                <w:bCs w:val="1"/>
                <w:color w:val="1F6F5C"/>
                <w:sz w:val="20"/>
                <w:szCs w:val="20"/>
              </w:rPr>
              <w:t>«تطبيق مقترح»</w:t>
            </w:r>
          </w:p>
        </w:tc>
        <w:tc>
          <w:tcPr>
            <w:tcW w:type="dxa" w:w="7654"/>
          </w:tcPr>
          <w:p>
            <w:pPr>
              <w:bidi/>
              <w:spacing w:after="20" w:line="252" w:lineRule="auto"/>
            </w:pPr>
            <w:r/>
            <w:r>
              <w:rPr>
                <w:rFonts w:ascii="Arial" w:hAnsi="Arial" w:cs="Arial" w:eastAsia="Arial"/>
                <w:b w:val="0"/>
                <w:bCs w:val="0"/>
                <w:sz w:val="20"/>
                <w:szCs w:val="20"/>
              </w:rPr>
              <w:t>طريقة تنفيذ أو ممارسة جيدة مقترحة؛ ليست نصاً إلزامياً في الضوابط، ويقبل غيرها إن حققت المتطلب.</w:t>
            </w:r>
          </w:p>
        </w:tc>
      </w:tr>
      <w:tr>
        <w:trPr>
          <w:cantSplit/>
        </w:trPr>
        <w:tc>
          <w:tcPr>
            <w:tcW w:type="dxa" w:w="1984"/>
          </w:tcPr>
          <w:p>
            <w:pPr>
              <w:bidi/>
              <w:spacing w:after="20" w:line="252" w:lineRule="auto"/>
            </w:pPr>
            <w:r/>
            <w:r>
              <w:rPr>
                <w:rFonts w:ascii="Arial" w:hAnsi="Arial" w:cs="Arial" w:eastAsia="Arial"/>
                <w:b w:val="1"/>
                <w:bCs w:val="1"/>
                <w:color w:val="1F6F5C"/>
                <w:sz w:val="20"/>
                <w:szCs w:val="20"/>
              </w:rPr>
              <w:t>«افتراض تدريبي»</w:t>
            </w:r>
          </w:p>
        </w:tc>
        <w:tc>
          <w:tcPr>
            <w:tcW w:type="dxa" w:w="7654"/>
          </w:tcPr>
          <w:p>
            <w:pPr>
              <w:bidi/>
              <w:spacing w:after="20" w:line="252" w:lineRule="auto"/>
            </w:pPr>
            <w:r/>
            <w:r>
              <w:rPr>
                <w:rFonts w:ascii="Arial" w:hAnsi="Arial" w:cs="Arial" w:eastAsia="Arial"/>
                <w:b w:val="0"/>
                <w:bCs w:val="0"/>
                <w:sz w:val="20"/>
                <w:szCs w:val="20"/>
              </w:rPr>
              <w:t>قاعدة وضعناها في سياسة الجهة الافتراضية أو في البيانات لجعل التمرين قابلاً للقياس (مثل مهلة ساعة واحدة).</w:t>
            </w:r>
          </w:p>
        </w:tc>
      </w:tr>
    </w:tbl>
    <w:p>
      <w:pPr>
        <w:spacing w:after="40"/>
      </w:pPr>
    </w:p>
    <w:p>
      <w:pPr>
        <w:pStyle w:val="Heading1"/>
        <w:bidi/>
      </w:pPr>
      <w:r>
        <w:rPr>
          <w:rFonts w:ascii="Arial" w:hAnsi="Arial" w:cs="Arial" w:eastAsia="Arial"/>
          <w:b w:val="0"/>
          <w:bCs w:val="0"/>
        </w:rPr>
        <w:t>أرقام مستخرجة من البيانات</w:t>
      </w:r>
    </w:p>
    <w:tbl>
      <w:tblPr>
        <w:tblStyle w:val="TableGrid"/>
        <w:bidiVisual/>
        <w:tblW w:type="dxa" w:w="9637"/>
        <w:jc w:val="center"/>
        <w:tblLayout w:type="fixed"/>
        <w:tblLook w:firstColumn="1" w:firstRow="1" w:lastColumn="0" w:lastRow="0" w:noHBand="0" w:noVBand="1" w:val="04A0"/>
      </w:tblPr>
      <w:tblGrid>
        <w:gridCol w:w="3401"/>
        <w:gridCol w:w="1814"/>
        <w:gridCol w:w="4422"/>
      </w:tblGrid>
      <w:tr>
        <w:trPr>
          <w:cantSplit/>
          <w:tblHeader/>
        </w:trPr>
        <w:tc>
          <w:tcPr>
            <w:tcW w:type="dxa" w:w="3402"/>
            <w:shd w:val="clear" w:color="auto" w:fill="D9E2F3"/>
          </w:tcPr>
          <w:p>
            <w:pPr>
              <w:bidi/>
              <w:spacing w:after="20" w:line="252" w:lineRule="auto"/>
            </w:pPr>
            <w:r/>
            <w:r>
              <w:rPr>
                <w:rFonts w:ascii="Arial" w:hAnsi="Arial" w:cs="Arial" w:eastAsia="Arial"/>
                <w:b w:val="1"/>
                <w:bCs w:val="1"/>
                <w:sz w:val="19"/>
                <w:szCs w:val="19"/>
              </w:rPr>
              <w:t>المؤشر</w:t>
            </w:r>
          </w:p>
        </w:tc>
        <w:tc>
          <w:tcPr>
            <w:tcW w:type="dxa" w:w="1814"/>
            <w:shd w:val="clear" w:color="auto" w:fill="D9E2F3"/>
          </w:tcPr>
          <w:p>
            <w:pPr>
              <w:bidi/>
              <w:spacing w:after="20" w:line="252" w:lineRule="auto"/>
            </w:pPr>
            <w:r/>
            <w:r>
              <w:rPr>
                <w:rFonts w:ascii="Arial" w:hAnsi="Arial" w:cs="Arial" w:eastAsia="Arial"/>
                <w:b w:val="1"/>
                <w:bCs w:val="1"/>
                <w:sz w:val="19"/>
                <w:szCs w:val="19"/>
              </w:rPr>
              <w:t>القيمة</w:t>
            </w:r>
          </w:p>
        </w:tc>
        <w:tc>
          <w:tcPr>
            <w:tcW w:type="dxa" w:w="4422"/>
            <w:shd w:val="clear" w:color="auto" w:fill="D9E2F3"/>
          </w:tcPr>
          <w:p>
            <w:pPr>
              <w:bidi/>
              <w:spacing w:after="20" w:line="252" w:lineRule="auto"/>
            </w:pPr>
            <w:r/>
            <w:r>
              <w:rPr>
                <w:rFonts w:ascii="Arial" w:hAnsi="Arial" w:cs="Arial" w:eastAsia="Arial"/>
                <w:b w:val="1"/>
                <w:bCs w:val="1"/>
                <w:sz w:val="19"/>
                <w:szCs w:val="19"/>
              </w:rPr>
              <w:t>التفاصيل والمصدر</w:t>
            </w:r>
          </w:p>
        </w:tc>
      </w:tr>
      <w:tr>
        <w:trPr>
          <w:cantSplit/>
        </w:trPr>
        <w:tc>
          <w:tcPr>
            <w:tcW w:type="dxa" w:w="3402"/>
          </w:tcPr>
          <w:p>
            <w:pPr>
              <w:bidi/>
              <w:spacing w:after="20" w:line="252" w:lineRule="auto"/>
            </w:pPr>
            <w:r/>
            <w:r>
              <w:rPr>
                <w:rFonts w:ascii="Arial" w:hAnsi="Arial" w:cs="Arial" w:eastAsia="Arial"/>
                <w:b w:val="0"/>
                <w:bCs w:val="0"/>
                <w:sz w:val="19"/>
                <w:szCs w:val="19"/>
              </w:rPr>
              <w:t>الفرق بين توقيع عقد MDR-2026-014 وتقييم المخاطر</w:t>
            </w:r>
          </w:p>
        </w:tc>
        <w:tc>
          <w:tcPr>
            <w:tcW w:type="dxa" w:w="1814"/>
          </w:tcPr>
          <w:p>
            <w:pPr>
              <w:bidi/>
              <w:spacing w:after="20" w:line="252" w:lineRule="auto"/>
            </w:pPr>
            <w:r/>
            <w:r>
              <w:rPr>
                <w:rFonts w:ascii="Arial" w:hAnsi="Arial" w:cs="Arial" w:eastAsia="Arial"/>
                <w:b w:val="0"/>
                <w:bCs w:val="0"/>
                <w:sz w:val="19"/>
                <w:szCs w:val="19"/>
              </w:rPr>
              <w:t>43 يوماً بعد التوقيع</w:t>
            </w:r>
          </w:p>
        </w:tc>
        <w:tc>
          <w:tcPr>
            <w:tcW w:type="dxa" w:w="4422"/>
          </w:tcPr>
          <w:p>
            <w:pPr>
              <w:bidi/>
              <w:spacing w:after="20" w:line="252" w:lineRule="auto"/>
            </w:pPr>
            <w:r/>
            <w:r>
              <w:rPr>
                <w:rFonts w:ascii="Arial" w:hAnsi="Arial" w:cs="Arial" w:eastAsia="Arial"/>
                <w:b w:val="0"/>
                <w:bCs w:val="0"/>
                <w:sz w:val="19"/>
                <w:szCs w:val="19"/>
              </w:rPr>
              <w:t>توقيع ‎2026-03-10‎، وتقييم ‎2026-04-22‎، أي بعد بدء الخدمة بـ 21 يوماً</w:t>
            </w:r>
          </w:p>
        </w:tc>
      </w:tr>
      <w:tr>
        <w:trPr>
          <w:cantSplit/>
        </w:trPr>
        <w:tc>
          <w:tcPr>
            <w:tcW w:type="dxa" w:w="3402"/>
          </w:tcPr>
          <w:p>
            <w:pPr>
              <w:bidi/>
              <w:spacing w:after="20" w:line="252" w:lineRule="auto"/>
            </w:pPr>
            <w:r/>
            <w:r>
              <w:rPr>
                <w:rFonts w:ascii="Arial" w:hAnsi="Arial" w:cs="Arial" w:eastAsia="Arial"/>
                <w:b w:val="0"/>
                <w:bCs w:val="0"/>
                <w:sz w:val="19"/>
                <w:szCs w:val="19"/>
              </w:rPr>
              <w:t>تقييمات الموردين الآخرين قبل التوقيع</w:t>
            </w:r>
          </w:p>
        </w:tc>
        <w:tc>
          <w:tcPr>
            <w:tcW w:type="dxa" w:w="1814"/>
          </w:tcPr>
          <w:p>
            <w:pPr>
              <w:bidi/>
              <w:spacing w:after="20" w:line="252" w:lineRule="auto"/>
            </w:pPr>
            <w:r/>
            <w:r>
              <w:rPr>
                <w:rFonts w:ascii="Arial" w:hAnsi="Arial" w:cs="Arial" w:eastAsia="Arial"/>
                <w:b w:val="0"/>
                <w:bCs w:val="0"/>
                <w:sz w:val="19"/>
                <w:szCs w:val="19"/>
              </w:rPr>
              <w:t>3 من 3</w:t>
            </w:r>
          </w:p>
        </w:tc>
        <w:tc>
          <w:tcPr>
            <w:tcW w:type="dxa" w:w="4422"/>
          </w:tcPr>
          <w:p>
            <w:pPr>
              <w:bidi/>
              <w:spacing w:after="20" w:line="252" w:lineRule="auto"/>
            </w:pPr>
            <w:r/>
            <w:r>
              <w:rPr>
                <w:rFonts w:ascii="Arial" w:hAnsi="Arial" w:cs="Arial" w:eastAsia="Arial"/>
                <w:b w:val="0"/>
                <w:bCs w:val="0"/>
                <w:sz w:val="19"/>
                <w:szCs w:val="19"/>
              </w:rPr>
              <w:t>سجل الموردين</w:t>
            </w:r>
          </w:p>
        </w:tc>
      </w:tr>
      <w:tr>
        <w:trPr>
          <w:cantSplit/>
        </w:trPr>
        <w:tc>
          <w:tcPr>
            <w:tcW w:type="dxa" w:w="3402"/>
          </w:tcPr>
          <w:p>
            <w:pPr>
              <w:bidi/>
              <w:spacing w:after="20" w:line="252" w:lineRule="auto"/>
            </w:pPr>
            <w:r/>
            <w:r>
              <w:rPr>
                <w:rFonts w:ascii="Arial" w:hAnsi="Arial" w:cs="Arial" w:eastAsia="Arial"/>
                <w:b w:val="0"/>
                <w:bCs w:val="0"/>
                <w:sz w:val="19"/>
                <w:szCs w:val="19"/>
              </w:rPr>
              <w:t>أطول تأخر في إبلاغ الجهة بحادثة</w:t>
            </w:r>
          </w:p>
        </w:tc>
        <w:tc>
          <w:tcPr>
            <w:tcW w:type="dxa" w:w="1814"/>
          </w:tcPr>
          <w:p>
            <w:pPr>
              <w:bidi/>
              <w:spacing w:after="20" w:line="252" w:lineRule="auto"/>
            </w:pPr>
            <w:r/>
            <w:r>
              <w:rPr>
                <w:rFonts w:ascii="Arial" w:hAnsi="Arial" w:cs="Arial" w:eastAsia="Arial"/>
                <w:b w:val="0"/>
                <w:bCs w:val="0"/>
                <w:sz w:val="19"/>
                <w:szCs w:val="19"/>
              </w:rPr>
              <w:t>29 يوماً</w:t>
            </w:r>
          </w:p>
        </w:tc>
        <w:tc>
          <w:tcPr>
            <w:tcW w:type="dxa" w:w="4422"/>
          </w:tcPr>
          <w:p>
            <w:pPr>
              <w:bidi/>
              <w:spacing w:after="20" w:line="252" w:lineRule="auto"/>
            </w:pPr>
            <w:r/>
            <w:r>
              <w:rPr>
                <w:rFonts w:ascii="Arial" w:hAnsi="Arial" w:cs="Arial" w:eastAsia="Arial"/>
                <w:b w:val="0"/>
                <w:bCs w:val="0"/>
                <w:sz w:val="19"/>
                <w:szCs w:val="19"/>
              </w:rPr>
              <w:t>ورقة «الحوادث المبلغة»</w:t>
            </w:r>
          </w:p>
        </w:tc>
      </w:tr>
      <w:tr>
        <w:trPr>
          <w:cantSplit/>
        </w:trPr>
        <w:tc>
          <w:tcPr>
            <w:tcW w:type="dxa" w:w="3402"/>
          </w:tcPr>
          <w:p>
            <w:pPr>
              <w:bidi/>
              <w:spacing w:after="20" w:line="252" w:lineRule="auto"/>
            </w:pPr>
            <w:r/>
            <w:r>
              <w:rPr>
                <w:rFonts w:ascii="Arial" w:hAnsi="Arial" w:cs="Arial" w:eastAsia="Arial"/>
                <w:b w:val="0"/>
                <w:bCs w:val="0"/>
                <w:sz w:val="19"/>
                <w:szCs w:val="19"/>
              </w:rPr>
              <w:t>متوسط تأخر الإبلاغ</w:t>
            </w:r>
          </w:p>
        </w:tc>
        <w:tc>
          <w:tcPr>
            <w:tcW w:type="dxa" w:w="1814"/>
          </w:tcPr>
          <w:p>
            <w:pPr>
              <w:bidi/>
              <w:spacing w:after="20" w:line="252" w:lineRule="auto"/>
            </w:pPr>
            <w:r/>
            <w:r>
              <w:rPr>
                <w:rFonts w:ascii="Arial" w:hAnsi="Arial" w:cs="Arial" w:eastAsia="Arial"/>
                <w:b w:val="0"/>
                <w:bCs w:val="0"/>
                <w:sz w:val="19"/>
                <w:szCs w:val="19"/>
              </w:rPr>
              <w:t>16.8 يوماً</w:t>
            </w:r>
          </w:p>
        </w:tc>
        <w:tc>
          <w:tcPr>
            <w:tcW w:type="dxa" w:w="4422"/>
          </w:tcPr>
          <w:p>
            <w:pPr>
              <w:bidi/>
              <w:spacing w:after="20" w:line="252" w:lineRule="auto"/>
            </w:pPr>
            <w:r/>
            <w:r>
              <w:rPr>
                <w:rFonts w:ascii="Arial" w:hAnsi="Arial" w:cs="Arial" w:eastAsia="Arial"/>
                <w:b w:val="0"/>
                <w:bCs w:val="0"/>
                <w:sz w:val="19"/>
                <w:szCs w:val="19"/>
              </w:rPr>
              <w:t>SOC-INC-0712 بعد 23 يوماً، SOC-INC-0731 بعد 8 أيام، SOC-INC-0805 بعد 29 يوماً، SOC-INC-0818 بعد 16 يوماً، SOC-INC-0826 بعد 8 أيام</w:t>
            </w:r>
          </w:p>
        </w:tc>
      </w:tr>
      <w:tr>
        <w:trPr>
          <w:cantSplit/>
        </w:trPr>
        <w:tc>
          <w:tcPr>
            <w:tcW w:type="dxa" w:w="3402"/>
          </w:tcPr>
          <w:p>
            <w:pPr>
              <w:bidi/>
              <w:spacing w:after="20" w:line="252" w:lineRule="auto"/>
            </w:pPr>
            <w:r/>
            <w:r>
              <w:rPr>
                <w:rFonts w:ascii="Arial" w:hAnsi="Arial" w:cs="Arial" w:eastAsia="Arial"/>
                <w:b w:val="0"/>
                <w:bCs w:val="0"/>
                <w:sz w:val="19"/>
                <w:szCs w:val="19"/>
              </w:rPr>
              <w:t>حوادث مصنفة «عالية» لدى المورد</w:t>
            </w:r>
          </w:p>
        </w:tc>
        <w:tc>
          <w:tcPr>
            <w:tcW w:type="dxa" w:w="1814"/>
          </w:tcPr>
          <w:p>
            <w:pPr>
              <w:bidi/>
              <w:spacing w:after="20" w:line="252" w:lineRule="auto"/>
            </w:pPr>
            <w:r/>
            <w:r>
              <w:rPr>
                <w:rFonts w:ascii="Arial" w:hAnsi="Arial" w:cs="Arial" w:eastAsia="Arial"/>
                <w:b w:val="0"/>
                <w:bCs w:val="0"/>
                <w:sz w:val="19"/>
                <w:szCs w:val="19"/>
              </w:rPr>
              <w:t>2</w:t>
            </w:r>
          </w:p>
        </w:tc>
        <w:tc>
          <w:tcPr>
            <w:tcW w:type="dxa" w:w="4422"/>
          </w:tcPr>
          <w:p>
            <w:pPr>
              <w:bidi/>
              <w:spacing w:after="20" w:line="252" w:lineRule="auto"/>
            </w:pPr>
            <w:r/>
            <w:r>
              <w:rPr>
                <w:rFonts w:ascii="Arial" w:hAnsi="Arial" w:cs="Arial" w:eastAsia="Arial"/>
                <w:b w:val="0"/>
                <w:bCs w:val="0"/>
                <w:sz w:val="19"/>
                <w:szCs w:val="19"/>
              </w:rPr>
              <w:t>SOC-INC-0712 بعد 23 يوماً، SOC-INC-0805 بعد 29 يوماً</w:t>
            </w:r>
          </w:p>
        </w:tc>
      </w:tr>
      <w:tr>
        <w:trPr>
          <w:cantSplit/>
        </w:trPr>
        <w:tc>
          <w:tcPr>
            <w:tcW w:type="dxa" w:w="3402"/>
          </w:tcPr>
          <w:p>
            <w:pPr>
              <w:bidi/>
              <w:spacing w:after="20" w:line="252" w:lineRule="auto"/>
            </w:pPr>
            <w:r/>
            <w:r>
              <w:rPr>
                <w:rFonts w:ascii="Arial" w:hAnsi="Arial" w:cs="Arial" w:eastAsia="Arial"/>
                <w:b w:val="0"/>
                <w:bCs w:val="0"/>
                <w:sz w:val="19"/>
                <w:szCs w:val="19"/>
              </w:rPr>
              <w:t>منسوبون من جهة توظيف غير المورد</w:t>
            </w:r>
          </w:p>
        </w:tc>
        <w:tc>
          <w:tcPr>
            <w:tcW w:type="dxa" w:w="1814"/>
          </w:tcPr>
          <w:p>
            <w:pPr>
              <w:bidi/>
              <w:spacing w:after="20" w:line="252" w:lineRule="auto"/>
            </w:pPr>
            <w:r/>
            <w:r>
              <w:rPr>
                <w:rFonts w:ascii="Arial" w:hAnsi="Arial" w:cs="Arial" w:eastAsia="Arial"/>
                <w:b w:val="0"/>
                <w:bCs w:val="0"/>
                <w:sz w:val="19"/>
                <w:szCs w:val="19"/>
              </w:rPr>
              <w:t>2</w:t>
            </w:r>
          </w:p>
        </w:tc>
        <w:tc>
          <w:tcPr>
            <w:tcW w:type="dxa" w:w="4422"/>
          </w:tcPr>
          <w:p>
            <w:pPr>
              <w:bidi/>
              <w:spacing w:after="20" w:line="252" w:lineRule="auto"/>
            </w:pPr>
            <w:r/>
            <w:r>
              <w:rPr>
                <w:rFonts w:ascii="Arial" w:hAnsi="Arial" w:cs="Arial" w:eastAsia="Arial"/>
                <w:b w:val="0"/>
                <w:bCs w:val="0"/>
                <w:sz w:val="19"/>
                <w:szCs w:val="19"/>
              </w:rPr>
              <w:t>كشف الفريق: شركة مسار الربط للحلول التقنية (افتراضية)؛ والمورد أجاب عن Q3 بـ «لا»</w:t>
            </w:r>
          </w:p>
        </w:tc>
      </w:tr>
      <w:tr>
        <w:trPr>
          <w:cantSplit/>
        </w:trPr>
        <w:tc>
          <w:tcPr>
            <w:tcW w:type="dxa" w:w="3402"/>
          </w:tcPr>
          <w:p>
            <w:pPr>
              <w:bidi/>
              <w:spacing w:after="20" w:line="252" w:lineRule="auto"/>
            </w:pPr>
            <w:r/>
            <w:r>
              <w:rPr>
                <w:rFonts w:ascii="Arial" w:hAnsi="Arial" w:cs="Arial" w:eastAsia="Arial"/>
                <w:b w:val="0"/>
                <w:bCs w:val="0"/>
                <w:sz w:val="19"/>
                <w:szCs w:val="19"/>
              </w:rPr>
              <w:t>محللون يصلون عن بعد من خارج المملكة</w:t>
            </w:r>
          </w:p>
        </w:tc>
        <w:tc>
          <w:tcPr>
            <w:tcW w:type="dxa" w:w="1814"/>
          </w:tcPr>
          <w:p>
            <w:pPr>
              <w:bidi/>
              <w:spacing w:after="20" w:line="252" w:lineRule="auto"/>
            </w:pPr>
            <w:r/>
            <w:r>
              <w:rPr>
                <w:rFonts w:ascii="Arial" w:hAnsi="Arial" w:cs="Arial" w:eastAsia="Arial"/>
                <w:b w:val="0"/>
                <w:bCs w:val="0"/>
                <w:sz w:val="19"/>
                <w:szCs w:val="19"/>
              </w:rPr>
              <w:t>3</w:t>
            </w:r>
          </w:p>
        </w:tc>
        <w:tc>
          <w:tcPr>
            <w:tcW w:type="dxa" w:w="4422"/>
          </w:tcPr>
          <w:p>
            <w:pPr>
              <w:bidi/>
              <w:spacing w:after="20" w:line="252" w:lineRule="auto"/>
            </w:pPr>
            <w:r/>
            <w:r>
              <w:rPr>
                <w:rFonts w:ascii="Arial" w:hAnsi="Arial" w:cs="Arial" w:eastAsia="Arial"/>
                <w:b w:val="0"/>
                <w:bCs w:val="0"/>
                <w:sz w:val="19"/>
                <w:szCs w:val="19"/>
              </w:rPr>
              <w:t>كشف الفريق + إجابة Q2، من 22:00 إلى 06:00</w:t>
            </w:r>
          </w:p>
        </w:tc>
      </w:tr>
    </w:tbl>
    <w:p>
      <w:pPr>
        <w:spacing w:after="40"/>
      </w:pPr>
    </w:p>
    <w:p>
      <w:pPr>
        <w:pStyle w:val="Heading1"/>
        <w:bidi/>
      </w:pPr>
      <w:r>
        <w:rPr>
          <w:rFonts w:ascii="Arial" w:hAnsi="Arial" w:cs="Arial" w:eastAsia="Arial"/>
          <w:b w:val="0"/>
          <w:bCs w:val="0"/>
        </w:rPr>
        <w:t>ملخص أوجه القصور</w:t>
      </w:r>
    </w:p>
    <w:tbl>
      <w:tblPr>
        <w:tblStyle w:val="TableGrid"/>
        <w:bidiVisual/>
        <w:tblW w:type="dxa" w:w="9637"/>
        <w:jc w:val="center"/>
        <w:tblLayout w:type="fixed"/>
        <w:tblLook w:firstColumn="1" w:firstRow="1" w:lastColumn="0" w:lastRow="0" w:noHBand="0" w:noVBand="1" w:val="04A0"/>
      </w:tblPr>
      <w:tblGrid>
        <w:gridCol w:w="396"/>
        <w:gridCol w:w="4535"/>
        <w:gridCol w:w="1360"/>
        <w:gridCol w:w="1700"/>
        <w:gridCol w:w="1644"/>
      </w:tblGrid>
      <w:tr>
        <w:trPr>
          <w:cantSplit/>
          <w:tblHeader/>
        </w:trPr>
        <w:tc>
          <w:tcPr>
            <w:tcW w:type="dxa" w:w="397"/>
            <w:shd w:val="clear" w:color="auto" w:fill="D9E2F3"/>
          </w:tcPr>
          <w:p>
            <w:pPr>
              <w:bidi/>
              <w:spacing w:after="20" w:line="252" w:lineRule="auto"/>
            </w:pPr>
            <w:r/>
            <w:r>
              <w:rPr>
                <w:rFonts w:ascii="Arial" w:hAnsi="Arial" w:cs="Arial" w:eastAsia="Arial"/>
                <w:b w:val="1"/>
                <w:bCs w:val="1"/>
                <w:sz w:val="19"/>
                <w:szCs w:val="19"/>
              </w:rPr>
              <w:t>#</w:t>
            </w:r>
          </w:p>
        </w:tc>
        <w:tc>
          <w:tcPr>
            <w:tcW w:type="dxa" w:w="4535"/>
            <w:shd w:val="clear" w:color="auto" w:fill="D9E2F3"/>
          </w:tcPr>
          <w:p>
            <w:pPr>
              <w:bidi/>
              <w:spacing w:after="20" w:line="252" w:lineRule="auto"/>
            </w:pPr>
            <w:r/>
            <w:r>
              <w:rPr>
                <w:rFonts w:ascii="Arial" w:hAnsi="Arial" w:cs="Arial" w:eastAsia="Arial"/>
                <w:b w:val="1"/>
                <w:bCs w:val="1"/>
                <w:sz w:val="19"/>
                <w:szCs w:val="19"/>
              </w:rPr>
              <w:t>وجه القصور</w:t>
            </w:r>
          </w:p>
        </w:tc>
        <w:tc>
          <w:tcPr>
            <w:tcW w:type="dxa" w:w="1361"/>
            <w:shd w:val="clear" w:color="auto" w:fill="D9E2F3"/>
          </w:tcPr>
          <w:p>
            <w:pPr>
              <w:bidi/>
              <w:spacing w:after="20" w:line="252" w:lineRule="auto"/>
            </w:pPr>
            <w:r/>
            <w:r>
              <w:rPr>
                <w:rFonts w:ascii="Arial" w:hAnsi="Arial" w:cs="Arial" w:eastAsia="Arial"/>
                <w:b w:val="1"/>
                <w:bCs w:val="1"/>
                <w:sz w:val="19"/>
                <w:szCs w:val="19"/>
              </w:rPr>
              <w:t>الضابط الرئيسي</w:t>
            </w:r>
          </w:p>
        </w:tc>
        <w:tc>
          <w:tcPr>
            <w:tcW w:type="dxa" w:w="1701"/>
            <w:shd w:val="clear" w:color="auto" w:fill="D9E2F3"/>
          </w:tcPr>
          <w:p>
            <w:pPr>
              <w:bidi/>
              <w:spacing w:after="20" w:line="252" w:lineRule="auto"/>
            </w:pPr>
            <w:r/>
            <w:r>
              <w:rPr>
                <w:rFonts w:ascii="Arial" w:hAnsi="Arial" w:cs="Arial" w:eastAsia="Arial"/>
                <w:b w:val="1"/>
                <w:bCs w:val="1"/>
                <w:sz w:val="19"/>
                <w:szCs w:val="19"/>
              </w:rPr>
              <w:t>بدائل مقبولة</w:t>
            </w:r>
          </w:p>
        </w:tc>
        <w:tc>
          <w:tcPr>
            <w:tcW w:type="dxa" w:w="1644"/>
            <w:shd w:val="clear" w:color="auto" w:fill="D9E2F3"/>
          </w:tcPr>
          <w:p>
            <w:pPr>
              <w:bidi/>
              <w:spacing w:after="20" w:line="252" w:lineRule="auto"/>
            </w:pPr>
            <w:r/>
            <w:r>
              <w:rPr>
                <w:rFonts w:ascii="Arial" w:hAnsi="Arial" w:cs="Arial" w:eastAsia="Arial"/>
                <w:b w:val="1"/>
                <w:bCs w:val="1"/>
                <w:sz w:val="19"/>
                <w:szCs w:val="19"/>
              </w:rPr>
              <w:t>الحكم المقترح</w:t>
            </w:r>
          </w:p>
        </w:tc>
      </w:tr>
      <w:tr>
        <w:trPr>
          <w:cantSplit/>
        </w:trPr>
        <w:tc>
          <w:tcPr>
            <w:tcW w:type="dxa" w:w="397"/>
          </w:tcPr>
          <w:p>
            <w:pPr>
              <w:bidi/>
              <w:spacing w:after="20" w:line="252" w:lineRule="auto"/>
            </w:pPr>
            <w:r/>
            <w:r>
              <w:rPr>
                <w:rFonts w:ascii="Arial" w:hAnsi="Arial" w:cs="Arial" w:eastAsia="Arial"/>
                <w:b w:val="0"/>
                <w:bCs w:val="0"/>
                <w:sz w:val="19"/>
                <w:szCs w:val="19"/>
              </w:rPr>
              <w:t>1</w:t>
            </w:r>
          </w:p>
        </w:tc>
        <w:tc>
          <w:tcPr>
            <w:tcW w:type="dxa" w:w="4535"/>
          </w:tcPr>
          <w:p>
            <w:pPr>
              <w:bidi/>
              <w:spacing w:after="20" w:line="252" w:lineRule="auto"/>
            </w:pPr>
            <w:r/>
            <w:r>
              <w:rPr>
                <w:rFonts w:ascii="Arial" w:hAnsi="Arial" w:cs="Arial" w:eastAsia="Arial"/>
                <w:b w:val="0"/>
                <w:bCs w:val="0"/>
                <w:sz w:val="19"/>
                <w:szCs w:val="19"/>
              </w:rPr>
              <w:t>السرية خلال مدة العقد فقط، ولا حذف آمن عند انتهاء الخدمة</w:t>
            </w:r>
          </w:p>
        </w:tc>
        <w:tc>
          <w:tcPr>
            <w:tcW w:type="dxa" w:w="1361"/>
          </w:tcPr>
          <w:p>
            <w:pPr>
              <w:bidi/>
              <w:spacing w:after="20" w:line="252" w:lineRule="auto"/>
            </w:pPr>
            <w:r/>
            <w:r>
              <w:rPr>
                <w:rFonts w:ascii="Arial" w:hAnsi="Arial" w:cs="Arial" w:eastAsia="Arial"/>
                <w:b w:val="0"/>
                <w:bCs w:val="0"/>
                <w:sz w:val="19"/>
                <w:szCs w:val="19"/>
              </w:rPr>
              <w:t>‎4-1-2-1‎</w:t>
            </w:r>
          </w:p>
        </w:tc>
        <w:tc>
          <w:tcPr>
            <w:tcW w:type="dxa" w:w="1701"/>
          </w:tcPr>
          <w:p>
            <w:pPr>
              <w:bidi/>
              <w:spacing w:after="20" w:line="252" w:lineRule="auto"/>
            </w:pPr>
            <w:r/>
            <w:r>
              <w:rPr>
                <w:rFonts w:ascii="Arial" w:hAnsi="Arial" w:cs="Arial" w:eastAsia="Arial"/>
                <w:b w:val="0"/>
                <w:bCs w:val="0"/>
                <w:sz w:val="19"/>
                <w:szCs w:val="19"/>
              </w:rPr>
              <w:t>‎4-1-1‎</w:t>
            </w:r>
          </w:p>
        </w:tc>
        <w:tc>
          <w:tcPr>
            <w:tcW w:type="dxa" w:w="1644"/>
          </w:tcPr>
          <w:p>
            <w:pPr>
              <w:bidi/>
              <w:spacing w:after="20" w:line="252" w:lineRule="auto"/>
            </w:pPr>
            <w:r/>
            <w:r>
              <w:rPr>
                <w:rFonts w:ascii="Arial" w:hAnsi="Arial" w:cs="Arial" w:eastAsia="Arial"/>
                <w:b w:val="0"/>
                <w:bCs w:val="0"/>
                <w:sz w:val="19"/>
                <w:szCs w:val="19"/>
              </w:rPr>
              <w:t>غير مطبق</w:t>
            </w:r>
          </w:p>
        </w:tc>
      </w:tr>
      <w:tr>
        <w:trPr>
          <w:cantSplit/>
        </w:trPr>
        <w:tc>
          <w:tcPr>
            <w:tcW w:type="dxa" w:w="397"/>
          </w:tcPr>
          <w:p>
            <w:pPr>
              <w:bidi/>
              <w:spacing w:after="20" w:line="252" w:lineRule="auto"/>
            </w:pPr>
            <w:r/>
            <w:r>
              <w:rPr>
                <w:rFonts w:ascii="Arial" w:hAnsi="Arial" w:cs="Arial" w:eastAsia="Arial"/>
                <w:b w:val="0"/>
                <w:bCs w:val="0"/>
                <w:sz w:val="19"/>
                <w:szCs w:val="19"/>
              </w:rPr>
              <w:t>2</w:t>
            </w:r>
          </w:p>
        </w:tc>
        <w:tc>
          <w:tcPr>
            <w:tcW w:type="dxa" w:w="4535"/>
          </w:tcPr>
          <w:p>
            <w:pPr>
              <w:bidi/>
              <w:spacing w:after="20" w:line="252" w:lineRule="auto"/>
            </w:pPr>
            <w:r/>
            <w:r>
              <w:rPr>
                <w:rFonts w:ascii="Arial" w:hAnsi="Arial" w:cs="Arial" w:eastAsia="Arial"/>
                <w:b w:val="0"/>
                <w:bCs w:val="0"/>
                <w:sz w:val="19"/>
                <w:szCs w:val="19"/>
              </w:rPr>
              <w:t>الإبلاغ عن الحوادث عبر التقرير الشهري فقط</w:t>
            </w:r>
          </w:p>
        </w:tc>
        <w:tc>
          <w:tcPr>
            <w:tcW w:type="dxa" w:w="1361"/>
          </w:tcPr>
          <w:p>
            <w:pPr>
              <w:bidi/>
              <w:spacing w:after="20" w:line="252" w:lineRule="auto"/>
            </w:pPr>
            <w:r/>
            <w:r>
              <w:rPr>
                <w:rFonts w:ascii="Arial" w:hAnsi="Arial" w:cs="Arial" w:eastAsia="Arial"/>
                <w:b w:val="0"/>
                <w:bCs w:val="0"/>
                <w:sz w:val="19"/>
                <w:szCs w:val="19"/>
              </w:rPr>
              <w:t>‎4-1-2-2‎</w:t>
            </w:r>
          </w:p>
        </w:tc>
        <w:tc>
          <w:tcPr>
            <w:tcW w:type="dxa" w:w="1701"/>
          </w:tcPr>
          <w:p>
            <w:pPr>
              <w:bidi/>
              <w:spacing w:after="20" w:line="252" w:lineRule="auto"/>
            </w:pPr>
            <w:r/>
            <w:r>
              <w:rPr>
                <w:rFonts w:ascii="Arial" w:hAnsi="Arial" w:cs="Arial" w:eastAsia="Arial"/>
                <w:b w:val="0"/>
                <w:bCs w:val="0"/>
                <w:sz w:val="19"/>
                <w:szCs w:val="19"/>
              </w:rPr>
              <w:t>‎2-13-3‎</w:t>
            </w:r>
          </w:p>
        </w:tc>
        <w:tc>
          <w:tcPr>
            <w:tcW w:type="dxa" w:w="1644"/>
          </w:tcPr>
          <w:p>
            <w:pPr>
              <w:bidi/>
              <w:spacing w:after="20" w:line="252" w:lineRule="auto"/>
            </w:pPr>
            <w:r/>
            <w:r>
              <w:rPr>
                <w:rFonts w:ascii="Arial" w:hAnsi="Arial" w:cs="Arial" w:eastAsia="Arial"/>
                <w:b w:val="0"/>
                <w:bCs w:val="0"/>
                <w:sz w:val="19"/>
                <w:szCs w:val="19"/>
              </w:rPr>
              <w:t>غير مطبق</w:t>
            </w:r>
          </w:p>
        </w:tc>
      </w:tr>
      <w:tr>
        <w:trPr>
          <w:cantSplit/>
        </w:trPr>
        <w:tc>
          <w:tcPr>
            <w:tcW w:type="dxa" w:w="397"/>
          </w:tcPr>
          <w:p>
            <w:pPr>
              <w:bidi/>
              <w:spacing w:after="20" w:line="252" w:lineRule="auto"/>
            </w:pPr>
            <w:r/>
            <w:r>
              <w:rPr>
                <w:rFonts w:ascii="Arial" w:hAnsi="Arial" w:cs="Arial" w:eastAsia="Arial"/>
                <w:b w:val="0"/>
                <w:bCs w:val="0"/>
                <w:sz w:val="19"/>
                <w:szCs w:val="19"/>
              </w:rPr>
              <w:t>3</w:t>
            </w:r>
          </w:p>
        </w:tc>
        <w:tc>
          <w:tcPr>
            <w:tcW w:type="dxa" w:w="4535"/>
          </w:tcPr>
          <w:p>
            <w:pPr>
              <w:bidi/>
              <w:spacing w:after="20" w:line="252" w:lineRule="auto"/>
            </w:pPr>
            <w:r/>
            <w:r>
              <w:rPr>
                <w:rFonts w:ascii="Arial" w:hAnsi="Arial" w:cs="Arial" w:eastAsia="Arial"/>
                <w:b w:val="0"/>
                <w:bCs w:val="0"/>
                <w:sz w:val="19"/>
                <w:szCs w:val="19"/>
              </w:rPr>
              <w:t>المورد يطبق سياساته لا سياسات الجهة</w:t>
            </w:r>
          </w:p>
        </w:tc>
        <w:tc>
          <w:tcPr>
            <w:tcW w:type="dxa" w:w="1361"/>
          </w:tcPr>
          <w:p>
            <w:pPr>
              <w:bidi/>
              <w:spacing w:after="20" w:line="252" w:lineRule="auto"/>
            </w:pPr>
            <w:r/>
            <w:r>
              <w:rPr>
                <w:rFonts w:ascii="Arial" w:hAnsi="Arial" w:cs="Arial" w:eastAsia="Arial"/>
                <w:b w:val="0"/>
                <w:bCs w:val="0"/>
                <w:sz w:val="19"/>
                <w:szCs w:val="19"/>
              </w:rPr>
              <w:t>‎4-1-2-3‎</w:t>
            </w:r>
          </w:p>
        </w:tc>
        <w:tc>
          <w:tcPr>
            <w:tcW w:type="dxa" w:w="1701"/>
          </w:tcPr>
          <w:p>
            <w:pPr>
              <w:bidi/>
              <w:spacing w:after="20" w:line="252" w:lineRule="auto"/>
            </w:pPr>
            <w:r/>
            <w:r>
              <w:rPr>
                <w:rFonts w:ascii="Arial" w:hAnsi="Arial" w:cs="Arial" w:eastAsia="Arial"/>
                <w:b w:val="0"/>
                <w:bCs w:val="0"/>
                <w:sz w:val="19"/>
                <w:szCs w:val="19"/>
              </w:rPr>
              <w:t>‎4-1-1‎</w:t>
            </w:r>
          </w:p>
        </w:tc>
        <w:tc>
          <w:tcPr>
            <w:tcW w:type="dxa" w:w="1644"/>
          </w:tcPr>
          <w:p>
            <w:pPr>
              <w:bidi/>
              <w:spacing w:after="20" w:line="252" w:lineRule="auto"/>
            </w:pPr>
            <w:r/>
            <w:r>
              <w:rPr>
                <w:rFonts w:ascii="Arial" w:hAnsi="Arial" w:cs="Arial" w:eastAsia="Arial"/>
                <w:b w:val="0"/>
                <w:bCs w:val="0"/>
                <w:sz w:val="19"/>
                <w:szCs w:val="19"/>
              </w:rPr>
              <w:t>غير مطبق</w:t>
            </w:r>
          </w:p>
        </w:tc>
      </w:tr>
      <w:tr>
        <w:trPr>
          <w:cantSplit/>
        </w:trPr>
        <w:tc>
          <w:tcPr>
            <w:tcW w:type="dxa" w:w="397"/>
          </w:tcPr>
          <w:p>
            <w:pPr>
              <w:bidi/>
              <w:spacing w:after="20" w:line="252" w:lineRule="auto"/>
            </w:pPr>
            <w:r/>
            <w:r>
              <w:rPr>
                <w:rFonts w:ascii="Arial" w:hAnsi="Arial" w:cs="Arial" w:eastAsia="Arial"/>
                <w:b w:val="0"/>
                <w:bCs w:val="0"/>
                <w:sz w:val="19"/>
                <w:szCs w:val="19"/>
              </w:rPr>
              <w:t>4</w:t>
            </w:r>
          </w:p>
        </w:tc>
        <w:tc>
          <w:tcPr>
            <w:tcW w:type="dxa" w:w="4535"/>
          </w:tcPr>
          <w:p>
            <w:pPr>
              <w:bidi/>
              <w:spacing w:after="20" w:line="252" w:lineRule="auto"/>
            </w:pPr>
            <w:r/>
            <w:r>
              <w:rPr>
                <w:rFonts w:ascii="Arial" w:hAnsi="Arial" w:cs="Arial" w:eastAsia="Arial"/>
                <w:b w:val="0"/>
                <w:bCs w:val="0"/>
                <w:sz w:val="19"/>
                <w:szCs w:val="19"/>
              </w:rPr>
              <w:t>جزء من المراقبة والتحليل عن بعد من خارج المملكة</w:t>
            </w:r>
          </w:p>
        </w:tc>
        <w:tc>
          <w:tcPr>
            <w:tcW w:type="dxa" w:w="1361"/>
          </w:tcPr>
          <w:p>
            <w:pPr>
              <w:bidi/>
              <w:spacing w:after="20" w:line="252" w:lineRule="auto"/>
            </w:pPr>
            <w:r/>
            <w:r>
              <w:rPr>
                <w:rFonts w:ascii="Arial" w:hAnsi="Arial" w:cs="Arial" w:eastAsia="Arial"/>
                <w:b w:val="0"/>
                <w:bCs w:val="0"/>
                <w:sz w:val="19"/>
                <w:szCs w:val="19"/>
              </w:rPr>
              <w:t>‎4-1-3-2‎</w:t>
            </w:r>
          </w:p>
        </w:tc>
        <w:tc>
          <w:tcPr>
            <w:tcW w:type="dxa" w:w="1701"/>
          </w:tcPr>
          <w:p>
            <w:pPr>
              <w:bidi/>
              <w:spacing w:after="20" w:line="252" w:lineRule="auto"/>
            </w:pPr>
            <w:r/>
            <w:r>
              <w:rPr>
                <w:rFonts w:ascii="Arial" w:hAnsi="Arial" w:cs="Arial" w:eastAsia="Arial"/>
                <w:b w:val="0"/>
                <w:bCs w:val="0"/>
                <w:sz w:val="19"/>
                <w:szCs w:val="19"/>
              </w:rPr>
              <w:t>‎4-1-2-3‎</w:t>
            </w:r>
          </w:p>
        </w:tc>
        <w:tc>
          <w:tcPr>
            <w:tcW w:type="dxa" w:w="1644"/>
          </w:tcPr>
          <w:p>
            <w:pPr>
              <w:bidi/>
              <w:spacing w:after="20" w:line="252" w:lineRule="auto"/>
            </w:pPr>
            <w:r/>
            <w:r>
              <w:rPr>
                <w:rFonts w:ascii="Arial" w:hAnsi="Arial" w:cs="Arial" w:eastAsia="Arial"/>
                <w:b w:val="0"/>
                <w:bCs w:val="0"/>
                <w:sz w:val="19"/>
                <w:szCs w:val="19"/>
              </w:rPr>
              <w:t>غير مطبق</w:t>
            </w:r>
          </w:p>
        </w:tc>
      </w:tr>
      <w:tr>
        <w:trPr>
          <w:cantSplit/>
        </w:trPr>
        <w:tc>
          <w:tcPr>
            <w:tcW w:type="dxa" w:w="397"/>
          </w:tcPr>
          <w:p>
            <w:pPr>
              <w:bidi/>
              <w:spacing w:after="20" w:line="252" w:lineRule="auto"/>
            </w:pPr>
            <w:r/>
            <w:r>
              <w:rPr>
                <w:rFonts w:ascii="Arial" w:hAnsi="Arial" w:cs="Arial" w:eastAsia="Arial"/>
                <w:b w:val="0"/>
                <w:bCs w:val="0"/>
                <w:sz w:val="19"/>
                <w:szCs w:val="19"/>
              </w:rPr>
              <w:t>5</w:t>
            </w:r>
          </w:p>
        </w:tc>
        <w:tc>
          <w:tcPr>
            <w:tcW w:type="dxa" w:w="4535"/>
          </w:tcPr>
          <w:p>
            <w:pPr>
              <w:bidi/>
              <w:spacing w:after="20" w:line="252" w:lineRule="auto"/>
            </w:pPr>
            <w:r/>
            <w:r>
              <w:rPr>
                <w:rFonts w:ascii="Arial" w:hAnsi="Arial" w:cs="Arial" w:eastAsia="Arial"/>
                <w:b w:val="0"/>
                <w:bCs w:val="0"/>
                <w:sz w:val="19"/>
                <w:szCs w:val="19"/>
              </w:rPr>
              <w:t>تقييم المخاطر بعد توقيع العقد</w:t>
            </w:r>
          </w:p>
        </w:tc>
        <w:tc>
          <w:tcPr>
            <w:tcW w:type="dxa" w:w="1361"/>
          </w:tcPr>
          <w:p>
            <w:pPr>
              <w:bidi/>
              <w:spacing w:after="20" w:line="252" w:lineRule="auto"/>
            </w:pPr>
            <w:r/>
            <w:r>
              <w:rPr>
                <w:rFonts w:ascii="Arial" w:hAnsi="Arial" w:cs="Arial" w:eastAsia="Arial"/>
                <w:b w:val="0"/>
                <w:bCs w:val="0"/>
                <w:sz w:val="19"/>
                <w:szCs w:val="19"/>
              </w:rPr>
              <w:t>‎4-1-3-1‎</w:t>
            </w:r>
          </w:p>
        </w:tc>
        <w:tc>
          <w:tcPr>
            <w:tcW w:type="dxa" w:w="1701"/>
          </w:tcPr>
          <w:p>
            <w:pPr>
              <w:bidi/>
              <w:spacing w:after="20" w:line="252" w:lineRule="auto"/>
            </w:pPr>
            <w:r/>
            <w:r>
              <w:rPr>
                <w:rFonts w:ascii="Arial" w:hAnsi="Arial" w:cs="Arial" w:eastAsia="Arial"/>
                <w:b w:val="0"/>
                <w:bCs w:val="0"/>
                <w:sz w:val="19"/>
                <w:szCs w:val="19"/>
              </w:rPr>
              <w:t>‎4-1-4‎</w:t>
            </w:r>
          </w:p>
        </w:tc>
        <w:tc>
          <w:tcPr>
            <w:tcW w:type="dxa" w:w="1644"/>
          </w:tcPr>
          <w:p>
            <w:pPr>
              <w:bidi/>
              <w:spacing w:after="20" w:line="252" w:lineRule="auto"/>
            </w:pPr>
            <w:r/>
            <w:r>
              <w:rPr>
                <w:rFonts w:ascii="Arial" w:hAnsi="Arial" w:cs="Arial" w:eastAsia="Arial"/>
                <w:b w:val="0"/>
                <w:bCs w:val="0"/>
                <w:sz w:val="19"/>
                <w:szCs w:val="19"/>
              </w:rPr>
              <w:t>غير مطبق</w:t>
            </w:r>
          </w:p>
        </w:tc>
      </w:tr>
      <w:tr>
        <w:trPr>
          <w:cantSplit/>
        </w:trPr>
        <w:tc>
          <w:tcPr>
            <w:tcW w:type="dxa" w:w="397"/>
          </w:tcPr>
          <w:p>
            <w:pPr>
              <w:bidi/>
              <w:spacing w:after="20" w:line="252" w:lineRule="auto"/>
            </w:pPr>
            <w:r/>
            <w:r>
              <w:rPr>
                <w:rFonts w:ascii="Arial" w:hAnsi="Arial" w:cs="Arial" w:eastAsia="Arial"/>
                <w:b w:val="0"/>
                <w:bCs w:val="0"/>
                <w:sz w:val="19"/>
                <w:szCs w:val="19"/>
              </w:rPr>
              <w:t>6</w:t>
            </w:r>
          </w:p>
        </w:tc>
        <w:tc>
          <w:tcPr>
            <w:tcW w:type="dxa" w:w="4535"/>
          </w:tcPr>
          <w:p>
            <w:pPr>
              <w:bidi/>
              <w:spacing w:after="20" w:line="252" w:lineRule="auto"/>
            </w:pPr>
            <w:r/>
            <w:r>
              <w:rPr>
                <w:rFonts w:ascii="Arial" w:hAnsi="Arial" w:cs="Arial" w:eastAsia="Arial"/>
                <w:b w:val="0"/>
                <w:bCs w:val="0"/>
                <w:sz w:val="19"/>
                <w:szCs w:val="19"/>
              </w:rPr>
              <w:t>لا يوجد حق تدقيق للجهة</w:t>
            </w:r>
          </w:p>
        </w:tc>
        <w:tc>
          <w:tcPr>
            <w:tcW w:type="dxa" w:w="1361"/>
          </w:tcPr>
          <w:p>
            <w:pPr>
              <w:bidi/>
              <w:spacing w:after="20" w:line="252" w:lineRule="auto"/>
            </w:pPr>
            <w:r/>
            <w:r>
              <w:rPr>
                <w:rFonts w:ascii="Arial" w:hAnsi="Arial" w:cs="Arial" w:eastAsia="Arial"/>
                <w:b w:val="0"/>
                <w:bCs w:val="0"/>
                <w:sz w:val="19"/>
                <w:szCs w:val="19"/>
              </w:rPr>
              <w:t>‎4-1-2-3‎</w:t>
            </w:r>
          </w:p>
        </w:tc>
        <w:tc>
          <w:tcPr>
            <w:tcW w:type="dxa" w:w="1701"/>
          </w:tcPr>
          <w:p>
            <w:pPr>
              <w:bidi/>
              <w:spacing w:after="20" w:line="252" w:lineRule="auto"/>
            </w:pPr>
            <w:r/>
            <w:r>
              <w:rPr>
                <w:rFonts w:ascii="Arial" w:hAnsi="Arial" w:cs="Arial" w:eastAsia="Arial"/>
                <w:b w:val="0"/>
                <w:bCs w:val="0"/>
                <w:sz w:val="19"/>
                <w:szCs w:val="19"/>
              </w:rPr>
              <w:t>‎4-1-4‎، ‎4-1-1‎</w:t>
            </w:r>
          </w:p>
        </w:tc>
        <w:tc>
          <w:tcPr>
            <w:tcW w:type="dxa" w:w="1644"/>
          </w:tcPr>
          <w:p>
            <w:pPr>
              <w:bidi/>
              <w:spacing w:after="20" w:line="252" w:lineRule="auto"/>
            </w:pPr>
            <w:r/>
            <w:r>
              <w:rPr>
                <w:rFonts w:ascii="Arial" w:hAnsi="Arial" w:cs="Arial" w:eastAsia="Arial"/>
                <w:b w:val="0"/>
                <w:bCs w:val="0"/>
                <w:sz w:val="19"/>
                <w:szCs w:val="19"/>
              </w:rPr>
              <w:t>ملاحظة جوهرية (تطبيق مقترح)</w:t>
            </w:r>
          </w:p>
        </w:tc>
      </w:tr>
      <w:tr>
        <w:trPr>
          <w:cantSplit/>
        </w:trPr>
        <w:tc>
          <w:tcPr>
            <w:tcW w:type="dxa" w:w="397"/>
          </w:tcPr>
          <w:p>
            <w:pPr>
              <w:bidi/>
              <w:spacing w:after="20" w:line="252" w:lineRule="auto"/>
            </w:pPr>
            <w:r/>
            <w:r>
              <w:rPr>
                <w:rFonts w:ascii="Arial" w:hAnsi="Arial" w:cs="Arial" w:eastAsia="Arial"/>
                <w:b w:val="0"/>
                <w:bCs w:val="0"/>
                <w:sz w:val="19"/>
                <w:szCs w:val="19"/>
              </w:rPr>
              <w:t>7</w:t>
            </w:r>
          </w:p>
        </w:tc>
        <w:tc>
          <w:tcPr>
            <w:tcW w:type="dxa" w:w="4535"/>
          </w:tcPr>
          <w:p>
            <w:pPr>
              <w:bidi/>
              <w:spacing w:after="20" w:line="252" w:lineRule="auto"/>
            </w:pPr>
            <w:r/>
            <w:r>
              <w:rPr>
                <w:rFonts w:ascii="Arial" w:hAnsi="Arial" w:cs="Arial" w:eastAsia="Arial"/>
                <w:b w:val="0"/>
                <w:bCs w:val="0"/>
                <w:sz w:val="19"/>
                <w:szCs w:val="19"/>
              </w:rPr>
              <w:t>مقاول من الباطن غير مفصح عنه يصل إلى منصة الجهة</w:t>
            </w:r>
          </w:p>
        </w:tc>
        <w:tc>
          <w:tcPr>
            <w:tcW w:type="dxa" w:w="1361"/>
          </w:tcPr>
          <w:p>
            <w:pPr>
              <w:bidi/>
              <w:spacing w:after="20" w:line="252" w:lineRule="auto"/>
            </w:pPr>
            <w:r/>
            <w:r>
              <w:rPr>
                <w:rFonts w:ascii="Arial" w:hAnsi="Arial" w:cs="Arial" w:eastAsia="Arial"/>
                <w:b w:val="0"/>
                <w:bCs w:val="0"/>
                <w:sz w:val="19"/>
                <w:szCs w:val="19"/>
              </w:rPr>
              <w:t>‎4-1-2-3‎</w:t>
            </w:r>
          </w:p>
        </w:tc>
        <w:tc>
          <w:tcPr>
            <w:tcW w:type="dxa" w:w="1701"/>
          </w:tcPr>
          <w:p>
            <w:pPr>
              <w:bidi/>
              <w:spacing w:after="20" w:line="252" w:lineRule="auto"/>
            </w:pPr>
            <w:r/>
            <w:r>
              <w:rPr>
                <w:rFonts w:ascii="Arial" w:hAnsi="Arial" w:cs="Arial" w:eastAsia="Arial"/>
                <w:b w:val="0"/>
                <w:bCs w:val="0"/>
                <w:sz w:val="19"/>
                <w:szCs w:val="19"/>
              </w:rPr>
              <w:t>‎4-1-3-1‎، ‎4-1-1‎</w:t>
            </w:r>
          </w:p>
        </w:tc>
        <w:tc>
          <w:tcPr>
            <w:tcW w:type="dxa" w:w="1644"/>
          </w:tcPr>
          <w:p>
            <w:pPr>
              <w:bidi/>
              <w:spacing w:after="20" w:line="252" w:lineRule="auto"/>
            </w:pPr>
            <w:r/>
            <w:r>
              <w:rPr>
                <w:rFonts w:ascii="Arial" w:hAnsi="Arial" w:cs="Arial" w:eastAsia="Arial"/>
                <w:b w:val="0"/>
                <w:bCs w:val="0"/>
                <w:sz w:val="19"/>
                <w:szCs w:val="19"/>
              </w:rPr>
              <w:t>غير مطبق</w:t>
            </w:r>
          </w:p>
        </w:tc>
      </w:tr>
      <w:tr>
        <w:trPr>
          <w:cantSplit/>
        </w:trPr>
        <w:tc>
          <w:tcPr>
            <w:tcW w:type="dxa" w:w="397"/>
          </w:tcPr>
          <w:p>
            <w:pPr>
              <w:bidi/>
              <w:spacing w:after="20" w:line="252" w:lineRule="auto"/>
            </w:pPr>
            <w:r/>
            <w:r>
              <w:rPr>
                <w:rFonts w:ascii="Arial" w:hAnsi="Arial" w:cs="Arial" w:eastAsia="Arial"/>
                <w:b w:val="0"/>
                <w:bCs w:val="0"/>
                <w:sz w:val="19"/>
                <w:szCs w:val="19"/>
              </w:rPr>
              <w:t>8</w:t>
            </w:r>
          </w:p>
        </w:tc>
        <w:tc>
          <w:tcPr>
            <w:tcW w:type="dxa" w:w="4535"/>
          </w:tcPr>
          <w:p>
            <w:pPr>
              <w:bidi/>
              <w:spacing w:after="20" w:line="252" w:lineRule="auto"/>
            </w:pPr>
            <w:r/>
            <w:r>
              <w:rPr>
                <w:rFonts w:ascii="Arial" w:hAnsi="Arial" w:cs="Arial" w:eastAsia="Arial"/>
                <w:b w:val="0"/>
                <w:bCs w:val="0"/>
                <w:sz w:val="19"/>
                <w:szCs w:val="19"/>
              </w:rPr>
              <w:t>عقد الاستضافة: البنود الأساسية موجودة (للمقارنة)</w:t>
            </w:r>
          </w:p>
        </w:tc>
        <w:tc>
          <w:tcPr>
            <w:tcW w:type="dxa" w:w="1361"/>
          </w:tcPr>
          <w:p>
            <w:pPr>
              <w:bidi/>
              <w:spacing w:after="20" w:line="252" w:lineRule="auto"/>
            </w:pPr>
            <w:r/>
            <w:r>
              <w:rPr>
                <w:rFonts w:ascii="Arial" w:hAnsi="Arial" w:cs="Arial" w:eastAsia="Arial"/>
                <w:b w:val="0"/>
                <w:bCs w:val="0"/>
                <w:sz w:val="19"/>
                <w:szCs w:val="19"/>
              </w:rPr>
              <w:t>‎4-1-2‎، ‎4-1-3-1‎</w:t>
            </w:r>
          </w:p>
        </w:tc>
        <w:tc>
          <w:tcPr>
            <w:tcW w:type="dxa" w:w="1701"/>
          </w:tcPr>
          <w:p>
            <w:pPr>
              <w:bidi/>
              <w:spacing w:after="20" w:line="252" w:lineRule="auto"/>
            </w:pPr>
            <w:r/>
            <w:r>
              <w:rPr>
                <w:rFonts w:ascii="Arial" w:hAnsi="Arial" w:cs="Arial" w:eastAsia="Arial"/>
                <w:b w:val="0"/>
                <w:bCs w:val="0"/>
                <w:sz w:val="19"/>
                <w:szCs w:val="19"/>
              </w:rPr>
              <w:t>‎4-2-3-1‎، ‎4-2-3-2‎</w:t>
            </w:r>
          </w:p>
        </w:tc>
        <w:tc>
          <w:tcPr>
            <w:tcW w:type="dxa" w:w="1644"/>
          </w:tcPr>
          <w:p>
            <w:pPr>
              <w:bidi/>
              <w:spacing w:after="20" w:line="252" w:lineRule="auto"/>
            </w:pPr>
            <w:r/>
            <w:r>
              <w:rPr>
                <w:rFonts w:ascii="Arial" w:hAnsi="Arial" w:cs="Arial" w:eastAsia="Arial"/>
                <w:b w:val="0"/>
                <w:bCs w:val="0"/>
                <w:sz w:val="19"/>
                <w:szCs w:val="19"/>
              </w:rPr>
              <w:t>مطبق تعاقدياً</w:t>
            </w:r>
          </w:p>
        </w:tc>
      </w:tr>
    </w:tbl>
    <w:p>
      <w:pPr>
        <w:spacing w:after="40"/>
      </w:pPr>
    </w:p>
    <w:p>
      <w:pPr>
        <w:pStyle w:val="Heading1"/>
        <w:bidi/>
      </w:pPr>
      <w:r>
        <w:rPr>
          <w:rFonts w:ascii="Arial" w:hAnsi="Arial" w:cs="Arial" w:eastAsia="Arial"/>
          <w:b w:val="0"/>
          <w:bCs w:val="0"/>
        </w:rPr>
        <w:t>تفاصيل أوجه القصور</w:t>
      </w:r>
    </w:p>
    <w:p>
      <w:pPr>
        <w:pStyle w:val="Heading2"/>
        <w:bidi/>
      </w:pPr>
      <w:r>
        <w:rPr>
          <w:rFonts w:ascii="Arial" w:hAnsi="Arial" w:cs="Arial" w:eastAsia="Arial"/>
          <w:b w:val="0"/>
          <w:bCs w:val="0"/>
        </w:rPr>
        <w:t>الملاحظة 1: سرية بلا ما بعد الانتهاء، وبلا حذف آمن</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‎4-1-2-1‎: «بنود المحافظة على سرية المعلومات (Non-Disclosure Clauses) والحذف الآمن من قِبَل الطرف الخارجي لبيانات الجهة عند انتهاء الخدمة.»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السرية يجب أن تستمر بعد انتهاء العقد، ويجب أن يُلزم المورد بحذف بيانات الجهة حذفاً آمناً عند انتهاء الخدمة.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البند 7 يحصر السرية في «طوال مدة سريان العقد».</w:t>
            </w:r>
          </w:p>
          <w:p>
            <w:pPr>
              <w:bidi/>
              <w:spacing w:after="20" w:line="252" w:lineRule="auto"/>
              <w:ind w:right="57"/>
            </w:pPr>
            <w:r>
              <w:rPr>
                <w:rFonts w:ascii="Arial" w:hAnsi="Arial" w:cs="Arial" w:eastAsia="Arial"/>
                <w:b w:val="0"/>
                <w:bCs w:val="0"/>
                <w:sz w:val="20"/>
                <w:szCs w:val="20"/>
              </w:rPr>
              <w:t>• البند 14 يذكر تسليم التقارير عند الانتهاء، ولا يذكر حذف البيانات.</w:t>
            </w:r>
          </w:p>
          <w:p>
            <w:pPr>
              <w:bidi/>
              <w:spacing w:after="20" w:line="252" w:lineRule="auto"/>
              <w:ind w:right="57"/>
            </w:pPr>
            <w:r>
              <w:rPr>
                <w:rFonts w:ascii="Arial" w:hAnsi="Arial" w:cs="Arial" w:eastAsia="Arial"/>
                <w:b w:val="0"/>
                <w:bCs w:val="0"/>
                <w:sz w:val="20"/>
                <w:szCs w:val="20"/>
              </w:rPr>
              <w:t>• إجابة Q5: «نحتفظ بها 180 يوماً ثم تُحذف وفق سياستنا»، بلا دليل وبلا التزام تعاقدي.</w:t>
            </w:r>
          </w:p>
          <w:p>
            <w:pPr>
              <w:bidi/>
              <w:spacing w:after="20" w:line="252" w:lineRule="auto"/>
              <w:ind w:right="57"/>
            </w:pPr>
            <w:r>
              <w:rPr>
                <w:rFonts w:ascii="Arial" w:hAnsi="Arial" w:cs="Arial" w:eastAsia="Arial"/>
                <w:b w:val="0"/>
                <w:bCs w:val="0"/>
                <w:sz w:val="20"/>
                <w:szCs w:val="20"/>
              </w:rPr>
              <w:t>• المورد يطلع على سجلات أمنية مصنفة «سري» (سجل الموردين).</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إجابة المورد عن الحذف ادعاء غير ملزم، ولا تثبت طريقة الحذف ولا شموله للنسخ الاحتياطية.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هل توجد اتفاقية عدم إفصاح منفصلة موقعة؟ (أفادت المشتريات بأن المقتطف هو كل البنود ذات العلاقة).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غير مطبق.</w:t>
            </w:r>
          </w:p>
          <w:p>
            <w:pPr>
              <w:bidi/>
              <w:spacing w:after="20" w:line="252" w:lineRule="auto"/>
            </w:pPr>
            <w:r>
              <w:rPr>
                <w:rFonts w:ascii="Arial" w:hAnsi="Arial" w:cs="Arial" w:eastAsia="Arial"/>
                <w:b w:val="0"/>
                <w:bCs w:val="0"/>
                <w:sz w:val="20"/>
                <w:szCs w:val="20"/>
              </w:rPr>
              <w:t>الضابط يطلب البندين معاً في العقد، والعقد خالٍ من الحذف الآمن ويقصر السرية على مدة العقد.</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«مطبق جزئياً» مقبول إذا برر المتدرب بوجود بند سرية أصلاً مع نقصه؛ بشرط ذكر غياب الحذف الآمن صراحة.</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ملحق تعاقدي يمد السرية بعد الانتهاء ويلزم بالحذف الآمن بشهادة</w:t>
            </w:r>
          </w:p>
        </w:tc>
        <w:tc>
          <w:tcPr>
            <w:tcW w:type="dxa" w:w="2268"/>
          </w:tcPr>
          <w:p>
            <w:pPr>
              <w:bidi/>
              <w:spacing w:after="20" w:line="252" w:lineRule="auto"/>
            </w:pPr>
            <w:r/>
            <w:r>
              <w:rPr>
                <w:rFonts w:ascii="Arial" w:hAnsi="Arial" w:cs="Arial" w:eastAsia="Arial"/>
                <w:b w:val="0"/>
                <w:bCs w:val="0"/>
                <w:sz w:val="19"/>
                <w:szCs w:val="19"/>
              </w:rPr>
              <w:t>عادل الجهني / طلال العمري</w:t>
            </w:r>
          </w:p>
        </w:tc>
        <w:tc>
          <w:tcPr>
            <w:tcW w:type="dxa" w:w="1417"/>
          </w:tcPr>
          <w:p>
            <w:pPr>
              <w:bidi/>
              <w:spacing w:after="20" w:line="252" w:lineRule="auto"/>
            </w:pPr>
            <w:r/>
            <w:r>
              <w:rPr>
                <w:rFonts w:ascii="Arial" w:hAnsi="Arial" w:cs="Arial" w:eastAsia="Arial"/>
                <w:b w:val="0"/>
                <w:bCs w:val="0"/>
                <w:sz w:val="19"/>
                <w:szCs w:val="19"/>
              </w:rPr>
              <w:t>‎2026-10-07‎</w:t>
            </w:r>
          </w:p>
        </w:tc>
      </w:tr>
    </w:tbl>
    <w:p>
      <w:pPr>
        <w:spacing w:after="40"/>
      </w:pPr>
    </w:p>
    <w:p>
      <w:pPr>
        <w:pStyle w:val="Heading2"/>
        <w:bidi/>
      </w:pPr>
      <w:r>
        <w:rPr>
          <w:rFonts w:ascii="Arial" w:hAnsi="Arial" w:cs="Arial" w:eastAsia="Arial"/>
          <w:b w:val="0"/>
          <w:bCs w:val="0"/>
        </w:rPr>
        <w:t>الملاحظة 2: إبلاغ الحوادث في التقرير الشهري فقط</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‎4-1-2-2‎: «إجراءات التواصل في حال حدوث حادثة أمن سيبراني.»</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إجراءات التواصل في حال حدوث حادثة تعني أن الجهة تعرف بالحادثة في وقت يسمح لها بالتصرف، عبر قناة ومسؤولين محددين، لا بعد أسابيع في تقرير دوري.</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البند 8 يجعل الإبلاغ ضمن تقرير شهري يسلَّم خلال عشرة أيام من الشهر التالي.</w:t>
            </w:r>
          </w:p>
          <w:p>
            <w:pPr>
              <w:bidi/>
              <w:spacing w:after="20" w:line="252" w:lineRule="auto"/>
              <w:ind w:right="57"/>
            </w:pPr>
            <w:r>
              <w:rPr>
                <w:rFonts w:ascii="Arial" w:hAnsi="Arial" w:cs="Arial" w:eastAsia="Arial"/>
                <w:b w:val="0"/>
                <w:bCs w:val="0"/>
                <w:sz w:val="20"/>
                <w:szCs w:val="20"/>
              </w:rPr>
              <w:t>• إجابة Q6: «ضمن التقرير الشهري، والحرجة جداً هاتفياً حسب تقدير مدير الخدمة».</w:t>
            </w:r>
          </w:p>
          <w:p>
            <w:pPr>
              <w:bidi/>
              <w:spacing w:after="20" w:line="252" w:lineRule="auto"/>
              <w:ind w:right="57"/>
            </w:pPr>
            <w:r>
              <w:rPr>
                <w:rFonts w:ascii="Arial" w:hAnsi="Arial" w:cs="Arial" w:eastAsia="Arial"/>
                <w:b w:val="0"/>
                <w:bCs w:val="0"/>
                <w:sz w:val="20"/>
                <w:szCs w:val="20"/>
              </w:rPr>
              <w:t>• سجل الحوادث: أطول تأخر 29 يوماً ومتوسط 16.8 يوماً؛ والحادثتان العاليتان أُبلغ بهما بعد 23 و29 يوماً.</w:t>
            </w:r>
          </w:p>
          <w:p>
            <w:pPr>
              <w:bidi/>
              <w:spacing w:after="20" w:line="252" w:lineRule="auto"/>
              <w:ind w:right="57"/>
            </w:pPr>
            <w:r>
              <w:rPr>
                <w:rFonts w:ascii="Arial" w:hAnsi="Arial" w:cs="Arial" w:eastAsia="Arial"/>
                <w:b w:val="0"/>
                <w:bCs w:val="0"/>
                <w:sz w:val="20"/>
                <w:szCs w:val="20"/>
              </w:rPr>
              <w:t>• البند 13 (30 دقيقة) يقيس استجابة محلل المورد داخل مركزه، لا إبلاغ الجهة.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لا يثبت أن الجهة لم تعرف بالحوادث بطريق آخر (مثل اتصال غير موثق)؛ لكن لا دليل على ذلك.</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مصفوفة تواصل أو إجراء تصعيد متفق عليه (غير موجود في العقد).</w:t>
            </w:r>
          </w:p>
          <w:p>
            <w:pPr>
              <w:bidi/>
              <w:spacing w:after="20" w:line="252" w:lineRule="auto"/>
              <w:ind w:right="57"/>
            </w:pPr>
            <w:r>
              <w:rPr>
                <w:rFonts w:ascii="Arial" w:hAnsi="Arial" w:cs="Arial" w:eastAsia="Arial"/>
                <w:b w:val="0"/>
                <w:bCs w:val="0"/>
                <w:sz w:val="20"/>
                <w:szCs w:val="20"/>
              </w:rPr>
              <w:t>• هل أبلغت الجهة الهيئة بأي من الحوادث العالية ضمن متطلبات ‎2-13‎؟</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غير مطبق.</w:t>
            </w:r>
          </w:p>
          <w:p>
            <w:pPr>
              <w:bidi/>
              <w:spacing w:after="20" w:line="252" w:lineRule="auto"/>
            </w:pPr>
            <w:r>
              <w:rPr>
                <w:rFonts w:ascii="Arial" w:hAnsi="Arial" w:cs="Arial" w:eastAsia="Arial"/>
                <w:b w:val="0"/>
                <w:bCs w:val="0"/>
                <w:sz w:val="20"/>
                <w:szCs w:val="20"/>
              </w:rPr>
              <w:t>لا توجد إجراءات تواصل عند وقوع الحادثة؛ الموجود تقرير دوري، والبيانات تثبت أثر ذلك (تأخر حتى 29 يوماً).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الربط بـ ‎2-13-3‎ (إدارة الحوادث والإبلاغ) مقبول كإضافة، لأن تأخر معرفة الجهة يعطل التزاماتها.</w:t>
            </w:r>
          </w:p>
          <w:p>
            <w:pPr>
              <w:bidi/>
              <w:spacing w:after="20" w:line="252" w:lineRule="auto"/>
              <w:ind w:right="57"/>
            </w:pPr>
            <w:r>
              <w:rPr>
                <w:rFonts w:ascii="Arial" w:hAnsi="Arial" w:cs="Arial" w:eastAsia="Arial"/>
                <w:b w:val="0"/>
                <w:bCs w:val="0"/>
                <w:sz w:val="20"/>
                <w:szCs w:val="20"/>
              </w:rPr>
              <w:t>• من اعتبر البند 13 كافياً لا يأخذ درجة المعيار 3 لهذه النقطة.</w:t>
            </w:r>
          </w:p>
        </w:tc>
      </w:tr>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«تطبيق مقترح»</w:t>
            </w:r>
          </w:p>
        </w:tc>
        <w:tc>
          <w:tcPr>
            <w:tcW w:type="dxa" w:w="7483"/>
          </w:tcPr>
          <w:p>
            <w:pPr>
              <w:bidi/>
              <w:spacing w:after="20" w:line="252" w:lineRule="auto"/>
            </w:pPr>
            <w:r/>
            <w:r>
              <w:rPr>
                <w:rFonts w:ascii="Arial" w:hAnsi="Arial" w:cs="Arial" w:eastAsia="Arial"/>
                <w:b w:val="0"/>
                <w:bCs w:val="0"/>
                <w:sz w:val="20"/>
                <w:szCs w:val="20"/>
              </w:rPr>
              <w:t>الإبلاغ الفوري عند الاكتشاف للحوادث المؤكدة أو المشتبه بها، بحد أقصى ساعات محددة حسب التصنيف، عبر مصفوفة تواصل، مع تقرير أولي ونهائي. المدد الدقيقة تختارها الجهة؛ ECC لا يحدد رقماً.</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ملحق تعاقدي بإجراءات الإبلاغ ومصفوفة التواصل والتصعيد</w:t>
            </w:r>
          </w:p>
        </w:tc>
        <w:tc>
          <w:tcPr>
            <w:tcW w:type="dxa" w:w="2268"/>
          </w:tcPr>
          <w:p>
            <w:pPr>
              <w:bidi/>
              <w:spacing w:after="20" w:line="252" w:lineRule="auto"/>
            </w:pPr>
            <w:r/>
            <w:r>
              <w:rPr>
                <w:rFonts w:ascii="Arial" w:hAnsi="Arial" w:cs="Arial" w:eastAsia="Arial"/>
                <w:b w:val="0"/>
                <w:bCs w:val="0"/>
                <w:sz w:val="19"/>
                <w:szCs w:val="19"/>
              </w:rPr>
              <w:t>م. ماجد الزهراني / عادل الجهني</w:t>
            </w:r>
          </w:p>
        </w:tc>
        <w:tc>
          <w:tcPr>
            <w:tcW w:type="dxa" w:w="1417"/>
          </w:tcPr>
          <w:p>
            <w:pPr>
              <w:bidi/>
              <w:spacing w:after="20" w:line="252" w:lineRule="auto"/>
            </w:pPr>
            <w:r/>
            <w:r>
              <w:rPr>
                <w:rFonts w:ascii="Arial" w:hAnsi="Arial" w:cs="Arial" w:eastAsia="Arial"/>
                <w:b w:val="0"/>
                <w:bCs w:val="0"/>
                <w:sz w:val="19"/>
                <w:szCs w:val="19"/>
              </w:rPr>
              <w:t>‎2026-10-07‎</w:t>
            </w:r>
          </w:p>
        </w:tc>
      </w:tr>
      <w:tr>
        <w:trPr>
          <w:cantSplit/>
        </w:trPr>
        <w:tc>
          <w:tcPr>
            <w:tcW w:type="dxa" w:w="5953"/>
          </w:tcPr>
          <w:p>
            <w:pPr>
              <w:bidi/>
              <w:spacing w:after="20" w:line="252" w:lineRule="auto"/>
            </w:pPr>
            <w:r/>
            <w:r>
              <w:rPr>
                <w:rFonts w:ascii="Arial" w:hAnsi="Arial" w:cs="Arial" w:eastAsia="Arial"/>
                <w:b w:val="0"/>
                <w:bCs w:val="0"/>
                <w:sz w:val="19"/>
                <w:szCs w:val="19"/>
              </w:rPr>
              <w:t>إجراء مؤقت فوري: اتصال يومي من المورد بملخص الحوادث المفتوحة حتى توقيع الملحق</w:t>
            </w:r>
          </w:p>
        </w:tc>
        <w:tc>
          <w:tcPr>
            <w:tcW w:type="dxa" w:w="2268"/>
          </w:tcPr>
          <w:p>
            <w:pPr>
              <w:bidi/>
              <w:spacing w:after="20" w:line="252" w:lineRule="auto"/>
            </w:pPr>
            <w:r/>
            <w:r>
              <w:rPr>
                <w:rFonts w:ascii="Arial" w:hAnsi="Arial" w:cs="Arial" w:eastAsia="Arial"/>
                <w:b w:val="0"/>
                <w:bCs w:val="0"/>
                <w:sz w:val="19"/>
                <w:szCs w:val="19"/>
              </w:rPr>
              <w:t>م. ماجد الزهراني</w:t>
            </w:r>
          </w:p>
        </w:tc>
        <w:tc>
          <w:tcPr>
            <w:tcW w:type="dxa" w:w="1417"/>
          </w:tcPr>
          <w:p>
            <w:pPr>
              <w:bidi/>
              <w:spacing w:after="20" w:line="252" w:lineRule="auto"/>
            </w:pPr>
            <w:r/>
            <w:r>
              <w:rPr>
                <w:rFonts w:ascii="Arial" w:hAnsi="Arial" w:cs="Arial" w:eastAsia="Arial"/>
                <w:b w:val="0"/>
                <w:bCs w:val="0"/>
                <w:sz w:val="19"/>
                <w:szCs w:val="19"/>
              </w:rPr>
              <w:t>‎2026-09-09‎</w:t>
            </w:r>
          </w:p>
        </w:tc>
      </w:tr>
    </w:tbl>
    <w:p>
      <w:pPr>
        <w:spacing w:after="40"/>
      </w:pPr>
    </w:p>
    <w:p>
      <w:pPr>
        <w:pStyle w:val="Heading2"/>
        <w:bidi/>
      </w:pPr>
      <w:r>
        <w:rPr>
          <w:rFonts w:ascii="Arial" w:hAnsi="Arial" w:cs="Arial" w:eastAsia="Arial"/>
          <w:b w:val="0"/>
          <w:bCs w:val="0"/>
        </w:rPr>
        <w:t>الملاحظة 3: المورد يطبق سياساته لا سياسات الجهة</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‎4-1-2-3‎: «إلزام الطرف الخارجي بتطبيق متطلبات وسياسات الأمن السيبراني للجهة والمتطلبات التشريعية والتنظيمية ذات العلاقة.»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الضابط يطلب أن يلتزم المورد بمتطلبات وسياسات الأمن السيبراني للجهة، لا أن تثق الجهة بسياسات المورد الداخلية.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البند 9: «وفقاً لسياساته وإجراءاته الداخلية... وأفضل الممارسات الدولية».</w:t>
            </w:r>
          </w:p>
          <w:p>
            <w:pPr>
              <w:bidi/>
              <w:spacing w:after="20" w:line="252" w:lineRule="auto"/>
              <w:ind w:right="57"/>
            </w:pPr>
            <w:r>
              <w:rPr>
                <w:rFonts w:ascii="Arial" w:hAnsi="Arial" w:cs="Arial" w:eastAsia="Arial"/>
                <w:b w:val="0"/>
                <w:bCs w:val="0"/>
                <w:sz w:val="20"/>
                <w:szCs w:val="20"/>
              </w:rPr>
              <w:t>• إجابة Q7: «نلتزم بسياساتنا الداخلية».</w:t>
            </w:r>
          </w:p>
          <w:p>
            <w:pPr>
              <w:bidi/>
              <w:spacing w:after="20" w:line="252" w:lineRule="auto"/>
              <w:ind w:right="57"/>
            </w:pPr>
            <w:r>
              <w:rPr>
                <w:rFonts w:ascii="Arial" w:hAnsi="Arial" w:cs="Arial" w:eastAsia="Arial"/>
                <w:b w:val="0"/>
                <w:bCs w:val="0"/>
                <w:sz w:val="20"/>
                <w:szCs w:val="20"/>
              </w:rPr>
              <w:t>• في المقابل، عقد الاستضافة (البند 9) يرفق سياسات الجهة ويلزم بها.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شهادة ISO 27001 للمورد (Q1) تثبت نظاماً إدارياً لديه، لكنها لا تثبت التزامه بسياسات الجهة.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هل سُلمت سياسات الجهة للمورد ووقع على استلامها؟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غير مطبق.</w:t>
            </w:r>
          </w:p>
          <w:p>
            <w:pPr>
              <w:bidi/>
              <w:spacing w:after="20" w:line="252" w:lineRule="auto"/>
            </w:pPr>
            <w:r>
              <w:rPr>
                <w:rFonts w:ascii="Arial" w:hAnsi="Arial" w:cs="Arial" w:eastAsia="Arial"/>
                <w:b w:val="0"/>
                <w:bCs w:val="0"/>
                <w:sz w:val="20"/>
                <w:szCs w:val="20"/>
              </w:rPr>
              <w:t>النص التعاقدي يحيل إلى سياسات المورد صراحة، ولا يلزمه بسياسات الجهة ولا بالمتطلبات التشريعية والتنظيمية.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الربط بـ ‎4-1-1‎ (المتطلبات لم تحدد في العقد) مقبول.</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إرفاق سياسات الأمن السيبراني للجهة بالعقد وإلزام المورد بها في الملحق</w:t>
            </w:r>
          </w:p>
        </w:tc>
        <w:tc>
          <w:tcPr>
            <w:tcW w:type="dxa" w:w="2268"/>
          </w:tcPr>
          <w:p>
            <w:pPr>
              <w:bidi/>
              <w:spacing w:after="20" w:line="252" w:lineRule="auto"/>
            </w:pPr>
            <w:r/>
            <w:r>
              <w:rPr>
                <w:rFonts w:ascii="Arial" w:hAnsi="Arial" w:cs="Arial" w:eastAsia="Arial"/>
                <w:b w:val="0"/>
                <w:bCs w:val="0"/>
                <w:sz w:val="19"/>
                <w:szCs w:val="19"/>
              </w:rPr>
              <w:t>ريم الحربي</w:t>
            </w:r>
          </w:p>
        </w:tc>
        <w:tc>
          <w:tcPr>
            <w:tcW w:type="dxa" w:w="1417"/>
          </w:tcPr>
          <w:p>
            <w:pPr>
              <w:bidi/>
              <w:spacing w:after="20" w:line="252" w:lineRule="auto"/>
            </w:pPr>
            <w:r/>
            <w:r>
              <w:rPr>
                <w:rFonts w:ascii="Arial" w:hAnsi="Arial" w:cs="Arial" w:eastAsia="Arial"/>
                <w:b w:val="0"/>
                <w:bCs w:val="0"/>
                <w:sz w:val="19"/>
                <w:szCs w:val="19"/>
              </w:rPr>
              <w:t>‎2026-10-07‎</w:t>
            </w:r>
          </w:p>
        </w:tc>
      </w:tr>
    </w:tbl>
    <w:p>
      <w:pPr>
        <w:spacing w:after="40"/>
      </w:pPr>
    </w:p>
    <w:p>
      <w:pPr>
        <w:pStyle w:val="Heading2"/>
        <w:bidi/>
      </w:pPr>
      <w:r>
        <w:rPr>
          <w:rFonts w:ascii="Arial" w:hAnsi="Arial" w:cs="Arial" w:eastAsia="Arial"/>
          <w:b w:val="0"/>
          <w:bCs w:val="0"/>
        </w:rPr>
        <w:t>الملاحظة 4: جزء من المراقبة عن بعد من خارج المملكة</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‎4-1-3-2‎: «أن تكون مراكز عمليات خدمات الأمن السيبراني المدارة للتشغيل والمراقبة، والتي تستخدم طريقة الوصول عن بعد، موجودة بالكامل داخل المملكة.»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هذا الضابط خاص بمراكز عمليات خدمات الأمن السيبراني المدارة للتشغيل والمراقبة التي تستخدم الوصول عن بعد، ويطلب أن تكون موجودة «بالكامل» داخل المملكة. كلمة «بالكامل» تعني أن أي جزء من هذه العمليات، ولو مناوبة ليلية، لا يجوز أن يكون خارج المملكة.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الخدمة مركز عمليات أمن سيبراني مُدار للمراقبة والتحليل، ويستخدم الوصول عن بعد إلى SIEM (البند 11)، فهي داخل نطاق ‎4-1-3-2‎ تماماً.</w:t>
            </w:r>
          </w:p>
          <w:p>
            <w:pPr>
              <w:bidi/>
              <w:spacing w:after="20" w:line="252" w:lineRule="auto"/>
              <w:ind w:right="57"/>
            </w:pPr>
            <w:r>
              <w:rPr>
                <w:rFonts w:ascii="Arial" w:hAnsi="Arial" w:cs="Arial" w:eastAsia="Arial"/>
                <w:b w:val="0"/>
                <w:bCs w:val="0"/>
                <w:sz w:val="20"/>
                <w:szCs w:val="20"/>
              </w:rPr>
              <w:t>• إجابة Q2: المركز الإقليمي للمجموعة «خارج المملكة» يحلل التنبيهات من 22:00 إلى 06:00 «عبر وصول عن بعد إلى منصة SIEM لدى العميل».</w:t>
            </w:r>
          </w:p>
          <w:p>
            <w:pPr>
              <w:bidi/>
              <w:spacing w:after="20" w:line="252" w:lineRule="auto"/>
              <w:ind w:right="57"/>
            </w:pPr>
            <w:r>
              <w:rPr>
                <w:rFonts w:ascii="Arial" w:hAnsi="Arial" w:cs="Arial" w:eastAsia="Arial"/>
                <w:b w:val="0"/>
                <w:bCs w:val="0"/>
                <w:sz w:val="20"/>
                <w:szCs w:val="20"/>
              </w:rPr>
              <w:t>• كشف الفريق: فريق التحليل الليلي (3 محللين) موقعه «خارج المملكة» ويصل إلى وحدة تحكم SIEM عن بعد.</w:t>
            </w:r>
          </w:p>
          <w:p>
            <w:pPr>
              <w:bidi/>
              <w:spacing w:after="20" w:line="252" w:lineRule="auto"/>
              <w:ind w:right="57"/>
            </w:pPr>
            <w:r>
              <w:rPr>
                <w:rFonts w:ascii="Arial" w:hAnsi="Arial" w:cs="Arial" w:eastAsia="Arial"/>
                <w:b w:val="0"/>
                <w:bCs w:val="0"/>
                <w:sz w:val="20"/>
                <w:szCs w:val="20"/>
              </w:rPr>
              <w:t>• البند 10 يسمح بالاستعانة «بفرق الدعم التابعة لمجموعته» دون قيد جغرافي.</w:t>
            </w:r>
          </w:p>
          <w:p>
            <w:pPr>
              <w:bidi/>
              <w:spacing w:after="20" w:line="252" w:lineRule="auto"/>
              <w:ind w:right="57"/>
            </w:pPr>
            <w:r>
              <w:rPr>
                <w:rFonts w:ascii="Arial" w:hAnsi="Arial" w:cs="Arial" w:eastAsia="Arial"/>
                <w:b w:val="0"/>
                <w:bCs w:val="0"/>
                <w:sz w:val="20"/>
                <w:szCs w:val="20"/>
              </w:rPr>
              <w:t>• تقييم المخاطر سجل موقع الخدمة «الرياض» فقط، مع أن إجابة Q2 كانت أمامه.</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لا يثبت ما الذي يطلع عليه الفريق الليلي تحديداً، لكن ذلك لا يغير الحكم: الضابط يتعلق بموقع المركز الذي يعمل عن بعد، لا بحجم ما يطلع عليه.</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قائمة حسابات SIEM المحلية التي أنشأها المورد وسجلات دخولها ومصادرها.</w:t>
            </w:r>
          </w:p>
          <w:p>
            <w:pPr>
              <w:bidi/>
              <w:spacing w:after="20" w:line="252" w:lineRule="auto"/>
              <w:ind w:right="57"/>
            </w:pPr>
            <w:r>
              <w:rPr>
                <w:rFonts w:ascii="Arial" w:hAnsi="Arial" w:cs="Arial" w:eastAsia="Arial"/>
                <w:b w:val="0"/>
                <w:bCs w:val="0"/>
                <w:sz w:val="20"/>
                <w:szCs w:val="20"/>
              </w:rPr>
              <w:t>• منذ متى يعمل الفريق الإقليمي على منصة الجهة.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غير مطبق.</w:t>
            </w:r>
          </w:p>
          <w:p>
            <w:pPr>
              <w:bidi/>
              <w:spacing w:after="20" w:line="252" w:lineRule="auto"/>
            </w:pPr>
            <w:r>
              <w:rPr>
                <w:rFonts w:ascii="Arial" w:hAnsi="Arial" w:cs="Arial" w:eastAsia="Arial"/>
                <w:b w:val="0"/>
                <w:bCs w:val="0"/>
                <w:sz w:val="20"/>
                <w:szCs w:val="20"/>
              </w:rPr>
              <w:t>جزء من عمليات المراقبة عن بعد يتم من خارج المملكة، بإقرار المورد ومستنداته، والنص يشترط الوجود الكامل داخل المملكة.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الربط الإضافي بـ ‎4-1-2-3‎ (المتطلبات التشريعية والتنظيمية) مقبول.</w:t>
            </w:r>
          </w:p>
          <w:p>
            <w:pPr>
              <w:bidi/>
              <w:spacing w:after="20" w:line="252" w:lineRule="auto"/>
              <w:ind w:right="57"/>
            </w:pPr>
            <w:r>
              <w:rPr>
                <w:rFonts w:ascii="Arial" w:hAnsi="Arial" w:cs="Arial" w:eastAsia="Arial"/>
                <w:b w:val="0"/>
                <w:bCs w:val="0"/>
                <w:sz w:val="20"/>
                <w:szCs w:val="20"/>
              </w:rPr>
              <w:t xml:space="preserve">• </w:t>
            </w:r>
            <w:r>
              <w:rPr>
                <w:rFonts w:ascii="Arial" w:hAnsi="Arial" w:cs="Arial" w:eastAsia="Arial"/>
                <w:b w:val="1"/>
                <w:bCs w:val="1"/>
                <w:sz w:val="20"/>
                <w:szCs w:val="20"/>
              </w:rPr>
              <w:t>تطبيق خاطئ شائع:</w:t>
            </w:r>
            <w:r>
              <w:rPr>
                <w:rFonts w:ascii="Arial" w:hAnsi="Arial" w:cs="Arial" w:eastAsia="Arial"/>
                <w:b w:val="0"/>
                <w:bCs w:val="0"/>
                <w:sz w:val="20"/>
                <w:szCs w:val="20"/>
              </w:rPr>
              <w:t xml:space="preserve"> مطالبة مزود الاستضافة السحابية أو مطور البوابة بشرط ‎4-1-3-2‎. نص هذا الضابط يخص مراكز عمليات خدمات الأمن السيبراني المدارة للتشغيل والمراقبة التي تستخدم الوصول عن بعد، لا كل خدمة مدارة. موقع بيانات الاستضافة يُقيَّم وفق ضوابط ‎4-2‎ والمتطلبات التشريعية والتنظيمية الأخرى ذات العلاقة.</w:t>
            </w:r>
          </w:p>
          <w:p>
            <w:pPr>
              <w:bidi/>
              <w:spacing w:after="20" w:line="252" w:lineRule="auto"/>
              <w:ind w:right="57"/>
            </w:pPr>
            <w:r>
              <w:rPr>
                <w:rFonts w:ascii="Arial" w:hAnsi="Arial" w:cs="Arial" w:eastAsia="Arial"/>
                <w:b w:val="0"/>
                <w:bCs w:val="0"/>
                <w:sz w:val="20"/>
                <w:szCs w:val="20"/>
              </w:rPr>
              <w:t>• من كتب «مطبق جزئياً» لأن المركز الرئيسي في الرياض لا يأخذ درجة الحكم: الضابط يشترط «بالكامل».</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إيقاف وصول الفريق الإقليمي إلى SIEM فوراً (تعطيل الحسابات المحلية وقطع المسار)، والتحقق من السجلات</w:t>
            </w:r>
          </w:p>
        </w:tc>
        <w:tc>
          <w:tcPr>
            <w:tcW w:type="dxa" w:w="2268"/>
          </w:tcPr>
          <w:p>
            <w:pPr>
              <w:bidi/>
              <w:spacing w:after="20" w:line="252" w:lineRule="auto"/>
            </w:pPr>
            <w:r/>
            <w:r>
              <w:rPr>
                <w:rFonts w:ascii="Arial" w:hAnsi="Arial" w:cs="Arial" w:eastAsia="Arial"/>
                <w:b w:val="0"/>
                <w:bCs w:val="0"/>
                <w:sz w:val="19"/>
                <w:szCs w:val="19"/>
              </w:rPr>
              <w:t>م. ماجد الزهراني</w:t>
            </w:r>
          </w:p>
        </w:tc>
        <w:tc>
          <w:tcPr>
            <w:tcW w:type="dxa" w:w="1417"/>
          </w:tcPr>
          <w:p>
            <w:pPr>
              <w:bidi/>
              <w:spacing w:after="20" w:line="252" w:lineRule="auto"/>
            </w:pPr>
            <w:r/>
            <w:r>
              <w:rPr>
                <w:rFonts w:ascii="Arial" w:hAnsi="Arial" w:cs="Arial" w:eastAsia="Arial"/>
                <w:b w:val="0"/>
                <w:bCs w:val="0"/>
                <w:sz w:val="19"/>
                <w:szCs w:val="19"/>
              </w:rPr>
              <w:t>‎2026-09-08‎</w:t>
            </w:r>
          </w:p>
        </w:tc>
      </w:tr>
      <w:tr>
        <w:trPr>
          <w:cantSplit/>
        </w:trPr>
        <w:tc>
          <w:tcPr>
            <w:tcW w:type="dxa" w:w="5953"/>
          </w:tcPr>
          <w:p>
            <w:pPr>
              <w:bidi/>
              <w:spacing w:after="20" w:line="252" w:lineRule="auto"/>
            </w:pPr>
            <w:r/>
            <w:r>
              <w:rPr>
                <w:rFonts w:ascii="Arial" w:hAnsi="Arial" w:cs="Arial" w:eastAsia="Arial"/>
                <w:b w:val="0"/>
                <w:bCs w:val="0"/>
                <w:sz w:val="19"/>
                <w:szCs w:val="19"/>
              </w:rPr>
              <w:t>التزام تعاقدي بأن تتم كل عمليات التشغيل والمراقبة عن بعد من داخل المملكة، مع خطة المورد لتغطية الفترة الليلية من الرياض</w:t>
            </w:r>
          </w:p>
        </w:tc>
        <w:tc>
          <w:tcPr>
            <w:tcW w:type="dxa" w:w="2268"/>
          </w:tcPr>
          <w:p>
            <w:pPr>
              <w:bidi/>
              <w:spacing w:after="20" w:line="252" w:lineRule="auto"/>
            </w:pPr>
            <w:r/>
            <w:r>
              <w:rPr>
                <w:rFonts w:ascii="Arial" w:hAnsi="Arial" w:cs="Arial" w:eastAsia="Arial"/>
                <w:b w:val="0"/>
                <w:bCs w:val="0"/>
                <w:sz w:val="19"/>
                <w:szCs w:val="19"/>
              </w:rPr>
              <w:t>عادل الجهني</w:t>
            </w:r>
          </w:p>
        </w:tc>
        <w:tc>
          <w:tcPr>
            <w:tcW w:type="dxa" w:w="1417"/>
          </w:tcPr>
          <w:p>
            <w:pPr>
              <w:bidi/>
              <w:spacing w:after="20" w:line="252" w:lineRule="auto"/>
            </w:pPr>
            <w:r/>
            <w:r>
              <w:rPr>
                <w:rFonts w:ascii="Arial" w:hAnsi="Arial" w:cs="Arial" w:eastAsia="Arial"/>
                <w:b w:val="0"/>
                <w:bCs w:val="0"/>
                <w:sz w:val="19"/>
                <w:szCs w:val="19"/>
              </w:rPr>
              <w:t>‎2026-10-07‎</w:t>
            </w:r>
          </w:p>
        </w:tc>
      </w:tr>
    </w:tbl>
    <w:p>
      <w:pPr>
        <w:spacing w:after="40"/>
      </w:pPr>
    </w:p>
    <w:p>
      <w:pPr>
        <w:pStyle w:val="Heading2"/>
        <w:bidi/>
      </w:pPr>
      <w:r>
        <w:rPr>
          <w:rFonts w:ascii="Arial" w:hAnsi="Arial" w:cs="Arial" w:eastAsia="Arial"/>
          <w:b w:val="0"/>
          <w:bCs w:val="0"/>
        </w:rPr>
        <w:t>الملاحظة 5: تقييم المخاطر بعد التوقيع</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‎4-1-3-1‎: «إجراء تقييم لمخاطر الأمن السيبراني، والتأكد من وجود ما يضمن السيطرة على تلك المخاطر، قبل توقيع العقود والاتفاقيات أو عند تغيير المتطلبات التشريعية والتنظيمية ذات العلاقة.»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تقييم المخاطر قبل التوقيع هو ما يسمح للجهة بأن تشترط الضوابط في العقد. تقييم بعد التوقيع لا يستطيع تغيير ما وُقع.</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العقد وُقع في ‎2026-03-10‎ وبدأت الخدمة في ‎2026-04-01‎، وتقييم المخاطر RA-TP-2026-03 مؤرخ ‎2026-04-22‎ (43 يوماً بعد التوقيع)، ومصدره استبيان مؤرخ ‎2026-04-15‎ بعد التوقيع أيضاً.</w:t>
            </w:r>
          </w:p>
          <w:p>
            <w:pPr>
              <w:bidi/>
              <w:spacing w:after="20" w:line="252" w:lineRule="auto"/>
              <w:ind w:right="57"/>
            </w:pPr>
            <w:r>
              <w:rPr>
                <w:rFonts w:ascii="Arial" w:hAnsi="Arial" w:cs="Arial" w:eastAsia="Arial"/>
                <w:b w:val="0"/>
                <w:bCs w:val="0"/>
                <w:sz w:val="20"/>
                <w:szCs w:val="20"/>
              </w:rPr>
              <w:t>• الموردون الثلاثة الآخرون قيّموا قبل التوقيع (سجل الموردين)، فالإجراء موجود لكنه لم يطبق هنا.</w:t>
            </w:r>
          </w:p>
          <w:p>
            <w:pPr>
              <w:bidi/>
              <w:spacing w:after="20" w:line="252" w:lineRule="auto"/>
              <w:ind w:right="57"/>
            </w:pPr>
            <w:r>
              <w:rPr>
                <w:rFonts w:ascii="Arial" w:hAnsi="Arial" w:cs="Arial" w:eastAsia="Arial"/>
                <w:b w:val="0"/>
                <w:bCs w:val="0"/>
                <w:sz w:val="20"/>
                <w:szCs w:val="20"/>
              </w:rPr>
              <w:t>• التقييم لم يلتقط الفريق الخارجي ولا المقاول من الباطن، واعتمد على بند السرية الناقص كمعالجة.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لا يثبت عدم وجود تقييم مبدئي غير موثق قبل التوقيع؛ لكن لا دليل عليه.</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سبب تجاوز الإجراء (استعجال؟ استثناء معتمد؟).</w:t>
            </w:r>
          </w:p>
          <w:p>
            <w:pPr>
              <w:bidi/>
              <w:spacing w:after="20" w:line="252" w:lineRule="auto"/>
              <w:ind w:right="57"/>
            </w:pPr>
            <w:r>
              <w:rPr>
                <w:rFonts w:ascii="Arial" w:hAnsi="Arial" w:cs="Arial" w:eastAsia="Arial"/>
                <w:b w:val="0"/>
                <w:bCs w:val="0"/>
                <w:sz w:val="20"/>
                <w:szCs w:val="20"/>
              </w:rPr>
              <w:t>• هل يتضمن إجراء المشتريات بوابة تمنع التوقيع قبل تقييم المخاطر؟</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غير مطبق (لا يمكن تصحيحه بأثر رجعي).</w:t>
            </w:r>
          </w:p>
          <w:p>
            <w:pPr>
              <w:bidi/>
              <w:spacing w:after="20" w:line="252" w:lineRule="auto"/>
            </w:pPr>
            <w:r>
              <w:rPr>
                <w:rFonts w:ascii="Arial" w:hAnsi="Arial" w:cs="Arial" w:eastAsia="Arial"/>
                <w:b w:val="0"/>
                <w:bCs w:val="0"/>
                <w:sz w:val="20"/>
                <w:szCs w:val="20"/>
              </w:rPr>
              <w:t>النص يطلب التقييم والتأكد من وجود ضوابط السيطرة «قبل توقيع العقود»، والتاريخان يثبتان العكس.</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الربط بـ ‎4-1-4‎ مقبول كإضافة عند اقتراح إعادة التقييم الآن.</w:t>
            </w:r>
          </w:p>
          <w:p>
            <w:pPr>
              <w:bidi/>
              <w:spacing w:after="20" w:line="252" w:lineRule="auto"/>
              <w:ind w:right="57"/>
            </w:pPr>
            <w:r>
              <w:rPr>
                <w:rFonts w:ascii="Arial" w:hAnsi="Arial" w:cs="Arial" w:eastAsia="Arial"/>
                <w:b w:val="0"/>
                <w:bCs w:val="0"/>
                <w:sz w:val="20"/>
                <w:szCs w:val="20"/>
              </w:rPr>
              <w:t>• المعالجة المقبولة: تحديث التقييم الآن بالحقائق الجديدة، وإصلاح الإجراء للعقود القادمة؛ لا «إعادة توقيع العقد».</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تحديث تقييم مخاطر المورد بالحقائق الجديدة (الفريق الخارجي، المقاول من الباطن، تأخر الإبلاغ)</w:t>
            </w:r>
          </w:p>
        </w:tc>
        <w:tc>
          <w:tcPr>
            <w:tcW w:type="dxa" w:w="2268"/>
          </w:tcPr>
          <w:p>
            <w:pPr>
              <w:bidi/>
              <w:spacing w:after="20" w:line="252" w:lineRule="auto"/>
            </w:pPr>
            <w:r/>
            <w:r>
              <w:rPr>
                <w:rFonts w:ascii="Arial" w:hAnsi="Arial" w:cs="Arial" w:eastAsia="Arial"/>
                <w:b w:val="0"/>
                <w:bCs w:val="0"/>
                <w:sz w:val="19"/>
                <w:szCs w:val="19"/>
              </w:rPr>
              <w:t>ريم الحربي</w:t>
            </w:r>
          </w:p>
        </w:tc>
        <w:tc>
          <w:tcPr>
            <w:tcW w:type="dxa" w:w="1417"/>
          </w:tcPr>
          <w:p>
            <w:pPr>
              <w:bidi/>
              <w:spacing w:after="20" w:line="252" w:lineRule="auto"/>
            </w:pPr>
            <w:r/>
            <w:r>
              <w:rPr>
                <w:rFonts w:ascii="Arial" w:hAnsi="Arial" w:cs="Arial" w:eastAsia="Arial"/>
                <w:b w:val="0"/>
                <w:bCs w:val="0"/>
                <w:sz w:val="19"/>
                <w:szCs w:val="19"/>
              </w:rPr>
              <w:t>‎2026-09-21‎</w:t>
            </w:r>
          </w:p>
        </w:tc>
      </w:tr>
      <w:tr>
        <w:trPr>
          <w:cantSplit/>
        </w:trPr>
        <w:tc>
          <w:tcPr>
            <w:tcW w:type="dxa" w:w="5953"/>
          </w:tcPr>
          <w:p>
            <w:pPr>
              <w:bidi/>
              <w:spacing w:after="20" w:line="252" w:lineRule="auto"/>
            </w:pPr>
            <w:r/>
            <w:r>
              <w:rPr>
                <w:rFonts w:ascii="Arial" w:hAnsi="Arial" w:cs="Arial" w:eastAsia="Arial"/>
                <w:b w:val="0"/>
                <w:bCs w:val="0"/>
                <w:sz w:val="19"/>
                <w:szCs w:val="19"/>
              </w:rPr>
              <w:t>إضافة شرط في إجراء المشتريات: لا توقيع لعقد خدمة مدارة أو إسناد دون تقييم مخاطر معتمد</w:t>
            </w:r>
          </w:p>
        </w:tc>
        <w:tc>
          <w:tcPr>
            <w:tcW w:type="dxa" w:w="2268"/>
          </w:tcPr>
          <w:p>
            <w:pPr>
              <w:bidi/>
              <w:spacing w:after="20" w:line="252" w:lineRule="auto"/>
            </w:pPr>
            <w:r/>
            <w:r>
              <w:rPr>
                <w:rFonts w:ascii="Arial" w:hAnsi="Arial" w:cs="Arial" w:eastAsia="Arial"/>
                <w:b w:val="0"/>
                <w:bCs w:val="0"/>
                <w:sz w:val="19"/>
                <w:szCs w:val="19"/>
              </w:rPr>
              <w:t>عادل الجهني</w:t>
            </w:r>
          </w:p>
        </w:tc>
        <w:tc>
          <w:tcPr>
            <w:tcW w:type="dxa" w:w="1417"/>
          </w:tcPr>
          <w:p>
            <w:pPr>
              <w:bidi/>
              <w:spacing w:after="20" w:line="252" w:lineRule="auto"/>
            </w:pPr>
            <w:r/>
            <w:r>
              <w:rPr>
                <w:rFonts w:ascii="Arial" w:hAnsi="Arial" w:cs="Arial" w:eastAsia="Arial"/>
                <w:b w:val="0"/>
                <w:bCs w:val="0"/>
                <w:sz w:val="19"/>
                <w:szCs w:val="19"/>
              </w:rPr>
              <w:t>‎2026-10-31‎</w:t>
            </w:r>
          </w:p>
        </w:tc>
      </w:tr>
    </w:tbl>
    <w:p>
      <w:pPr>
        <w:spacing w:after="40"/>
      </w:pPr>
    </w:p>
    <w:p>
      <w:pPr>
        <w:pStyle w:val="Heading2"/>
        <w:bidi/>
      </w:pPr>
      <w:r>
        <w:rPr>
          <w:rFonts w:ascii="Arial" w:hAnsi="Arial" w:cs="Arial" w:eastAsia="Arial"/>
          <w:b w:val="0"/>
          <w:bCs w:val="0"/>
        </w:rPr>
        <w:t>الملاحظة 6: لا حق للجهة في التدقيق</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‎4-1-2-3‎: «إلزام الطرف الخارجي بتطبيق متطلبات وسياسات الأمن السيبراني للجهة والمتطلبات التشريعية والتنظيمية ذات العلاقة.»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بدون حق تدقيق لا تستطيع الجهة التحقق من أن المورد يطبق ما التزم به. هذا ليس بنداً منصوصاً عليه حرفياً في ECC، لكنه الوسيلة العملية لإثبات الالتزام ومراجعته.</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لا يوجد بند تدقيق في المقتطف، وأفادت المشتريات بأن المقتطف هو كل البنود ذات العلاقة.</w:t>
            </w:r>
          </w:p>
          <w:p>
            <w:pPr>
              <w:bidi/>
              <w:spacing w:after="20" w:line="252" w:lineRule="auto"/>
              <w:ind w:right="57"/>
            </w:pPr>
            <w:r>
              <w:rPr>
                <w:rFonts w:ascii="Arial" w:hAnsi="Arial" w:cs="Arial" w:eastAsia="Arial"/>
                <w:b w:val="0"/>
                <w:bCs w:val="0"/>
                <w:sz w:val="20"/>
                <w:szCs w:val="20"/>
              </w:rPr>
              <w:t>• إجابة Q9: «نقدم شهادة ISO عند الطلب» فقط.</w:t>
            </w:r>
          </w:p>
          <w:p>
            <w:pPr>
              <w:bidi/>
              <w:spacing w:after="20" w:line="252" w:lineRule="auto"/>
              <w:ind w:right="57"/>
            </w:pPr>
            <w:r>
              <w:rPr>
                <w:rFonts w:ascii="Arial" w:hAnsi="Arial" w:cs="Arial" w:eastAsia="Arial"/>
                <w:b w:val="0"/>
                <w:bCs w:val="0"/>
                <w:sz w:val="20"/>
                <w:szCs w:val="20"/>
              </w:rPr>
              <w:t>• عقد الاستضافة (البند 11) يتضمن حق تدقيق سنوي، فالبند ممكن عملياً.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غياب البند لا يعني أن المورد غير ملتزم؛ يعني أن الجهة لا تملك وسيلة للتحقق.</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هل يقبل المورد زيارة ميدانية أو تقرير تدقيق مستقل لنطاق الخدمة؟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ملاحظة جوهرية.</w:t>
            </w:r>
          </w:p>
          <w:p>
            <w:pPr>
              <w:bidi/>
              <w:spacing w:after="20" w:line="252" w:lineRule="auto"/>
            </w:pPr>
            <w:r>
              <w:rPr>
                <w:rFonts w:ascii="Arial" w:hAnsi="Arial" w:cs="Arial" w:eastAsia="Arial"/>
                <w:b w:val="0"/>
                <w:bCs w:val="0"/>
                <w:sz w:val="20"/>
                <w:szCs w:val="20"/>
              </w:rPr>
              <w:t>الالتزام بسياسات الجهة (‎4-1-2-3‎) ومراجعة المتطلبات دورياً (‎4-1-4‎) يحتاجان وسيلة تحقق، والعقد لا يوفرها.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تصنيفها «غير مطبق» تحت ‎4-1-2-3‎ مقبول إذا بين المتدرب أن الحكم مبني على عجز الجهة عن التحقق، لا على نص صريح.</w:t>
            </w:r>
          </w:p>
          <w:p>
            <w:pPr>
              <w:bidi/>
              <w:spacing w:after="20" w:line="252" w:lineRule="auto"/>
              <w:ind w:right="57"/>
            </w:pPr>
            <w:r>
              <w:rPr>
                <w:rFonts w:ascii="Arial" w:hAnsi="Arial" w:cs="Arial" w:eastAsia="Arial"/>
                <w:b w:val="0"/>
                <w:bCs w:val="0"/>
                <w:sz w:val="20"/>
                <w:szCs w:val="20"/>
              </w:rPr>
              <w:t>• من كتب أن ECC «ينص» على حق التدقيق لا يأخذ درجة الربط كاملة.</w:t>
            </w:r>
          </w:p>
        </w:tc>
      </w:tr>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«تطبيق مقترح»</w:t>
            </w:r>
          </w:p>
        </w:tc>
        <w:tc>
          <w:tcPr>
            <w:tcW w:type="dxa" w:w="7483"/>
          </w:tcPr>
          <w:p>
            <w:pPr>
              <w:bidi/>
              <w:spacing w:after="20" w:line="252" w:lineRule="auto"/>
            </w:pPr>
            <w:r/>
            <w:r>
              <w:rPr>
                <w:rFonts w:ascii="Arial" w:hAnsi="Arial" w:cs="Arial" w:eastAsia="Arial"/>
                <w:b w:val="0"/>
                <w:bCs w:val="0"/>
                <w:sz w:val="20"/>
                <w:szCs w:val="20"/>
              </w:rPr>
              <w:t>بند تدقيق سنوي وعند الحوادث الجوهرية، يشمل الزيارة الميدانية وطلب الأدلة وتقارير التدقيق المستقلة، ويمتد إلى المقاولين من الباطن.</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إضافة حق التدقيق إلى الملحق التعاقدي</w:t>
            </w:r>
          </w:p>
        </w:tc>
        <w:tc>
          <w:tcPr>
            <w:tcW w:type="dxa" w:w="2268"/>
          </w:tcPr>
          <w:p>
            <w:pPr>
              <w:bidi/>
              <w:spacing w:after="20" w:line="252" w:lineRule="auto"/>
            </w:pPr>
            <w:r/>
            <w:r>
              <w:rPr>
                <w:rFonts w:ascii="Arial" w:hAnsi="Arial" w:cs="Arial" w:eastAsia="Arial"/>
                <w:b w:val="0"/>
                <w:bCs w:val="0"/>
                <w:sz w:val="19"/>
                <w:szCs w:val="19"/>
              </w:rPr>
              <w:t>طلال العمري</w:t>
            </w:r>
          </w:p>
        </w:tc>
        <w:tc>
          <w:tcPr>
            <w:tcW w:type="dxa" w:w="1417"/>
          </w:tcPr>
          <w:p>
            <w:pPr>
              <w:bidi/>
              <w:spacing w:after="20" w:line="252" w:lineRule="auto"/>
            </w:pPr>
            <w:r/>
            <w:r>
              <w:rPr>
                <w:rFonts w:ascii="Arial" w:hAnsi="Arial" w:cs="Arial" w:eastAsia="Arial"/>
                <w:b w:val="0"/>
                <w:bCs w:val="0"/>
                <w:sz w:val="19"/>
                <w:szCs w:val="19"/>
              </w:rPr>
              <w:t>‎2026-10-07‎</w:t>
            </w:r>
          </w:p>
        </w:tc>
      </w:tr>
    </w:tbl>
    <w:p>
      <w:pPr>
        <w:spacing w:after="40"/>
      </w:pPr>
    </w:p>
    <w:p>
      <w:pPr>
        <w:pStyle w:val="Heading2"/>
        <w:bidi/>
      </w:pPr>
      <w:r>
        <w:rPr>
          <w:rFonts w:ascii="Arial" w:hAnsi="Arial" w:cs="Arial" w:eastAsia="Arial"/>
          <w:b w:val="0"/>
          <w:bCs w:val="0"/>
        </w:rPr>
        <w:t>الملاحظة 7: مقاول من الباطن غير مفصح عنه</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‎4-1-2-3‎: «إلزام الطرف الخارجي بتطبيق متطلبات وسياسات الأمن السيبراني للجهة والمتطلبات التشريعية والتنظيمية ذات العلاقة.»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من يصل إلى أنظمة الجهة يجب أن يكون معروفاً للجهة وملتزماً بمتطلباتها. المقاول من الباطن الذي لا تعرفه الجهة لم يدخل في تقييم المخاطر ولا في الالتزامات.</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إجابة Q3: «لا» نستعين بمقاولين من الباطن.</w:t>
            </w:r>
          </w:p>
          <w:p>
            <w:pPr>
              <w:bidi/>
              <w:spacing w:after="20" w:line="252" w:lineRule="auto"/>
              <w:ind w:right="57"/>
            </w:pPr>
            <w:r>
              <w:rPr>
                <w:rFonts w:ascii="Arial" w:hAnsi="Arial" w:cs="Arial" w:eastAsia="Arial"/>
                <w:b w:val="0"/>
                <w:bCs w:val="0"/>
                <w:sz w:val="20"/>
                <w:szCs w:val="20"/>
              </w:rPr>
              <w:t>• كشف الفريق: طارق الشهري، وبندر المطيري مهندسا منصة SIEM من «شركة مسار الربط للحلول التقنية (افتراضية)»، ويصلان عبر VPN الجهة بحسابين لدى الجهة.</w:t>
            </w:r>
          </w:p>
          <w:p>
            <w:pPr>
              <w:bidi/>
              <w:spacing w:after="20" w:line="252" w:lineRule="auto"/>
              <w:ind w:right="57"/>
            </w:pPr>
            <w:r>
              <w:rPr>
                <w:rFonts w:ascii="Arial" w:hAnsi="Arial" w:cs="Arial" w:eastAsia="Arial"/>
                <w:b w:val="0"/>
                <w:bCs w:val="0"/>
                <w:sz w:val="20"/>
                <w:szCs w:val="20"/>
              </w:rPr>
              <w:t>• البند 12 يسمح بالتعاقد من الباطن دون موافقة أو إشعار.</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لا يثبت ما إذا كان المهندسان ملتزمين بالسرية أو خضعا لمسح أمني.</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العقد بين المورد والمقاول من الباطن وبنوده الأمنية.</w:t>
            </w:r>
          </w:p>
          <w:p>
            <w:pPr>
              <w:bidi/>
              <w:spacing w:after="20" w:line="252" w:lineRule="auto"/>
              <w:ind w:right="57"/>
            </w:pPr>
            <w:r>
              <w:rPr>
                <w:rFonts w:ascii="Arial" w:hAnsi="Arial" w:cs="Arial" w:eastAsia="Arial"/>
                <w:b w:val="0"/>
                <w:bCs w:val="0"/>
                <w:sz w:val="20"/>
                <w:szCs w:val="20"/>
              </w:rPr>
              <w:t>• كيف سُجل الحسابان لدى الجهة (باسم أي شركة؟) ومن اعتمدهما.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غير مطبق.</w:t>
            </w:r>
          </w:p>
          <w:p>
            <w:pPr>
              <w:bidi/>
              <w:spacing w:after="20" w:line="252" w:lineRule="auto"/>
            </w:pPr>
            <w:r>
              <w:rPr>
                <w:rFonts w:ascii="Arial" w:hAnsi="Arial" w:cs="Arial" w:eastAsia="Arial"/>
                <w:b w:val="0"/>
                <w:bCs w:val="0"/>
                <w:sz w:val="20"/>
                <w:szCs w:val="20"/>
              </w:rPr>
              <w:t>إجابة المورد تتناقض مع مستنده، وطرف لا تعرفه الجهة يملك وصولاً عن بعد إلى منصة أمنية حساسة دون أن تمتد إليه متطلبات الجهة.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الربط بـ ‎4-1-3-1‎ (التقييم لم يشمل المقاول) أو ‎4-1-1‎ مقبول.</w:t>
            </w:r>
          </w:p>
          <w:p>
            <w:pPr>
              <w:bidi/>
              <w:spacing w:after="20" w:line="252" w:lineRule="auto"/>
              <w:ind w:right="57"/>
            </w:pPr>
            <w:r>
              <w:rPr>
                <w:rFonts w:ascii="Arial" w:hAnsi="Arial" w:cs="Arial" w:eastAsia="Arial"/>
                <w:b w:val="0"/>
                <w:bCs w:val="0"/>
                <w:sz w:val="20"/>
                <w:szCs w:val="20"/>
              </w:rPr>
              <w:t>• ربطه بـ ‎2-2‎ (حسابات مسجلة بجهة توظيف غير صحيحة) يستحق الإشادة.</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إفصاح كتابي من المورد عن كل المقاولين من الباطن، وتقييم مخاطر مسار الربط، ومراجعة حسابيهما</w:t>
            </w:r>
          </w:p>
        </w:tc>
        <w:tc>
          <w:tcPr>
            <w:tcW w:type="dxa" w:w="2268"/>
          </w:tcPr>
          <w:p>
            <w:pPr>
              <w:bidi/>
              <w:spacing w:after="20" w:line="252" w:lineRule="auto"/>
            </w:pPr>
            <w:r/>
            <w:r>
              <w:rPr>
                <w:rFonts w:ascii="Arial" w:hAnsi="Arial" w:cs="Arial" w:eastAsia="Arial"/>
                <w:b w:val="0"/>
                <w:bCs w:val="0"/>
                <w:sz w:val="19"/>
                <w:szCs w:val="19"/>
              </w:rPr>
              <w:t>م. ماجد الزهراني</w:t>
            </w:r>
          </w:p>
        </w:tc>
        <w:tc>
          <w:tcPr>
            <w:tcW w:type="dxa" w:w="1417"/>
          </w:tcPr>
          <w:p>
            <w:pPr>
              <w:bidi/>
              <w:spacing w:after="20" w:line="252" w:lineRule="auto"/>
            </w:pPr>
            <w:r/>
            <w:r>
              <w:rPr>
                <w:rFonts w:ascii="Arial" w:hAnsi="Arial" w:cs="Arial" w:eastAsia="Arial"/>
                <w:b w:val="0"/>
                <w:bCs w:val="0"/>
                <w:sz w:val="19"/>
                <w:szCs w:val="19"/>
              </w:rPr>
              <w:t>‎2026-09-21‎</w:t>
            </w:r>
          </w:p>
        </w:tc>
      </w:tr>
      <w:tr>
        <w:trPr>
          <w:cantSplit/>
        </w:trPr>
        <w:tc>
          <w:tcPr>
            <w:tcW w:type="dxa" w:w="5953"/>
          </w:tcPr>
          <w:p>
            <w:pPr>
              <w:bidi/>
              <w:spacing w:after="20" w:line="252" w:lineRule="auto"/>
            </w:pPr>
            <w:r/>
            <w:r>
              <w:rPr>
                <w:rFonts w:ascii="Arial" w:hAnsi="Arial" w:cs="Arial" w:eastAsia="Arial"/>
                <w:b w:val="0"/>
                <w:bCs w:val="0"/>
                <w:sz w:val="19"/>
                <w:szCs w:val="19"/>
              </w:rPr>
              <w:t>بند يشترط الموافقة المسبقة على أي مقاول من الباطن وسريان المتطلبات عليه</w:t>
            </w:r>
          </w:p>
        </w:tc>
        <w:tc>
          <w:tcPr>
            <w:tcW w:type="dxa" w:w="2268"/>
          </w:tcPr>
          <w:p>
            <w:pPr>
              <w:bidi/>
              <w:spacing w:after="20" w:line="252" w:lineRule="auto"/>
            </w:pPr>
            <w:r/>
            <w:r>
              <w:rPr>
                <w:rFonts w:ascii="Arial" w:hAnsi="Arial" w:cs="Arial" w:eastAsia="Arial"/>
                <w:b w:val="0"/>
                <w:bCs w:val="0"/>
                <w:sz w:val="19"/>
                <w:szCs w:val="19"/>
              </w:rPr>
              <w:t>عادل الجهني</w:t>
            </w:r>
          </w:p>
        </w:tc>
        <w:tc>
          <w:tcPr>
            <w:tcW w:type="dxa" w:w="1417"/>
          </w:tcPr>
          <w:p>
            <w:pPr>
              <w:bidi/>
              <w:spacing w:after="20" w:line="252" w:lineRule="auto"/>
            </w:pPr>
            <w:r/>
            <w:r>
              <w:rPr>
                <w:rFonts w:ascii="Arial" w:hAnsi="Arial" w:cs="Arial" w:eastAsia="Arial"/>
                <w:b w:val="0"/>
                <w:bCs w:val="0"/>
                <w:sz w:val="19"/>
                <w:szCs w:val="19"/>
              </w:rPr>
              <w:t>‎2026-10-07‎</w:t>
            </w:r>
          </w:p>
        </w:tc>
      </w:tr>
    </w:tbl>
    <w:p>
      <w:pPr>
        <w:spacing w:after="40"/>
      </w:pPr>
    </w:p>
    <w:p>
      <w:pPr>
        <w:pStyle w:val="Heading2"/>
        <w:bidi/>
      </w:pPr>
      <w:r>
        <w:rPr>
          <w:rFonts w:ascii="Arial" w:hAnsi="Arial" w:cs="Arial" w:eastAsia="Arial"/>
          <w:b w:val="0"/>
          <w:bCs w:val="0"/>
        </w:rPr>
        <w:t>الملاحظة 8: عقد الاستضافة للمقارنة: ما الذي يبدو جيداً؟</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‎4-1-2‎: «يجب أن تغطي متطلبات الأمن السيبراني ضمن العقود والاتفاقيات (مثل اتفاقية مستوى الخدمة SLA) مع الأطراف الخارجية التي قد تتأثر بإصابتها بيانات الجهة أو الخدمات المقدمة لها بحد أدنى ما يلي:»</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‎4-2-3-1‎: «حماية بيانات الجهة من قبل مقدمي خدمات الحوسبة السحابية والاستضافة بما يتوافق مع مستوى تصنيفها، وإعادتها للجهة (بصيغة قابلة للاستخدام) عند انتهاء الخدمة.»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ليس كل عقد فيه فجوة. عقد الاستضافة يغطي البنود الأساسية، ويساعدك على رؤية الفرق.</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السرية خلال العقد وبعده لخمس سنوات (البند 6)، وإعادة البيانات بصيغة قابلة للاستخدام ثم الحذف الآمن بشهادة (البند 7).</w:t>
            </w:r>
          </w:p>
          <w:p>
            <w:pPr>
              <w:bidi/>
              <w:spacing w:after="20" w:line="252" w:lineRule="auto"/>
              <w:ind w:right="57"/>
            </w:pPr>
            <w:r>
              <w:rPr>
                <w:rFonts w:ascii="Arial" w:hAnsi="Arial" w:cs="Arial" w:eastAsia="Arial"/>
                <w:b w:val="0"/>
                <w:bCs w:val="0"/>
                <w:sz w:val="20"/>
                <w:szCs w:val="20"/>
              </w:rPr>
              <w:t>• إبلاغ خلال 24 ساعة عبر مصفوفة تواصل (البند 8).</w:t>
            </w:r>
          </w:p>
          <w:p>
            <w:pPr>
              <w:bidi/>
              <w:spacing w:after="20" w:line="252" w:lineRule="auto"/>
              <w:ind w:right="57"/>
            </w:pPr>
            <w:r>
              <w:rPr>
                <w:rFonts w:ascii="Arial" w:hAnsi="Arial" w:cs="Arial" w:eastAsia="Arial"/>
                <w:b w:val="0"/>
                <w:bCs w:val="0"/>
                <w:sz w:val="20"/>
                <w:szCs w:val="20"/>
              </w:rPr>
              <w:t>• الإلزام بسياسات الجهة المرفقة (البند 9)، وحق تدقيق (البند 11)، وموافقة مسبقة على التعاقد من الباطن (البند 12).</w:t>
            </w:r>
          </w:p>
          <w:p>
            <w:pPr>
              <w:bidi/>
              <w:spacing w:after="20" w:line="252" w:lineRule="auto"/>
              <w:ind w:right="57"/>
            </w:pPr>
            <w:r>
              <w:rPr>
                <w:rFonts w:ascii="Arial" w:hAnsi="Arial" w:cs="Arial" w:eastAsia="Arial"/>
                <w:b w:val="0"/>
                <w:bCs w:val="0"/>
                <w:sz w:val="20"/>
                <w:szCs w:val="20"/>
              </w:rPr>
              <w:t>• بيئة مخصصة معزولة منطقياً (البند 10) بما يخدم ‎4-2-3-2‎.</w:t>
            </w:r>
          </w:p>
          <w:p>
            <w:pPr>
              <w:bidi/>
              <w:spacing w:after="20" w:line="252" w:lineRule="auto"/>
              <w:ind w:right="57"/>
            </w:pPr>
            <w:r>
              <w:rPr>
                <w:rFonts w:ascii="Arial" w:hAnsi="Arial" w:cs="Arial" w:eastAsia="Arial"/>
                <w:b w:val="0"/>
                <w:bCs w:val="0"/>
                <w:sz w:val="20"/>
                <w:szCs w:val="20"/>
              </w:rPr>
              <w:t>• تقييم المخاطر في ‎2025-10-20‎ قبل التوقيع في ‎2025-11-05‎.</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هذه بنود مكتوبة؛ لا تثبت التطبيق الفعلي (مثل اختبار مصفوفة التواصل، أو تقرير التدقيق السنوي الأول).</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نتيجة أول تدقيق سنوي أو خطته، ومحضر اختبار مصفوفة التواصل.</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مطبق (على مستوى النص التعاقدي).</w:t>
            </w:r>
          </w:p>
          <w:p>
            <w:pPr>
              <w:bidi/>
              <w:spacing w:after="20" w:line="252" w:lineRule="auto"/>
            </w:pPr>
            <w:r>
              <w:rPr>
                <w:rFonts w:ascii="Arial" w:hAnsi="Arial" w:cs="Arial" w:eastAsia="Arial"/>
                <w:b w:val="0"/>
                <w:bCs w:val="0"/>
                <w:sz w:val="20"/>
                <w:szCs w:val="20"/>
              </w:rPr>
              <w:t>البنود المطلوبة في ‎4-1-2‎ موجودة، وتقييم المخاطر سبق التوقيع كما يطلب ‎4-1-3-1‎.</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«لا يمكن الحكم على التطبيق الفعلي» مقبول إذا ميز المتدرب بين النص والتطبيق.</w:t>
            </w:r>
          </w:p>
          <w:p>
            <w:pPr>
              <w:bidi/>
              <w:spacing w:after="20" w:line="252" w:lineRule="auto"/>
              <w:ind w:right="57"/>
            </w:pPr>
            <w:r>
              <w:rPr>
                <w:rFonts w:ascii="Arial" w:hAnsi="Arial" w:cs="Arial" w:eastAsia="Arial"/>
                <w:b w:val="0"/>
                <w:bCs w:val="0"/>
                <w:sz w:val="20"/>
                <w:szCs w:val="20"/>
              </w:rPr>
              <w:t xml:space="preserve">• </w:t>
            </w:r>
            <w:r>
              <w:rPr>
                <w:rFonts w:ascii="Arial" w:hAnsi="Arial" w:cs="Arial" w:eastAsia="Arial"/>
                <w:b w:val="1"/>
                <w:bCs w:val="1"/>
                <w:sz w:val="20"/>
                <w:szCs w:val="20"/>
              </w:rPr>
              <w:t>خطأ:</w:t>
            </w:r>
            <w:r>
              <w:rPr>
                <w:rFonts w:ascii="Arial" w:hAnsi="Arial" w:cs="Arial" w:eastAsia="Arial"/>
                <w:b w:val="0"/>
                <w:bCs w:val="0"/>
                <w:sz w:val="20"/>
                <w:szCs w:val="20"/>
              </w:rPr>
              <w:t xml:space="preserve"> المطالبة بتطبيق ‎4-1-3-2‎ على الاستضافة؛ الضابط خاص بمراكز عمليات خدمات الأمن السيبراني المدارة.</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جدولة أول تدقيق سنوي على مزود الاستضافة واختبار مصفوفة التواصل</w:t>
            </w:r>
          </w:p>
        </w:tc>
        <w:tc>
          <w:tcPr>
            <w:tcW w:type="dxa" w:w="2268"/>
          </w:tcPr>
          <w:p>
            <w:pPr>
              <w:bidi/>
              <w:spacing w:after="20" w:line="252" w:lineRule="auto"/>
            </w:pPr>
            <w:r/>
            <w:r>
              <w:rPr>
                <w:rFonts w:ascii="Arial" w:hAnsi="Arial" w:cs="Arial" w:eastAsia="Arial"/>
                <w:b w:val="0"/>
                <w:bCs w:val="0"/>
                <w:sz w:val="19"/>
                <w:szCs w:val="19"/>
              </w:rPr>
              <w:t>م. لمى السبيعي / ريم الحربي</w:t>
            </w:r>
          </w:p>
        </w:tc>
        <w:tc>
          <w:tcPr>
            <w:tcW w:type="dxa" w:w="1417"/>
          </w:tcPr>
          <w:p>
            <w:pPr>
              <w:bidi/>
              <w:spacing w:after="20" w:line="252" w:lineRule="auto"/>
            </w:pPr>
            <w:r/>
            <w:r>
              <w:rPr>
                <w:rFonts w:ascii="Arial" w:hAnsi="Arial" w:cs="Arial" w:eastAsia="Arial"/>
                <w:b w:val="0"/>
                <w:bCs w:val="0"/>
                <w:sz w:val="19"/>
                <w:szCs w:val="19"/>
              </w:rPr>
              <w:t>‎2026-12-15‎</w:t>
            </w:r>
          </w:p>
        </w:tc>
      </w:tr>
    </w:tbl>
    <w:p>
      <w:pPr>
        <w:spacing w:after="40"/>
      </w:pPr>
    </w:p>
    <w:p>
      <w:pPr>
        <w:pStyle w:val="Heading1"/>
        <w:bidi/>
      </w:pPr>
      <w:r>
        <w:rPr>
          <w:rFonts w:ascii="Arial" w:hAnsi="Arial" w:cs="Arial" w:eastAsia="Arial"/>
          <w:b w:val="0"/>
          <w:bCs w:val="0"/>
        </w:rPr>
        <w:t>نص الضابط ‎4-1-3-2‎ وكيف يُطبق بدقة</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‎4-1-3‎: «يجب أن تغطي متطلبات الأمن السيبراني مع الأطراف الخارجية التي تقدم خدمات الإسناد للأمن السيبراني أو لتقنية المعلومات، أو الخدمات المدارة بحد أدنى ما يلي:»</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‎4-1-3-2‎: «أن تكون مراكز عمليات خدمات الأمن السيبراني المدارة للتشغيل والمراقبة، والتي تستخدم طريقة الوصول عن بعد، موجودة بالكامل داخل المملكة.»</w:t>
      </w:r>
    </w:p>
    <w:tbl>
      <w:tblPr>
        <w:tblStyle w:val="TableGrid"/>
        <w:bidiVisual/>
        <w:tblW w:type="dxa" w:w="9637"/>
        <w:jc w:val="center"/>
        <w:tblLayout w:type="fixed"/>
        <w:tblLook w:firstColumn="1" w:firstRow="1" w:lastColumn="0" w:lastRow="0" w:noHBand="0" w:noVBand="1" w:val="04A0"/>
      </w:tblPr>
      <w:tblGrid>
        <w:gridCol w:w="3968"/>
        <w:gridCol w:w="5669"/>
      </w:tblGrid>
      <w:tr>
        <w:trPr>
          <w:cantSplit/>
          <w:tblHeader/>
        </w:trPr>
        <w:tc>
          <w:tcPr>
            <w:tcW w:type="dxa" w:w="3969"/>
            <w:shd w:val="clear" w:color="auto" w:fill="D9E2F3"/>
          </w:tcPr>
          <w:p>
            <w:pPr>
              <w:bidi/>
              <w:spacing w:after="20" w:line="252" w:lineRule="auto"/>
            </w:pPr>
            <w:r/>
            <w:r>
              <w:rPr>
                <w:rFonts w:ascii="Arial" w:hAnsi="Arial" w:cs="Arial" w:eastAsia="Arial"/>
                <w:b w:val="1"/>
                <w:bCs w:val="1"/>
                <w:sz w:val="19"/>
                <w:szCs w:val="19"/>
              </w:rPr>
              <w:t>السؤال</w:t>
            </w:r>
          </w:p>
        </w:tc>
        <w:tc>
          <w:tcPr>
            <w:tcW w:type="dxa" w:w="5669"/>
            <w:shd w:val="clear" w:color="auto" w:fill="D9E2F3"/>
          </w:tcPr>
          <w:p>
            <w:pPr>
              <w:bidi/>
              <w:spacing w:after="20" w:line="252" w:lineRule="auto"/>
            </w:pPr>
            <w:r/>
            <w:r>
              <w:rPr>
                <w:rFonts w:ascii="Arial" w:hAnsi="Arial" w:cs="Arial" w:eastAsia="Arial"/>
                <w:b w:val="1"/>
                <w:bCs w:val="1"/>
                <w:sz w:val="19"/>
                <w:szCs w:val="19"/>
              </w:rPr>
              <w:t>الإجابة في هذه الحالة</w:t>
            </w:r>
          </w:p>
        </w:tc>
      </w:tr>
      <w:tr>
        <w:trPr>
          <w:cantSplit/>
        </w:trPr>
        <w:tc>
          <w:tcPr>
            <w:tcW w:type="dxa" w:w="3969"/>
          </w:tcPr>
          <w:p>
            <w:pPr>
              <w:bidi/>
              <w:spacing w:after="20" w:line="252" w:lineRule="auto"/>
            </w:pPr>
            <w:r/>
            <w:r>
              <w:rPr>
                <w:rFonts w:ascii="Arial" w:hAnsi="Arial" w:cs="Arial" w:eastAsia="Arial"/>
                <w:b w:val="0"/>
                <w:bCs w:val="0"/>
                <w:sz w:val="19"/>
                <w:szCs w:val="19"/>
              </w:rPr>
              <w:t>هل الخدمة مركز عمليات لخدمات أمن سيبراني مُدارة؟</w:t>
            </w:r>
          </w:p>
        </w:tc>
        <w:tc>
          <w:tcPr>
            <w:tcW w:type="dxa" w:w="5669"/>
          </w:tcPr>
          <w:p>
            <w:pPr>
              <w:bidi/>
              <w:spacing w:after="20" w:line="252" w:lineRule="auto"/>
            </w:pPr>
            <w:r/>
            <w:r>
              <w:rPr>
                <w:rFonts w:ascii="Arial" w:hAnsi="Arial" w:cs="Arial" w:eastAsia="Arial"/>
                <w:b w:val="0"/>
                <w:bCs w:val="0"/>
                <w:sz w:val="19"/>
                <w:szCs w:val="19"/>
              </w:rPr>
              <w:t>نعم: مراقبة وتحليل تنبيهات SIEM على مدار الساعة.</w:t>
            </w:r>
          </w:p>
        </w:tc>
      </w:tr>
      <w:tr>
        <w:trPr>
          <w:cantSplit/>
        </w:trPr>
        <w:tc>
          <w:tcPr>
            <w:tcW w:type="dxa" w:w="3969"/>
          </w:tcPr>
          <w:p>
            <w:pPr>
              <w:bidi/>
              <w:spacing w:after="20" w:line="252" w:lineRule="auto"/>
            </w:pPr>
            <w:r/>
            <w:r>
              <w:rPr>
                <w:rFonts w:ascii="Arial" w:hAnsi="Arial" w:cs="Arial" w:eastAsia="Arial"/>
                <w:b w:val="0"/>
                <w:bCs w:val="0"/>
                <w:sz w:val="19"/>
                <w:szCs w:val="19"/>
              </w:rPr>
              <w:t>هل يقدم التشغيل والمراقبة؟</w:t>
            </w:r>
          </w:p>
        </w:tc>
        <w:tc>
          <w:tcPr>
            <w:tcW w:type="dxa" w:w="5669"/>
          </w:tcPr>
          <w:p>
            <w:pPr>
              <w:bidi/>
              <w:spacing w:after="20" w:line="252" w:lineRule="auto"/>
            </w:pPr>
            <w:r/>
            <w:r>
              <w:rPr>
                <w:rFonts w:ascii="Arial" w:hAnsi="Arial" w:cs="Arial" w:eastAsia="Arial"/>
                <w:b w:val="0"/>
                <w:bCs w:val="0"/>
                <w:sz w:val="19"/>
                <w:szCs w:val="19"/>
              </w:rPr>
              <w:t>نعم: مراقبة وتحليل وضبط قواعد الكشف.</w:t>
            </w:r>
          </w:p>
        </w:tc>
      </w:tr>
      <w:tr>
        <w:trPr>
          <w:cantSplit/>
        </w:trPr>
        <w:tc>
          <w:tcPr>
            <w:tcW w:type="dxa" w:w="3969"/>
          </w:tcPr>
          <w:p>
            <w:pPr>
              <w:bidi/>
              <w:spacing w:after="20" w:line="252" w:lineRule="auto"/>
            </w:pPr>
            <w:r/>
            <w:r>
              <w:rPr>
                <w:rFonts w:ascii="Arial" w:hAnsi="Arial" w:cs="Arial" w:eastAsia="Arial"/>
                <w:b w:val="0"/>
                <w:bCs w:val="0"/>
                <w:sz w:val="19"/>
                <w:szCs w:val="19"/>
              </w:rPr>
              <w:t>هل يستخدم الوصول عن بعد؟</w:t>
            </w:r>
          </w:p>
        </w:tc>
        <w:tc>
          <w:tcPr>
            <w:tcW w:type="dxa" w:w="5669"/>
          </w:tcPr>
          <w:p>
            <w:pPr>
              <w:bidi/>
              <w:spacing w:after="20" w:line="252" w:lineRule="auto"/>
            </w:pPr>
            <w:r/>
            <w:r>
              <w:rPr>
                <w:rFonts w:ascii="Arial" w:hAnsi="Arial" w:cs="Arial" w:eastAsia="Arial"/>
                <w:b w:val="0"/>
                <w:bCs w:val="0"/>
                <w:sz w:val="19"/>
                <w:szCs w:val="19"/>
              </w:rPr>
              <w:t>نعم: البند 11 وكشف الفريق.</w:t>
            </w:r>
          </w:p>
        </w:tc>
      </w:tr>
      <w:tr>
        <w:trPr>
          <w:cantSplit/>
        </w:trPr>
        <w:tc>
          <w:tcPr>
            <w:tcW w:type="dxa" w:w="3969"/>
          </w:tcPr>
          <w:p>
            <w:pPr>
              <w:bidi/>
              <w:spacing w:after="20" w:line="252" w:lineRule="auto"/>
            </w:pPr>
            <w:r/>
            <w:r>
              <w:rPr>
                <w:rFonts w:ascii="Arial" w:hAnsi="Arial" w:cs="Arial" w:eastAsia="Arial"/>
                <w:b w:val="0"/>
                <w:bCs w:val="0"/>
                <w:sz w:val="19"/>
                <w:szCs w:val="19"/>
              </w:rPr>
              <w:t>هل هو موجود بالكامل داخل المملكة؟</w:t>
            </w:r>
          </w:p>
        </w:tc>
        <w:tc>
          <w:tcPr>
            <w:tcW w:type="dxa" w:w="5669"/>
          </w:tcPr>
          <w:p>
            <w:pPr>
              <w:bidi/>
              <w:spacing w:after="20" w:line="252" w:lineRule="auto"/>
            </w:pPr>
            <w:r/>
            <w:r>
              <w:rPr>
                <w:rFonts w:ascii="Arial" w:hAnsi="Arial" w:cs="Arial" w:eastAsia="Arial"/>
                <w:b w:val="0"/>
                <w:bCs w:val="0"/>
                <w:sz w:val="19"/>
                <w:szCs w:val="19"/>
              </w:rPr>
              <w:t>لا: التحليل الليلي من المركز الإقليمي خارج المملكة.</w:t>
            </w:r>
          </w:p>
        </w:tc>
      </w:tr>
      <w:tr>
        <w:trPr>
          <w:cantSplit/>
        </w:trPr>
        <w:tc>
          <w:tcPr>
            <w:tcW w:type="dxa" w:w="3969"/>
          </w:tcPr>
          <w:p>
            <w:pPr>
              <w:bidi/>
              <w:spacing w:after="20" w:line="252" w:lineRule="auto"/>
            </w:pPr>
            <w:r/>
            <w:r>
              <w:rPr>
                <w:rFonts w:ascii="Arial" w:hAnsi="Arial" w:cs="Arial" w:eastAsia="Arial"/>
                <w:b w:val="0"/>
                <w:bCs w:val="0"/>
                <w:sz w:val="19"/>
                <w:szCs w:val="19"/>
              </w:rPr>
              <w:t>هل ينطبق الضابط على عقد الاستضافة؟</w:t>
            </w:r>
          </w:p>
        </w:tc>
        <w:tc>
          <w:tcPr>
            <w:tcW w:type="dxa" w:w="5669"/>
          </w:tcPr>
          <w:p>
            <w:pPr>
              <w:bidi/>
              <w:spacing w:after="20" w:line="252" w:lineRule="auto"/>
            </w:pPr>
            <w:r/>
            <w:r>
              <w:rPr>
                <w:rFonts w:ascii="Arial" w:hAnsi="Arial" w:cs="Arial" w:eastAsia="Arial"/>
                <w:b w:val="0"/>
                <w:bCs w:val="0"/>
                <w:sz w:val="19"/>
                <w:szCs w:val="19"/>
              </w:rPr>
              <w:t>لا: الاستضافة خدمة تقنية معلومات مدارة وليست مركز عمليات لخدمات أمن سيبراني؛ تُقيَّم وفق ‎4-1-2‎ و‎4-1-3-1‎ و‎4-2‎.</w:t>
            </w:r>
          </w:p>
        </w:tc>
      </w:tr>
      <w:tr>
        <w:trPr>
          <w:cantSplit/>
        </w:trPr>
        <w:tc>
          <w:tcPr>
            <w:tcW w:type="dxa" w:w="3969"/>
          </w:tcPr>
          <w:p>
            <w:pPr>
              <w:bidi/>
              <w:spacing w:after="20" w:line="252" w:lineRule="auto"/>
            </w:pPr>
            <w:r/>
            <w:r>
              <w:rPr>
                <w:rFonts w:ascii="Arial" w:hAnsi="Arial" w:cs="Arial" w:eastAsia="Arial"/>
                <w:b w:val="0"/>
                <w:bCs w:val="0"/>
                <w:sz w:val="19"/>
                <w:szCs w:val="19"/>
              </w:rPr>
              <w:t>هل ينطبق على مطور البوابة الذي يصل عن بعد إلى بيئة الاختبار؟</w:t>
            </w:r>
          </w:p>
        </w:tc>
        <w:tc>
          <w:tcPr>
            <w:tcW w:type="dxa" w:w="5669"/>
          </w:tcPr>
          <w:p>
            <w:pPr>
              <w:bidi/>
              <w:spacing w:after="20" w:line="252" w:lineRule="auto"/>
            </w:pPr>
            <w:r/>
            <w:r>
              <w:rPr>
                <w:rFonts w:ascii="Arial" w:hAnsi="Arial" w:cs="Arial" w:eastAsia="Arial"/>
                <w:b w:val="0"/>
                <w:bCs w:val="0"/>
                <w:sz w:val="19"/>
                <w:szCs w:val="19"/>
              </w:rPr>
              <w:t>لا: ليس مركز عمليات لخدمات أمن سيبراني مُدارة.</w:t>
            </w:r>
          </w:p>
        </w:tc>
      </w:tr>
    </w:tbl>
    <w:p>
      <w:pPr>
        <w:spacing w:after="40"/>
      </w:pPr>
    </w:p>
    <w:p>
      <w:pPr>
        <w:pStyle w:val="Heading1"/>
        <w:bidi/>
      </w:pPr>
      <w:r>
        <w:rPr>
          <w:rFonts w:ascii="Arial" w:hAnsi="Arial" w:cs="Arial" w:eastAsia="Arial"/>
          <w:b w:val="0"/>
          <w:bCs w:val="0"/>
        </w:rPr>
        <w:t>صياغات تعاقدية نموذجية (يُقبل ما يحقق المعنى نفسه)</w:t>
      </w:r>
    </w:p>
    <w:p>
      <w:pPr>
        <w:bidi/>
      </w:pPr>
      <w:r>
        <w:rPr>
          <w:rFonts w:ascii="Arial" w:hAnsi="Arial" w:cs="Arial" w:eastAsia="Arial"/>
          <w:b w:val="1"/>
          <w:bCs w:val="1"/>
          <w:color w:val="1F6F5C"/>
          <w:sz w:val="20"/>
          <w:szCs w:val="20"/>
        </w:rPr>
        <w:t>«تطبيق مقترح»</w:t>
      </w:r>
      <w:r>
        <w:rPr>
          <w:rFonts w:ascii="Arial" w:hAnsi="Arial" w:cs="Arial" w:eastAsia="Arial"/>
          <w:b w:val="0"/>
          <w:bCs w:val="0"/>
          <w:sz w:val="20"/>
          <w:szCs w:val="20"/>
        </w:rPr>
        <w:t xml:space="preserve"> الصياغات التالية أمثلة تدريبية، وتُراجع قانونياً قبل أي استخدام فعلي. المدد الرقمية اختيار من الجهة وليست أرقاماً منصوصاً عليها في ECC.</w:t>
      </w:r>
    </w:p>
    <w:tbl>
      <w:tblPr>
        <w:tblStyle w:val="TableGrid"/>
        <w:bidiVisual/>
        <w:tblW w:type="dxa" w:w="9637"/>
        <w:jc w:val="center"/>
        <w:tblLayout w:type="fixed"/>
        <w:tblLook w:firstColumn="1" w:firstRow="1" w:lastColumn="0" w:lastRow="0" w:noHBand="0" w:noVBand="1" w:val="04A0"/>
      </w:tblPr>
      <w:tblGrid>
        <w:gridCol w:w="1700"/>
        <w:gridCol w:w="6576"/>
        <w:gridCol w:w="1360"/>
      </w:tblGrid>
      <w:tr>
        <w:trPr>
          <w:cantSplit/>
          <w:tblHeader/>
        </w:trPr>
        <w:tc>
          <w:tcPr>
            <w:tcW w:type="dxa" w:w="1701"/>
            <w:shd w:val="clear" w:color="auto" w:fill="D9E2F3"/>
          </w:tcPr>
          <w:p>
            <w:pPr>
              <w:bidi/>
              <w:spacing w:after="20" w:line="252" w:lineRule="auto"/>
            </w:pPr>
            <w:r/>
            <w:r>
              <w:rPr>
                <w:rFonts w:ascii="Arial" w:hAnsi="Arial" w:cs="Arial" w:eastAsia="Arial"/>
                <w:b w:val="1"/>
                <w:bCs w:val="1"/>
                <w:sz w:val="19"/>
                <w:szCs w:val="19"/>
              </w:rPr>
              <w:t>الموضوع</w:t>
            </w:r>
          </w:p>
        </w:tc>
        <w:tc>
          <w:tcPr>
            <w:tcW w:type="dxa" w:w="6576"/>
            <w:shd w:val="clear" w:color="auto" w:fill="D9E2F3"/>
          </w:tcPr>
          <w:p>
            <w:pPr>
              <w:bidi/>
              <w:spacing w:after="20" w:line="252" w:lineRule="auto"/>
            </w:pPr>
            <w:r/>
            <w:r>
              <w:rPr>
                <w:rFonts w:ascii="Arial" w:hAnsi="Arial" w:cs="Arial" w:eastAsia="Arial"/>
                <w:b w:val="1"/>
                <w:bCs w:val="1"/>
                <w:sz w:val="19"/>
                <w:szCs w:val="19"/>
              </w:rPr>
              <w:t>الصياغة المقترحة</w:t>
            </w:r>
          </w:p>
        </w:tc>
        <w:tc>
          <w:tcPr>
            <w:tcW w:type="dxa" w:w="1361"/>
            <w:shd w:val="clear" w:color="auto" w:fill="D9E2F3"/>
          </w:tcPr>
          <w:p>
            <w:pPr>
              <w:bidi/>
              <w:spacing w:after="20" w:line="252" w:lineRule="auto"/>
            </w:pPr>
            <w:r/>
            <w:r>
              <w:rPr>
                <w:rFonts w:ascii="Arial" w:hAnsi="Arial" w:cs="Arial" w:eastAsia="Arial"/>
                <w:b w:val="1"/>
                <w:bCs w:val="1"/>
                <w:sz w:val="19"/>
                <w:szCs w:val="19"/>
              </w:rPr>
              <w:t>الضابط</w:t>
            </w:r>
          </w:p>
        </w:tc>
      </w:tr>
      <w:tr>
        <w:trPr>
          <w:cantSplit/>
        </w:trPr>
        <w:tc>
          <w:tcPr>
            <w:tcW w:type="dxa" w:w="1701"/>
          </w:tcPr>
          <w:p>
            <w:pPr>
              <w:bidi/>
              <w:spacing w:after="20" w:line="252" w:lineRule="auto"/>
            </w:pPr>
            <w:r/>
            <w:r>
              <w:rPr>
                <w:rFonts w:ascii="Arial" w:hAnsi="Arial" w:cs="Arial" w:eastAsia="Arial"/>
                <w:b w:val="0"/>
                <w:bCs w:val="0"/>
                <w:sz w:val="19"/>
                <w:szCs w:val="19"/>
              </w:rPr>
              <w:t>السرية والحذف</w:t>
            </w:r>
          </w:p>
        </w:tc>
        <w:tc>
          <w:tcPr>
            <w:tcW w:type="dxa" w:w="6576"/>
          </w:tcPr>
          <w:p>
            <w:pPr>
              <w:bidi/>
              <w:spacing w:after="20" w:line="252" w:lineRule="auto"/>
            </w:pPr>
            <w:r/>
            <w:r>
              <w:rPr>
                <w:rFonts w:ascii="Arial" w:hAnsi="Arial" w:cs="Arial" w:eastAsia="Arial"/>
                <w:b w:val="0"/>
                <w:bCs w:val="0"/>
                <w:sz w:val="19"/>
                <w:szCs w:val="19"/>
              </w:rPr>
              <w:t>يلتزم مقدم الخدمة ومنسوبوه ومقاولوه من الباطن بالمحافظة على سرية جميع معلومات الجهة خلال مدة العقد وبعد انتهائه أو إنهائه. وعند انتهاء الخدمة لأي سبب، يعيد مقدم الخدمة بيانات الجهة ثم يحذفها حذفاً آمناً من جميع أنظمته ونسخه الاحتياطية خلال (30) يوماً، ويقدم شهادة حذف موقعة.</w:t>
            </w:r>
          </w:p>
        </w:tc>
        <w:tc>
          <w:tcPr>
            <w:tcW w:type="dxa" w:w="1361"/>
          </w:tcPr>
          <w:p>
            <w:pPr>
              <w:bidi/>
              <w:spacing w:after="20" w:line="252" w:lineRule="auto"/>
            </w:pPr>
            <w:r/>
            <w:r>
              <w:rPr>
                <w:rFonts w:ascii="Arial" w:hAnsi="Arial" w:cs="Arial" w:eastAsia="Arial"/>
                <w:b w:val="0"/>
                <w:bCs w:val="0"/>
                <w:sz w:val="19"/>
                <w:szCs w:val="19"/>
              </w:rPr>
              <w:t>‎4-1-2-1‎</w:t>
            </w:r>
          </w:p>
        </w:tc>
      </w:tr>
      <w:tr>
        <w:trPr>
          <w:cantSplit/>
        </w:trPr>
        <w:tc>
          <w:tcPr>
            <w:tcW w:type="dxa" w:w="1701"/>
          </w:tcPr>
          <w:p>
            <w:pPr>
              <w:bidi/>
              <w:spacing w:after="20" w:line="252" w:lineRule="auto"/>
            </w:pPr>
            <w:r/>
            <w:r>
              <w:rPr>
                <w:rFonts w:ascii="Arial" w:hAnsi="Arial" w:cs="Arial" w:eastAsia="Arial"/>
                <w:b w:val="0"/>
                <w:bCs w:val="0"/>
                <w:sz w:val="19"/>
                <w:szCs w:val="19"/>
              </w:rPr>
              <w:t>الإبلاغ عن الحوادث</w:t>
            </w:r>
          </w:p>
        </w:tc>
        <w:tc>
          <w:tcPr>
            <w:tcW w:type="dxa" w:w="6576"/>
          </w:tcPr>
          <w:p>
            <w:pPr>
              <w:bidi/>
              <w:spacing w:after="20" w:line="252" w:lineRule="auto"/>
            </w:pPr>
            <w:r/>
            <w:r>
              <w:rPr>
                <w:rFonts w:ascii="Arial" w:hAnsi="Arial" w:cs="Arial" w:eastAsia="Arial"/>
                <w:b w:val="0"/>
                <w:bCs w:val="0"/>
                <w:sz w:val="19"/>
                <w:szCs w:val="19"/>
              </w:rPr>
              <w:t>يبلغ مقدم الخدمة الجهة بأي حادثة أمن سيبراني مؤكدة أو مشتبه بها تمس بيانات الجهة أو خدماتها فور اكتشافها، وبحد أقصى (...) ساعات للحوادث الحرجة والعالية، عبر مصفوفة التواصل والتصعيد في الملحق (...)، ويقدم تقريراً أولياً خلال (24) ساعة وتقريراً نهائياً خلال (5) أيام عمل.</w:t>
            </w:r>
          </w:p>
        </w:tc>
        <w:tc>
          <w:tcPr>
            <w:tcW w:type="dxa" w:w="1361"/>
          </w:tcPr>
          <w:p>
            <w:pPr>
              <w:bidi/>
              <w:spacing w:after="20" w:line="252" w:lineRule="auto"/>
            </w:pPr>
            <w:r/>
            <w:r>
              <w:rPr>
                <w:rFonts w:ascii="Arial" w:hAnsi="Arial" w:cs="Arial" w:eastAsia="Arial"/>
                <w:b w:val="0"/>
                <w:bCs w:val="0"/>
                <w:sz w:val="19"/>
                <w:szCs w:val="19"/>
              </w:rPr>
              <w:t>‎4-1-2-2‎</w:t>
            </w:r>
          </w:p>
        </w:tc>
      </w:tr>
      <w:tr>
        <w:trPr>
          <w:cantSplit/>
        </w:trPr>
        <w:tc>
          <w:tcPr>
            <w:tcW w:type="dxa" w:w="1701"/>
          </w:tcPr>
          <w:p>
            <w:pPr>
              <w:bidi/>
              <w:spacing w:after="20" w:line="252" w:lineRule="auto"/>
            </w:pPr>
            <w:r/>
            <w:r>
              <w:rPr>
                <w:rFonts w:ascii="Arial" w:hAnsi="Arial" w:cs="Arial" w:eastAsia="Arial"/>
                <w:b w:val="0"/>
                <w:bCs w:val="0"/>
                <w:sz w:val="19"/>
                <w:szCs w:val="19"/>
              </w:rPr>
              <w:t>سياسات الجهة</w:t>
            </w:r>
          </w:p>
        </w:tc>
        <w:tc>
          <w:tcPr>
            <w:tcW w:type="dxa" w:w="6576"/>
          </w:tcPr>
          <w:p>
            <w:pPr>
              <w:bidi/>
              <w:spacing w:after="20" w:line="252" w:lineRule="auto"/>
            </w:pPr>
            <w:r/>
            <w:r>
              <w:rPr>
                <w:rFonts w:ascii="Arial" w:hAnsi="Arial" w:cs="Arial" w:eastAsia="Arial"/>
                <w:b w:val="0"/>
                <w:bCs w:val="0"/>
                <w:sz w:val="19"/>
                <w:szCs w:val="19"/>
              </w:rPr>
              <w:t>يلتزم مقدم الخدمة بتطبيق متطلبات وسياسات الأمن السيبراني للجهة المرفقة في الملحق (...) وما يطرأ عليها من تحديث، والمتطلبات التشريعية والتنظيمية ذات العلاقة، وتُقدَّم متطلبات الجهة عند التعارض.</w:t>
            </w:r>
          </w:p>
        </w:tc>
        <w:tc>
          <w:tcPr>
            <w:tcW w:type="dxa" w:w="1361"/>
          </w:tcPr>
          <w:p>
            <w:pPr>
              <w:bidi/>
              <w:spacing w:after="20" w:line="252" w:lineRule="auto"/>
            </w:pPr>
            <w:r/>
            <w:r>
              <w:rPr>
                <w:rFonts w:ascii="Arial" w:hAnsi="Arial" w:cs="Arial" w:eastAsia="Arial"/>
                <w:b w:val="0"/>
                <w:bCs w:val="0"/>
                <w:sz w:val="19"/>
                <w:szCs w:val="19"/>
              </w:rPr>
              <w:t>‎4-1-2-3‎</w:t>
            </w:r>
          </w:p>
        </w:tc>
      </w:tr>
      <w:tr>
        <w:trPr>
          <w:cantSplit/>
        </w:trPr>
        <w:tc>
          <w:tcPr>
            <w:tcW w:type="dxa" w:w="1701"/>
          </w:tcPr>
          <w:p>
            <w:pPr>
              <w:bidi/>
              <w:spacing w:after="20" w:line="252" w:lineRule="auto"/>
            </w:pPr>
            <w:r/>
            <w:r>
              <w:rPr>
                <w:rFonts w:ascii="Arial" w:hAnsi="Arial" w:cs="Arial" w:eastAsia="Arial"/>
                <w:b w:val="0"/>
                <w:bCs w:val="0"/>
                <w:sz w:val="19"/>
                <w:szCs w:val="19"/>
              </w:rPr>
              <w:t>موقع التشغيل والمراقبة</w:t>
            </w:r>
          </w:p>
        </w:tc>
        <w:tc>
          <w:tcPr>
            <w:tcW w:type="dxa" w:w="6576"/>
          </w:tcPr>
          <w:p>
            <w:pPr>
              <w:bidi/>
              <w:spacing w:after="20" w:line="252" w:lineRule="auto"/>
            </w:pPr>
            <w:r/>
            <w:r>
              <w:rPr>
                <w:rFonts w:ascii="Arial" w:hAnsi="Arial" w:cs="Arial" w:eastAsia="Arial"/>
                <w:b w:val="0"/>
                <w:bCs w:val="0"/>
                <w:sz w:val="19"/>
                <w:szCs w:val="19"/>
              </w:rPr>
              <w:t>تُقدَّم جميع عمليات التشغيل والمراقبة بموجب هذا العقد التي تستخدم الوصول عن بعد من مراكز موجودة بالكامل داخل المملكة العربية السعودية، ولا يجوز تقديم أي جزء منها أو الوصول إلى أنظمة الجهة لأغراضها من خارج المملكة.</w:t>
            </w:r>
          </w:p>
        </w:tc>
        <w:tc>
          <w:tcPr>
            <w:tcW w:type="dxa" w:w="1361"/>
          </w:tcPr>
          <w:p>
            <w:pPr>
              <w:bidi/>
              <w:spacing w:after="20" w:line="252" w:lineRule="auto"/>
            </w:pPr>
            <w:r/>
            <w:r>
              <w:rPr>
                <w:rFonts w:ascii="Arial" w:hAnsi="Arial" w:cs="Arial" w:eastAsia="Arial"/>
                <w:b w:val="0"/>
                <w:bCs w:val="0"/>
                <w:sz w:val="19"/>
                <w:szCs w:val="19"/>
              </w:rPr>
              <w:t>‎4-1-3-2‎</w:t>
            </w:r>
          </w:p>
        </w:tc>
      </w:tr>
      <w:tr>
        <w:trPr>
          <w:cantSplit/>
        </w:trPr>
        <w:tc>
          <w:tcPr>
            <w:tcW w:type="dxa" w:w="1701"/>
          </w:tcPr>
          <w:p>
            <w:pPr>
              <w:bidi/>
              <w:spacing w:after="20" w:line="252" w:lineRule="auto"/>
            </w:pPr>
            <w:r/>
            <w:r>
              <w:rPr>
                <w:rFonts w:ascii="Arial" w:hAnsi="Arial" w:cs="Arial" w:eastAsia="Arial"/>
                <w:b w:val="0"/>
                <w:bCs w:val="0"/>
                <w:sz w:val="19"/>
                <w:szCs w:val="19"/>
              </w:rPr>
              <w:t>حق التدقيق</w:t>
            </w:r>
          </w:p>
        </w:tc>
        <w:tc>
          <w:tcPr>
            <w:tcW w:type="dxa" w:w="6576"/>
          </w:tcPr>
          <w:p>
            <w:pPr>
              <w:bidi/>
              <w:spacing w:after="20" w:line="252" w:lineRule="auto"/>
            </w:pPr>
            <w:r/>
            <w:r>
              <w:rPr>
                <w:rFonts w:ascii="Arial" w:hAnsi="Arial" w:cs="Arial" w:eastAsia="Arial"/>
                <w:b w:val="0"/>
                <w:bCs w:val="0"/>
                <w:sz w:val="19"/>
                <w:szCs w:val="19"/>
              </w:rPr>
              <w:t>يحق للجهة أو من تفوضه التحقق من التزام مقدم الخدمة ومقاوليه من الباطن بمتطلبات الأمن السيبراني بالتدقيق أو الزيارة الميدانية أو طلب الأدلة مرة سنوياً على الأقل وعند وقوع حادثة جوهرية.</w:t>
            </w:r>
          </w:p>
        </w:tc>
        <w:tc>
          <w:tcPr>
            <w:tcW w:type="dxa" w:w="1361"/>
          </w:tcPr>
          <w:p>
            <w:pPr>
              <w:bidi/>
              <w:spacing w:after="20" w:line="252" w:lineRule="auto"/>
            </w:pPr>
            <w:r/>
            <w:r>
              <w:rPr>
                <w:rFonts w:ascii="Arial" w:hAnsi="Arial" w:cs="Arial" w:eastAsia="Arial"/>
                <w:b w:val="0"/>
                <w:bCs w:val="0"/>
                <w:sz w:val="19"/>
                <w:szCs w:val="19"/>
              </w:rPr>
              <w:t>‎4-1-2-3‎، ‎4-1-4‎</w:t>
            </w:r>
          </w:p>
        </w:tc>
      </w:tr>
      <w:tr>
        <w:trPr>
          <w:cantSplit/>
        </w:trPr>
        <w:tc>
          <w:tcPr>
            <w:tcW w:type="dxa" w:w="1701"/>
          </w:tcPr>
          <w:p>
            <w:pPr>
              <w:bidi/>
              <w:spacing w:after="20" w:line="252" w:lineRule="auto"/>
            </w:pPr>
            <w:r/>
            <w:r>
              <w:rPr>
                <w:rFonts w:ascii="Arial" w:hAnsi="Arial" w:cs="Arial" w:eastAsia="Arial"/>
                <w:b w:val="0"/>
                <w:bCs w:val="0"/>
                <w:sz w:val="19"/>
                <w:szCs w:val="19"/>
              </w:rPr>
              <w:t>التعاقد من الباطن</w:t>
            </w:r>
          </w:p>
        </w:tc>
        <w:tc>
          <w:tcPr>
            <w:tcW w:type="dxa" w:w="6576"/>
          </w:tcPr>
          <w:p>
            <w:pPr>
              <w:bidi/>
              <w:spacing w:after="20" w:line="252" w:lineRule="auto"/>
            </w:pPr>
            <w:r/>
            <w:r>
              <w:rPr>
                <w:rFonts w:ascii="Arial" w:hAnsi="Arial" w:cs="Arial" w:eastAsia="Arial"/>
                <w:b w:val="0"/>
                <w:bCs w:val="0"/>
                <w:sz w:val="19"/>
                <w:szCs w:val="19"/>
              </w:rPr>
              <w:t>لا يجوز لمقدم الخدمة التعاقد من الباطن في أي جزء من الخدمة إلا بموافقة كتابية مسبقة من الجهة بعد تقييم مخاطر الأمن السيبراني، وتسري على المقاول من الباطن جميع متطلبات الأمن السيبراني في هذا العقد.</w:t>
            </w:r>
          </w:p>
        </w:tc>
        <w:tc>
          <w:tcPr>
            <w:tcW w:type="dxa" w:w="1361"/>
          </w:tcPr>
          <w:p>
            <w:pPr>
              <w:bidi/>
              <w:spacing w:after="20" w:line="252" w:lineRule="auto"/>
            </w:pPr>
            <w:r/>
            <w:r>
              <w:rPr>
                <w:rFonts w:ascii="Arial" w:hAnsi="Arial" w:cs="Arial" w:eastAsia="Arial"/>
                <w:b w:val="0"/>
                <w:bCs w:val="0"/>
                <w:sz w:val="19"/>
                <w:szCs w:val="19"/>
              </w:rPr>
              <w:t>‎4-1-2-3‎، ‎4-1-3-1‎</w:t>
            </w:r>
          </w:p>
        </w:tc>
      </w:tr>
      <w:tr>
        <w:trPr>
          <w:cantSplit/>
        </w:trPr>
        <w:tc>
          <w:tcPr>
            <w:tcW w:type="dxa" w:w="1701"/>
          </w:tcPr>
          <w:p>
            <w:pPr>
              <w:bidi/>
              <w:spacing w:after="20" w:line="252" w:lineRule="auto"/>
            </w:pPr>
            <w:r/>
            <w:r>
              <w:rPr>
                <w:rFonts w:ascii="Arial" w:hAnsi="Arial" w:cs="Arial" w:eastAsia="Arial"/>
                <w:b w:val="0"/>
                <w:bCs w:val="0"/>
                <w:sz w:val="19"/>
                <w:szCs w:val="19"/>
              </w:rPr>
              <w:t>إعادة تقييم المخاطر</w:t>
            </w:r>
          </w:p>
        </w:tc>
        <w:tc>
          <w:tcPr>
            <w:tcW w:type="dxa" w:w="6576"/>
          </w:tcPr>
          <w:p>
            <w:pPr>
              <w:bidi/>
              <w:spacing w:after="20" w:line="252" w:lineRule="auto"/>
            </w:pPr>
            <w:r/>
            <w:r>
              <w:rPr>
                <w:rFonts w:ascii="Arial" w:hAnsi="Arial" w:cs="Arial" w:eastAsia="Arial"/>
                <w:b w:val="0"/>
                <w:bCs w:val="0"/>
                <w:sz w:val="19"/>
                <w:szCs w:val="19"/>
              </w:rPr>
              <w:t>يقدم مقدم الخدمة المعلومات والأدلة اللازمة لتقييم مخاطر الأمن السيبراني عند التجديد أو عند تغير نطاق الخدمة أو المتطلبات التشريعية والتنظيمية ذات العلاقة.</w:t>
            </w:r>
          </w:p>
        </w:tc>
        <w:tc>
          <w:tcPr>
            <w:tcW w:type="dxa" w:w="1361"/>
          </w:tcPr>
          <w:p>
            <w:pPr>
              <w:bidi/>
              <w:spacing w:after="20" w:line="252" w:lineRule="auto"/>
            </w:pPr>
            <w:r/>
            <w:r>
              <w:rPr>
                <w:rFonts w:ascii="Arial" w:hAnsi="Arial" w:cs="Arial" w:eastAsia="Arial"/>
                <w:b w:val="0"/>
                <w:bCs w:val="0"/>
                <w:sz w:val="19"/>
                <w:szCs w:val="19"/>
              </w:rPr>
              <w:t>‎4-1-3-1‎، ‎4-1-4‎</w:t>
            </w:r>
          </w:p>
        </w:tc>
      </w:tr>
    </w:tbl>
    <w:p>
      <w:pPr>
        <w:spacing w:after="40"/>
      </w:pPr>
    </w:p>
    <w:p>
      <w:pPr>
        <w:pStyle w:val="Heading1"/>
        <w:bidi/>
      </w:pPr>
      <w:r>
        <w:rPr>
          <w:rFonts w:ascii="Arial" w:hAnsi="Arial" w:cs="Arial" w:eastAsia="Arial"/>
          <w:b w:val="0"/>
          <w:bCs w:val="0"/>
        </w:rPr>
        <w:t>التوصية النموذجية</w:t>
      </w:r>
    </w:p>
    <w:p>
      <w:pPr>
        <w:bidi/>
      </w:pPr>
      <w:r>
        <w:rPr>
          <w:rFonts w:ascii="Arial" w:hAnsi="Arial" w:cs="Arial" w:eastAsia="Arial"/>
          <w:b w:val="1"/>
          <w:bCs w:val="1"/>
          <w:sz w:val="21"/>
          <w:szCs w:val="21"/>
        </w:rPr>
        <w:t>الخيار (ب)</w:t>
      </w:r>
      <w:r>
        <w:rPr>
          <w:rFonts w:ascii="Arial" w:hAnsi="Arial" w:cs="Arial" w:eastAsia="Arial"/>
          <w:b w:val="0"/>
          <w:bCs w:val="0"/>
          <w:sz w:val="21"/>
          <w:szCs w:val="21"/>
        </w:rPr>
        <w:t xml:space="preserve"> مع إجراء فوري غير قابل للتفاوض: إيقاف أي وصول عن بعد من خارج المملكة فوراً، لأن ‎4-1-3-2‎ شرط وطني لا يقبل استثناءً تعاقدياً. ثم ملحق تعاقدي خلال مدة قصيرة (مثلاً 30 يوماً) يغطي الملاحظات 1 و2 و3 و6 و7، وتحديث تقييم المخاطر. وإذا رفض المورد أو عجز عن تغطية الفترة الليلية من داخل المملكة خلال المدة، يُنتقل إلى الخيار (ج).</w:t>
      </w:r>
    </w:p>
    <w:p>
      <w:pPr>
        <w:bidi/>
        <w:spacing w:after="60"/>
        <w:ind w:right="283" w:hanging="255"/>
      </w:pPr>
      <w:r>
        <w:rPr>
          <w:rFonts w:ascii="Arial" w:hAnsi="Arial" w:cs="Arial" w:eastAsia="Arial"/>
          <w:b w:val="0"/>
          <w:bCs w:val="0"/>
          <w:sz w:val="21"/>
          <w:szCs w:val="21"/>
        </w:rPr>
        <w:t>• يُقبل الخيار (ج) بدرجة كاملة إذا برره المتدرب بتعدد أوجه القصور وتناقض إجابات المورد مع مستنداته (فقدان الثقة)، مع خطة انتقال تحافظ على استمرار المراقبة.</w:t>
      </w:r>
    </w:p>
    <w:p>
      <w:pPr>
        <w:bidi/>
        <w:spacing w:after="60"/>
        <w:ind w:right="283" w:hanging="255"/>
      </w:pPr>
      <w:r>
        <w:rPr>
          <w:rFonts w:ascii="Arial" w:hAnsi="Arial" w:cs="Arial" w:eastAsia="Arial"/>
          <w:b w:val="0"/>
          <w:bCs w:val="0"/>
          <w:sz w:val="21"/>
          <w:szCs w:val="21"/>
        </w:rPr>
        <w:t>• لا يُقبل الخيار (أ)، لأن مخالفة ‎4-1-3-2‎ قائمة، ولأن الجهة لا تعرف بالحوادث في وقتها.</w:t>
      </w:r>
    </w:p>
    <w:p>
      <w:pPr>
        <w:pStyle w:val="Heading1"/>
        <w:bidi/>
      </w:pPr>
      <w:r>
        <w:rPr>
          <w:rFonts w:ascii="Arial" w:hAnsi="Arial" w:cs="Arial" w:eastAsia="Arial"/>
          <w:b w:val="0"/>
          <w:bCs w:val="0"/>
        </w:rPr>
        <w:t>الحكم الإجمالي المقترح لكل ضابط</w:t>
      </w:r>
    </w:p>
    <w:tbl>
      <w:tblPr>
        <w:tblStyle w:val="TableGrid"/>
        <w:bidiVisual/>
        <w:tblW w:type="dxa" w:w="9637"/>
        <w:jc w:val="center"/>
        <w:tblLayout w:type="fixed"/>
        <w:tblLook w:firstColumn="1" w:firstRow="1" w:lastColumn="0" w:lastRow="0" w:noHBand="0" w:noVBand="1" w:val="04A0"/>
      </w:tblPr>
      <w:tblGrid>
        <w:gridCol w:w="1133"/>
        <w:gridCol w:w="2834"/>
        <w:gridCol w:w="3685"/>
        <w:gridCol w:w="1984"/>
      </w:tblGrid>
      <w:tr>
        <w:trPr>
          <w:cantSplit/>
          <w:tblHeader/>
        </w:trPr>
        <w:tc>
          <w:tcPr>
            <w:tcW w:type="dxa" w:w="1134"/>
            <w:shd w:val="clear" w:color="auto" w:fill="D9E2F3"/>
          </w:tcPr>
          <w:p>
            <w:pPr>
              <w:bidi/>
              <w:spacing w:after="20" w:line="252" w:lineRule="auto"/>
            </w:pPr>
            <w:r/>
            <w:r>
              <w:rPr>
                <w:rFonts w:ascii="Arial" w:hAnsi="Arial" w:cs="Arial" w:eastAsia="Arial"/>
                <w:b w:val="1"/>
                <w:bCs w:val="1"/>
                <w:sz w:val="19"/>
                <w:szCs w:val="19"/>
              </w:rPr>
              <w:t>الضابط</w:t>
            </w:r>
          </w:p>
        </w:tc>
        <w:tc>
          <w:tcPr>
            <w:tcW w:type="dxa" w:w="2835"/>
            <w:shd w:val="clear" w:color="auto" w:fill="D9E2F3"/>
          </w:tcPr>
          <w:p>
            <w:pPr>
              <w:bidi/>
              <w:spacing w:after="20" w:line="252" w:lineRule="auto"/>
            </w:pPr>
            <w:r/>
            <w:r>
              <w:rPr>
                <w:rFonts w:ascii="Arial" w:hAnsi="Arial" w:cs="Arial" w:eastAsia="Arial"/>
                <w:b w:val="1"/>
                <w:bCs w:val="1"/>
                <w:sz w:val="19"/>
                <w:szCs w:val="19"/>
              </w:rPr>
              <w:t>الحكم المقترح</w:t>
            </w:r>
          </w:p>
        </w:tc>
        <w:tc>
          <w:tcPr>
            <w:tcW w:type="dxa" w:w="3685"/>
            <w:shd w:val="clear" w:color="auto" w:fill="D9E2F3"/>
          </w:tcPr>
          <w:p>
            <w:pPr>
              <w:bidi/>
              <w:spacing w:after="20" w:line="252" w:lineRule="auto"/>
            </w:pPr>
            <w:r/>
            <w:r>
              <w:rPr>
                <w:rFonts w:ascii="Arial" w:hAnsi="Arial" w:cs="Arial" w:eastAsia="Arial"/>
                <w:b w:val="1"/>
                <w:bCs w:val="1"/>
                <w:sz w:val="19"/>
                <w:szCs w:val="19"/>
              </w:rPr>
              <w:t>المبرر</w:t>
            </w:r>
          </w:p>
        </w:tc>
        <w:tc>
          <w:tcPr>
            <w:tcW w:type="dxa" w:w="1984"/>
            <w:shd w:val="clear" w:color="auto" w:fill="D9E2F3"/>
          </w:tcPr>
          <w:p>
            <w:pPr>
              <w:bidi/>
              <w:spacing w:after="20" w:line="252" w:lineRule="auto"/>
            </w:pPr>
            <w:r/>
            <w:r>
              <w:rPr>
                <w:rFonts w:ascii="Arial" w:hAnsi="Arial" w:cs="Arial" w:eastAsia="Arial"/>
                <w:b w:val="1"/>
                <w:bCs w:val="1"/>
                <w:sz w:val="19"/>
                <w:szCs w:val="19"/>
              </w:rPr>
              <w:t>بديل مقبول</w:t>
            </w:r>
          </w:p>
        </w:tc>
      </w:tr>
      <w:tr>
        <w:trPr>
          <w:cantSplit/>
        </w:trPr>
        <w:tc>
          <w:tcPr>
            <w:tcW w:type="dxa" w:w="1134"/>
          </w:tcPr>
          <w:p>
            <w:pPr>
              <w:bidi/>
              <w:spacing w:after="20" w:line="252" w:lineRule="auto"/>
            </w:pPr>
            <w:r/>
            <w:r>
              <w:rPr>
                <w:rFonts w:ascii="Arial" w:hAnsi="Arial" w:cs="Arial" w:eastAsia="Arial"/>
                <w:b w:val="0"/>
                <w:bCs w:val="0"/>
                <w:sz w:val="19"/>
                <w:szCs w:val="19"/>
              </w:rPr>
              <w:t>‎4-1-1‎</w:t>
            </w:r>
          </w:p>
        </w:tc>
        <w:tc>
          <w:tcPr>
            <w:tcW w:type="dxa" w:w="2835"/>
          </w:tcPr>
          <w:p>
            <w:pPr>
              <w:bidi/>
              <w:spacing w:after="20" w:line="252" w:lineRule="auto"/>
            </w:pPr>
            <w:r/>
            <w:r>
              <w:rPr>
                <w:rFonts w:ascii="Arial" w:hAnsi="Arial" w:cs="Arial" w:eastAsia="Arial"/>
                <w:b w:val="0"/>
                <w:bCs w:val="0"/>
                <w:sz w:val="19"/>
                <w:szCs w:val="19"/>
              </w:rPr>
              <w:t>مطبق جزئياً</w:t>
            </w:r>
          </w:p>
        </w:tc>
        <w:tc>
          <w:tcPr>
            <w:tcW w:type="dxa" w:w="3685"/>
          </w:tcPr>
          <w:p>
            <w:pPr>
              <w:bidi/>
              <w:spacing w:after="20" w:line="252" w:lineRule="auto"/>
            </w:pPr>
            <w:r/>
            <w:r>
              <w:rPr>
                <w:rFonts w:ascii="Arial" w:hAnsi="Arial" w:cs="Arial" w:eastAsia="Arial"/>
                <w:b w:val="0"/>
                <w:bCs w:val="0"/>
                <w:sz w:val="19"/>
                <w:szCs w:val="19"/>
              </w:rPr>
              <w:t>متطلبات مكتوبة في عقد الاستضافة وغائبة في عقد مركز العمليات</w:t>
            </w:r>
          </w:p>
        </w:tc>
        <w:tc>
          <w:tcPr>
            <w:tcW w:type="dxa" w:w="1984"/>
          </w:tcPr>
          <w:p>
            <w:pPr>
              <w:bidi/>
              <w:spacing w:after="20" w:line="252" w:lineRule="auto"/>
            </w:pPr>
            <w:r/>
            <w:r>
              <w:rPr>
                <w:rFonts w:ascii="Arial" w:hAnsi="Arial" w:cs="Arial" w:eastAsia="Arial"/>
                <w:b w:val="0"/>
                <w:bCs w:val="0"/>
                <w:sz w:val="19"/>
                <w:szCs w:val="19"/>
              </w:rPr>
              <w:t>غير مطبق لعقد مركز العمليات</w:t>
            </w:r>
          </w:p>
        </w:tc>
      </w:tr>
      <w:tr>
        <w:trPr>
          <w:cantSplit/>
        </w:trPr>
        <w:tc>
          <w:tcPr>
            <w:tcW w:type="dxa" w:w="1134"/>
          </w:tcPr>
          <w:p>
            <w:pPr>
              <w:bidi/>
              <w:spacing w:after="20" w:line="252" w:lineRule="auto"/>
            </w:pPr>
            <w:r/>
            <w:r>
              <w:rPr>
                <w:rFonts w:ascii="Arial" w:hAnsi="Arial" w:cs="Arial" w:eastAsia="Arial"/>
                <w:b w:val="0"/>
                <w:bCs w:val="0"/>
                <w:sz w:val="19"/>
                <w:szCs w:val="19"/>
              </w:rPr>
              <w:t>‎4-1-2-1‎</w:t>
            </w:r>
          </w:p>
        </w:tc>
        <w:tc>
          <w:tcPr>
            <w:tcW w:type="dxa" w:w="2835"/>
          </w:tcPr>
          <w:p>
            <w:pPr>
              <w:bidi/>
              <w:spacing w:after="20" w:line="252" w:lineRule="auto"/>
            </w:pPr>
            <w:r/>
            <w:r>
              <w:rPr>
                <w:rFonts w:ascii="Arial" w:hAnsi="Arial" w:cs="Arial" w:eastAsia="Arial"/>
                <w:b w:val="0"/>
                <w:bCs w:val="0"/>
                <w:sz w:val="19"/>
                <w:szCs w:val="19"/>
              </w:rPr>
              <w:t>غير مطبق (مركز العمليات) / مطبق (الاستضافة)</w:t>
            </w:r>
          </w:p>
        </w:tc>
        <w:tc>
          <w:tcPr>
            <w:tcW w:type="dxa" w:w="3685"/>
          </w:tcPr>
          <w:p>
            <w:pPr>
              <w:bidi/>
              <w:spacing w:after="20" w:line="252" w:lineRule="auto"/>
            </w:pPr>
            <w:r/>
            <w:r>
              <w:rPr>
                <w:rFonts w:ascii="Arial" w:hAnsi="Arial" w:cs="Arial" w:eastAsia="Arial"/>
                <w:b w:val="0"/>
                <w:bCs w:val="0"/>
                <w:sz w:val="19"/>
                <w:szCs w:val="19"/>
              </w:rPr>
              <w:t>السرية والحذف</w:t>
            </w:r>
          </w:p>
        </w:tc>
        <w:tc>
          <w:tcPr>
            <w:tcW w:type="dxa" w:w="1984"/>
          </w:tcPr>
          <w:p>
            <w:pPr>
              <w:bidi/>
              <w:spacing w:after="20" w:line="252" w:lineRule="auto"/>
            </w:pPr>
            <w:r/>
            <w:r>
              <w:rPr>
                <w:rFonts w:ascii="Arial" w:hAnsi="Arial" w:cs="Arial" w:eastAsia="Arial"/>
                <w:b w:val="0"/>
                <w:bCs w:val="0"/>
                <w:sz w:val="19"/>
                <w:szCs w:val="19"/>
              </w:rPr>
              <w:t>—</w:t>
            </w:r>
          </w:p>
        </w:tc>
      </w:tr>
      <w:tr>
        <w:trPr>
          <w:cantSplit/>
        </w:trPr>
        <w:tc>
          <w:tcPr>
            <w:tcW w:type="dxa" w:w="1134"/>
          </w:tcPr>
          <w:p>
            <w:pPr>
              <w:bidi/>
              <w:spacing w:after="20" w:line="252" w:lineRule="auto"/>
            </w:pPr>
            <w:r/>
            <w:r>
              <w:rPr>
                <w:rFonts w:ascii="Arial" w:hAnsi="Arial" w:cs="Arial" w:eastAsia="Arial"/>
                <w:b w:val="0"/>
                <w:bCs w:val="0"/>
                <w:sz w:val="19"/>
                <w:szCs w:val="19"/>
              </w:rPr>
              <w:t>‎4-1-2-2‎</w:t>
            </w:r>
          </w:p>
        </w:tc>
        <w:tc>
          <w:tcPr>
            <w:tcW w:type="dxa" w:w="2835"/>
          </w:tcPr>
          <w:p>
            <w:pPr>
              <w:bidi/>
              <w:spacing w:after="20" w:line="252" w:lineRule="auto"/>
            </w:pPr>
            <w:r/>
            <w:r>
              <w:rPr>
                <w:rFonts w:ascii="Arial" w:hAnsi="Arial" w:cs="Arial" w:eastAsia="Arial"/>
                <w:b w:val="0"/>
                <w:bCs w:val="0"/>
                <w:sz w:val="19"/>
                <w:szCs w:val="19"/>
              </w:rPr>
              <w:t>غير مطبق (مركز العمليات) / مطبق (الاستضافة)</w:t>
            </w:r>
          </w:p>
        </w:tc>
        <w:tc>
          <w:tcPr>
            <w:tcW w:type="dxa" w:w="3685"/>
          </w:tcPr>
          <w:p>
            <w:pPr>
              <w:bidi/>
              <w:spacing w:after="20" w:line="252" w:lineRule="auto"/>
            </w:pPr>
            <w:r/>
            <w:r>
              <w:rPr>
                <w:rFonts w:ascii="Arial" w:hAnsi="Arial" w:cs="Arial" w:eastAsia="Arial"/>
                <w:b w:val="0"/>
                <w:bCs w:val="0"/>
                <w:sz w:val="19"/>
                <w:szCs w:val="19"/>
              </w:rPr>
              <w:t>الإبلاغ الشهري مقابل 24 ساعة</w:t>
            </w:r>
          </w:p>
        </w:tc>
        <w:tc>
          <w:tcPr>
            <w:tcW w:type="dxa" w:w="1984"/>
          </w:tcPr>
          <w:p>
            <w:pPr>
              <w:bidi/>
              <w:spacing w:after="20" w:line="252" w:lineRule="auto"/>
            </w:pPr>
            <w:r/>
            <w:r>
              <w:rPr>
                <w:rFonts w:ascii="Arial" w:hAnsi="Arial" w:cs="Arial" w:eastAsia="Arial"/>
                <w:b w:val="0"/>
                <w:bCs w:val="0"/>
                <w:sz w:val="19"/>
                <w:szCs w:val="19"/>
              </w:rPr>
              <w:t>—</w:t>
            </w:r>
          </w:p>
        </w:tc>
      </w:tr>
      <w:tr>
        <w:trPr>
          <w:cantSplit/>
        </w:trPr>
        <w:tc>
          <w:tcPr>
            <w:tcW w:type="dxa" w:w="1134"/>
          </w:tcPr>
          <w:p>
            <w:pPr>
              <w:bidi/>
              <w:spacing w:after="20" w:line="252" w:lineRule="auto"/>
            </w:pPr>
            <w:r/>
            <w:r>
              <w:rPr>
                <w:rFonts w:ascii="Arial" w:hAnsi="Arial" w:cs="Arial" w:eastAsia="Arial"/>
                <w:b w:val="0"/>
                <w:bCs w:val="0"/>
                <w:sz w:val="19"/>
                <w:szCs w:val="19"/>
              </w:rPr>
              <w:t>‎4-1-2-3‎</w:t>
            </w:r>
          </w:p>
        </w:tc>
        <w:tc>
          <w:tcPr>
            <w:tcW w:type="dxa" w:w="2835"/>
          </w:tcPr>
          <w:p>
            <w:pPr>
              <w:bidi/>
              <w:spacing w:after="20" w:line="252" w:lineRule="auto"/>
            </w:pPr>
            <w:r/>
            <w:r>
              <w:rPr>
                <w:rFonts w:ascii="Arial" w:hAnsi="Arial" w:cs="Arial" w:eastAsia="Arial"/>
                <w:b w:val="0"/>
                <w:bCs w:val="0"/>
                <w:sz w:val="19"/>
                <w:szCs w:val="19"/>
              </w:rPr>
              <w:t>غير مطبق (مركز العمليات) / مطبق (الاستضافة)</w:t>
            </w:r>
          </w:p>
        </w:tc>
        <w:tc>
          <w:tcPr>
            <w:tcW w:type="dxa" w:w="3685"/>
          </w:tcPr>
          <w:p>
            <w:pPr>
              <w:bidi/>
              <w:spacing w:after="20" w:line="252" w:lineRule="auto"/>
            </w:pPr>
            <w:r/>
            <w:r>
              <w:rPr>
                <w:rFonts w:ascii="Arial" w:hAnsi="Arial" w:cs="Arial" w:eastAsia="Arial"/>
                <w:b w:val="0"/>
                <w:bCs w:val="0"/>
                <w:sz w:val="19"/>
                <w:szCs w:val="19"/>
              </w:rPr>
              <w:t>سياسات المورد مقابل سياسات الجهة</w:t>
            </w:r>
          </w:p>
        </w:tc>
        <w:tc>
          <w:tcPr>
            <w:tcW w:type="dxa" w:w="1984"/>
          </w:tcPr>
          <w:p>
            <w:pPr>
              <w:bidi/>
              <w:spacing w:after="20" w:line="252" w:lineRule="auto"/>
            </w:pPr>
            <w:r/>
            <w:r>
              <w:rPr>
                <w:rFonts w:ascii="Arial" w:hAnsi="Arial" w:cs="Arial" w:eastAsia="Arial"/>
                <w:b w:val="0"/>
                <w:bCs w:val="0"/>
                <w:sz w:val="19"/>
                <w:szCs w:val="19"/>
              </w:rPr>
              <w:t>—</w:t>
            </w:r>
          </w:p>
        </w:tc>
      </w:tr>
      <w:tr>
        <w:trPr>
          <w:cantSplit/>
        </w:trPr>
        <w:tc>
          <w:tcPr>
            <w:tcW w:type="dxa" w:w="1134"/>
          </w:tcPr>
          <w:p>
            <w:pPr>
              <w:bidi/>
              <w:spacing w:after="20" w:line="252" w:lineRule="auto"/>
            </w:pPr>
            <w:r/>
            <w:r>
              <w:rPr>
                <w:rFonts w:ascii="Arial" w:hAnsi="Arial" w:cs="Arial" w:eastAsia="Arial"/>
                <w:b w:val="0"/>
                <w:bCs w:val="0"/>
                <w:sz w:val="19"/>
                <w:szCs w:val="19"/>
              </w:rPr>
              <w:t>‎4-1-3-1‎</w:t>
            </w:r>
          </w:p>
        </w:tc>
        <w:tc>
          <w:tcPr>
            <w:tcW w:type="dxa" w:w="2835"/>
          </w:tcPr>
          <w:p>
            <w:pPr>
              <w:bidi/>
              <w:spacing w:after="20" w:line="252" w:lineRule="auto"/>
            </w:pPr>
            <w:r/>
            <w:r>
              <w:rPr>
                <w:rFonts w:ascii="Arial" w:hAnsi="Arial" w:cs="Arial" w:eastAsia="Arial"/>
                <w:b w:val="0"/>
                <w:bCs w:val="0"/>
                <w:sz w:val="19"/>
                <w:szCs w:val="19"/>
              </w:rPr>
              <w:t>غير مطبق (مركز العمليات) / مطبق (الاستضافة)</w:t>
            </w:r>
          </w:p>
        </w:tc>
        <w:tc>
          <w:tcPr>
            <w:tcW w:type="dxa" w:w="3685"/>
          </w:tcPr>
          <w:p>
            <w:pPr>
              <w:bidi/>
              <w:spacing w:after="20" w:line="252" w:lineRule="auto"/>
            </w:pPr>
            <w:r/>
            <w:r>
              <w:rPr>
                <w:rFonts w:ascii="Arial" w:hAnsi="Arial" w:cs="Arial" w:eastAsia="Arial"/>
                <w:b w:val="0"/>
                <w:bCs w:val="0"/>
                <w:sz w:val="19"/>
                <w:szCs w:val="19"/>
              </w:rPr>
              <w:t>تاريخ التقييم مقابل تاريخ التوقيع</w:t>
            </w:r>
          </w:p>
        </w:tc>
        <w:tc>
          <w:tcPr>
            <w:tcW w:type="dxa" w:w="1984"/>
          </w:tcPr>
          <w:p>
            <w:pPr>
              <w:bidi/>
              <w:spacing w:after="20" w:line="252" w:lineRule="auto"/>
            </w:pPr>
            <w:r/>
            <w:r>
              <w:rPr>
                <w:rFonts w:ascii="Arial" w:hAnsi="Arial" w:cs="Arial" w:eastAsia="Arial"/>
                <w:b w:val="0"/>
                <w:bCs w:val="0"/>
                <w:sz w:val="19"/>
                <w:szCs w:val="19"/>
              </w:rPr>
              <w:t>—</w:t>
            </w:r>
          </w:p>
        </w:tc>
      </w:tr>
      <w:tr>
        <w:trPr>
          <w:cantSplit/>
        </w:trPr>
        <w:tc>
          <w:tcPr>
            <w:tcW w:type="dxa" w:w="1134"/>
          </w:tcPr>
          <w:p>
            <w:pPr>
              <w:bidi/>
              <w:spacing w:after="20" w:line="252" w:lineRule="auto"/>
            </w:pPr>
            <w:r/>
            <w:r>
              <w:rPr>
                <w:rFonts w:ascii="Arial" w:hAnsi="Arial" w:cs="Arial" w:eastAsia="Arial"/>
                <w:b w:val="0"/>
                <w:bCs w:val="0"/>
                <w:sz w:val="19"/>
                <w:szCs w:val="19"/>
              </w:rPr>
              <w:t>‎4-1-3-2‎</w:t>
            </w:r>
          </w:p>
        </w:tc>
        <w:tc>
          <w:tcPr>
            <w:tcW w:type="dxa" w:w="2835"/>
          </w:tcPr>
          <w:p>
            <w:pPr>
              <w:bidi/>
              <w:spacing w:after="20" w:line="252" w:lineRule="auto"/>
            </w:pPr>
            <w:r/>
            <w:r>
              <w:rPr>
                <w:rFonts w:ascii="Arial" w:hAnsi="Arial" w:cs="Arial" w:eastAsia="Arial"/>
                <w:b w:val="0"/>
                <w:bCs w:val="0"/>
                <w:sz w:val="19"/>
                <w:szCs w:val="19"/>
              </w:rPr>
              <w:t>غير مطبق</w:t>
            </w:r>
          </w:p>
        </w:tc>
        <w:tc>
          <w:tcPr>
            <w:tcW w:type="dxa" w:w="3685"/>
          </w:tcPr>
          <w:p>
            <w:pPr>
              <w:bidi/>
              <w:spacing w:after="20" w:line="252" w:lineRule="auto"/>
            </w:pPr>
            <w:r/>
            <w:r>
              <w:rPr>
                <w:rFonts w:ascii="Arial" w:hAnsi="Arial" w:cs="Arial" w:eastAsia="Arial"/>
                <w:b w:val="0"/>
                <w:bCs w:val="0"/>
                <w:sz w:val="19"/>
                <w:szCs w:val="19"/>
              </w:rPr>
              <w:t>مراقبة عن بعد من خارج المملكة (ينطبق على مركز العمليات المُدار فقط)</w:t>
            </w:r>
          </w:p>
        </w:tc>
        <w:tc>
          <w:tcPr>
            <w:tcW w:type="dxa" w:w="1984"/>
          </w:tcPr>
          <w:p>
            <w:pPr>
              <w:bidi/>
              <w:spacing w:after="20" w:line="252" w:lineRule="auto"/>
            </w:pPr>
            <w:r/>
            <w:r>
              <w:rPr>
                <w:rFonts w:ascii="Arial" w:hAnsi="Arial" w:cs="Arial" w:eastAsia="Arial"/>
                <w:b w:val="0"/>
                <w:bCs w:val="0"/>
                <w:sz w:val="19"/>
                <w:szCs w:val="19"/>
              </w:rPr>
              <w:t>—</w:t>
            </w:r>
          </w:p>
        </w:tc>
      </w:tr>
      <w:tr>
        <w:trPr>
          <w:cantSplit/>
        </w:trPr>
        <w:tc>
          <w:tcPr>
            <w:tcW w:type="dxa" w:w="1134"/>
          </w:tcPr>
          <w:p>
            <w:pPr>
              <w:bidi/>
              <w:spacing w:after="20" w:line="252" w:lineRule="auto"/>
            </w:pPr>
            <w:r/>
            <w:r>
              <w:rPr>
                <w:rFonts w:ascii="Arial" w:hAnsi="Arial" w:cs="Arial" w:eastAsia="Arial"/>
                <w:b w:val="0"/>
                <w:bCs w:val="0"/>
                <w:sz w:val="19"/>
                <w:szCs w:val="19"/>
              </w:rPr>
              <w:t>‎4-1-4‎</w:t>
            </w:r>
          </w:p>
        </w:tc>
        <w:tc>
          <w:tcPr>
            <w:tcW w:type="dxa" w:w="2835"/>
          </w:tcPr>
          <w:p>
            <w:pPr>
              <w:bidi/>
              <w:spacing w:after="20" w:line="252" w:lineRule="auto"/>
            </w:pPr>
            <w:r/>
            <w:r>
              <w:rPr>
                <w:rFonts w:ascii="Arial" w:hAnsi="Arial" w:cs="Arial" w:eastAsia="Arial"/>
                <w:b w:val="0"/>
                <w:bCs w:val="0"/>
                <w:sz w:val="19"/>
                <w:szCs w:val="19"/>
              </w:rPr>
              <w:t>لا يمكن الحكم</w:t>
            </w:r>
          </w:p>
        </w:tc>
        <w:tc>
          <w:tcPr>
            <w:tcW w:type="dxa" w:w="3685"/>
          </w:tcPr>
          <w:p>
            <w:pPr>
              <w:bidi/>
              <w:spacing w:after="20" w:line="252" w:lineRule="auto"/>
            </w:pPr>
            <w:r/>
            <w:r>
              <w:rPr>
                <w:rFonts w:ascii="Arial" w:hAnsi="Arial" w:cs="Arial" w:eastAsia="Arial"/>
                <w:b w:val="0"/>
                <w:bCs w:val="0"/>
                <w:sz w:val="19"/>
                <w:szCs w:val="19"/>
              </w:rPr>
              <w:t>لا دليل على مراجعة دورية للمتطلبات؛ والمراجعة الحالية بدأت بسبب شكوى</w:t>
            </w:r>
          </w:p>
        </w:tc>
        <w:tc>
          <w:tcPr>
            <w:tcW w:type="dxa" w:w="1984"/>
          </w:tcPr>
          <w:p>
            <w:pPr>
              <w:bidi/>
              <w:spacing w:after="20" w:line="252" w:lineRule="auto"/>
            </w:pPr>
            <w:r/>
            <w:r>
              <w:rPr>
                <w:rFonts w:ascii="Arial" w:hAnsi="Arial" w:cs="Arial" w:eastAsia="Arial"/>
                <w:b w:val="0"/>
                <w:bCs w:val="0"/>
                <w:sz w:val="19"/>
                <w:szCs w:val="19"/>
              </w:rPr>
              <w:t>غير مطبق إذا برر بغياب أي مراجعة منذ التوقيع</w:t>
            </w:r>
          </w:p>
        </w:tc>
      </w:tr>
    </w:tbl>
    <w:p>
      <w:pPr>
        <w:spacing w:after="40"/>
      </w:pPr>
    </w:p>
    <w:p>
      <w:pPr>
        <w:pStyle w:val="Heading1"/>
        <w:bidi/>
      </w:pPr>
      <w:r>
        <w:rPr>
          <w:rFonts w:ascii="Arial" w:hAnsi="Arial" w:cs="Arial" w:eastAsia="Arial"/>
          <w:b w:val="0"/>
          <w:bCs w:val="0"/>
        </w:rPr>
        <w:t>معيار التصحيح (100 درجة)</w:t>
      </w:r>
    </w:p>
    <w:p>
      <w:pPr>
        <w:bidi/>
      </w:pPr>
      <w:r>
        <w:rPr>
          <w:rFonts w:ascii="Arial" w:hAnsi="Arial" w:cs="Arial" w:eastAsia="Arial"/>
          <w:b w:val="0"/>
          <w:bCs w:val="0"/>
          <w:sz w:val="21"/>
          <w:szCs w:val="21"/>
        </w:rPr>
        <w:t>يقيس المعيار جودة التفكير والتبرير، لا حفظ أرقام الضوابط. الرمز الصحيح بلا تبرير لا يكفي، والتحليل الصحيح مع رمز قريب (مثل الضابط الأساسي بدل البند الفرعي) يأخذ معظم الدرجة.</w:t>
      </w:r>
    </w:p>
    <w:tbl>
      <w:tblPr>
        <w:tblStyle w:val="TableGrid"/>
        <w:bidiVisual/>
        <w:tblW w:type="dxa" w:w="9637"/>
        <w:jc w:val="center"/>
        <w:tblLayout w:type="fixed"/>
        <w:tblLook w:firstColumn="1" w:firstRow="1" w:lastColumn="0" w:lastRow="0" w:noHBand="0" w:noVBand="1" w:val="04A0"/>
      </w:tblPr>
      <w:tblGrid>
        <w:gridCol w:w="453"/>
        <w:gridCol w:w="2097"/>
        <w:gridCol w:w="850"/>
        <w:gridCol w:w="6236"/>
      </w:tblGrid>
      <w:tr>
        <w:trPr>
          <w:cantSplit/>
          <w:tblHeader/>
        </w:trPr>
        <w:tc>
          <w:tcPr>
            <w:tcW w:type="dxa" w:w="454"/>
            <w:shd w:val="clear" w:color="auto" w:fill="D9E2F3"/>
          </w:tcPr>
          <w:p>
            <w:pPr>
              <w:bidi/>
              <w:spacing w:after="20" w:line="252" w:lineRule="auto"/>
            </w:pPr>
            <w:r/>
            <w:r>
              <w:rPr>
                <w:rFonts w:ascii="Arial" w:hAnsi="Arial" w:cs="Arial" w:eastAsia="Arial"/>
                <w:b w:val="1"/>
                <w:bCs w:val="1"/>
                <w:sz w:val="19"/>
                <w:szCs w:val="19"/>
              </w:rPr>
              <w:t>#</w:t>
            </w:r>
          </w:p>
        </w:tc>
        <w:tc>
          <w:tcPr>
            <w:tcW w:type="dxa" w:w="2098"/>
            <w:shd w:val="clear" w:color="auto" w:fill="D9E2F3"/>
          </w:tcPr>
          <w:p>
            <w:pPr>
              <w:bidi/>
              <w:spacing w:after="20" w:line="252" w:lineRule="auto"/>
            </w:pPr>
            <w:r/>
            <w:r>
              <w:rPr>
                <w:rFonts w:ascii="Arial" w:hAnsi="Arial" w:cs="Arial" w:eastAsia="Arial"/>
                <w:b w:val="1"/>
                <w:bCs w:val="1"/>
                <w:sz w:val="19"/>
                <w:szCs w:val="19"/>
              </w:rPr>
              <w:t>المعيار</w:t>
            </w:r>
          </w:p>
        </w:tc>
        <w:tc>
          <w:tcPr>
            <w:tcW w:type="dxa" w:w="850"/>
            <w:shd w:val="clear" w:color="auto" w:fill="D9E2F3"/>
          </w:tcPr>
          <w:p>
            <w:pPr>
              <w:bidi/>
              <w:spacing w:after="20" w:line="252" w:lineRule="auto"/>
            </w:pPr>
            <w:r/>
            <w:r>
              <w:rPr>
                <w:rFonts w:ascii="Arial" w:hAnsi="Arial" w:cs="Arial" w:eastAsia="Arial"/>
                <w:b w:val="1"/>
                <w:bCs w:val="1"/>
                <w:sz w:val="19"/>
                <w:szCs w:val="19"/>
              </w:rPr>
              <w:t>الدرجة</w:t>
            </w:r>
          </w:p>
        </w:tc>
        <w:tc>
          <w:tcPr>
            <w:tcW w:type="dxa" w:w="6236"/>
            <w:shd w:val="clear" w:color="auto" w:fill="D9E2F3"/>
          </w:tcPr>
          <w:p>
            <w:pPr>
              <w:bidi/>
              <w:spacing w:after="20" w:line="252" w:lineRule="auto"/>
            </w:pPr>
            <w:r/>
            <w:r>
              <w:rPr>
                <w:rFonts w:ascii="Arial" w:hAnsi="Arial" w:cs="Arial" w:eastAsia="Arial"/>
                <w:b w:val="1"/>
                <w:bCs w:val="1"/>
                <w:sz w:val="19"/>
                <w:szCs w:val="19"/>
              </w:rPr>
              <w:t>كيف تُمنح الدرجة</w:t>
            </w:r>
          </w:p>
        </w:tc>
      </w:tr>
      <w:tr>
        <w:trPr>
          <w:cantSplit/>
        </w:trPr>
        <w:tc>
          <w:tcPr>
            <w:tcW w:type="dxa" w:w="454"/>
          </w:tcPr>
          <w:p>
            <w:pPr>
              <w:bidi/>
              <w:spacing w:after="20" w:line="252" w:lineRule="auto"/>
            </w:pPr>
            <w:r/>
            <w:r>
              <w:rPr>
                <w:rFonts w:ascii="Arial" w:hAnsi="Arial" w:cs="Arial" w:eastAsia="Arial"/>
                <w:b w:val="0"/>
                <w:bCs w:val="0"/>
                <w:sz w:val="19"/>
                <w:szCs w:val="19"/>
              </w:rPr>
              <w:t>1</w:t>
            </w:r>
          </w:p>
        </w:tc>
        <w:tc>
          <w:tcPr>
            <w:tcW w:type="dxa" w:w="2098"/>
          </w:tcPr>
          <w:p>
            <w:pPr>
              <w:bidi/>
              <w:spacing w:after="20" w:line="252" w:lineRule="auto"/>
            </w:pPr>
            <w:r/>
            <w:r>
              <w:rPr>
                <w:rFonts w:ascii="Arial" w:hAnsi="Arial" w:cs="Arial" w:eastAsia="Arial"/>
                <w:b w:val="0"/>
                <w:bCs w:val="0"/>
                <w:sz w:val="19"/>
                <w:szCs w:val="19"/>
              </w:rPr>
              <w:t>تحديد الفجوات الجوهرية</w:t>
            </w:r>
          </w:p>
        </w:tc>
        <w:tc>
          <w:tcPr>
            <w:tcW w:type="dxa" w:w="850"/>
          </w:tcPr>
          <w:p>
            <w:pPr>
              <w:bidi/>
              <w:spacing w:after="20" w:line="252" w:lineRule="auto"/>
            </w:pPr>
            <w:r/>
            <w:r>
              <w:rPr>
                <w:rFonts w:ascii="Arial" w:hAnsi="Arial" w:cs="Arial" w:eastAsia="Arial"/>
                <w:b w:val="0"/>
                <w:bCs w:val="0"/>
                <w:sz w:val="19"/>
                <w:szCs w:val="19"/>
              </w:rPr>
              <w:t>25</w:t>
            </w:r>
          </w:p>
        </w:tc>
        <w:tc>
          <w:tcPr>
            <w:tcW w:type="dxa" w:w="6236"/>
          </w:tcPr>
          <w:p>
            <w:pPr>
              <w:bidi/>
              <w:spacing w:after="20" w:line="252" w:lineRule="auto"/>
            </w:pPr>
            <w:r/>
            <w:r>
              <w:rPr>
                <w:rFonts w:ascii="Arial" w:hAnsi="Arial" w:cs="Arial" w:eastAsia="Arial"/>
                <w:b w:val="0"/>
                <w:bCs w:val="0"/>
                <w:sz w:val="19"/>
                <w:szCs w:val="19"/>
              </w:rPr>
              <w:t>كل ملاحظة جوهرية موصوفة بدليلها (الورقة/الصف/التاريخ) تأخذ درجتها في الجدول التالي. الملاحظة الصحيحة الإضافية المبررة تعوض ملاحظة فائتة ضمن سقف 25.</w:t>
            </w:r>
          </w:p>
        </w:tc>
      </w:tr>
      <w:tr>
        <w:trPr>
          <w:cantSplit/>
        </w:trPr>
        <w:tc>
          <w:tcPr>
            <w:tcW w:type="dxa" w:w="454"/>
          </w:tcPr>
          <w:p>
            <w:pPr>
              <w:bidi/>
              <w:spacing w:after="20" w:line="252" w:lineRule="auto"/>
            </w:pPr>
            <w:r/>
            <w:r>
              <w:rPr>
                <w:rFonts w:ascii="Arial" w:hAnsi="Arial" w:cs="Arial" w:eastAsia="Arial"/>
                <w:b w:val="0"/>
                <w:bCs w:val="0"/>
                <w:sz w:val="19"/>
                <w:szCs w:val="19"/>
              </w:rPr>
              <w:t>2</w:t>
            </w:r>
          </w:p>
        </w:tc>
        <w:tc>
          <w:tcPr>
            <w:tcW w:type="dxa" w:w="2098"/>
          </w:tcPr>
          <w:p>
            <w:pPr>
              <w:bidi/>
              <w:spacing w:after="20" w:line="252" w:lineRule="auto"/>
            </w:pPr>
            <w:r/>
            <w:r>
              <w:rPr>
                <w:rFonts w:ascii="Arial" w:hAnsi="Arial" w:cs="Arial" w:eastAsia="Arial"/>
                <w:b w:val="0"/>
                <w:bCs w:val="0"/>
                <w:sz w:val="19"/>
                <w:szCs w:val="19"/>
              </w:rPr>
              <w:t>الربط بالضابط الصحيح</w:t>
            </w:r>
          </w:p>
        </w:tc>
        <w:tc>
          <w:tcPr>
            <w:tcW w:type="dxa" w:w="850"/>
          </w:tcPr>
          <w:p>
            <w:pPr>
              <w:bidi/>
              <w:spacing w:after="20" w:line="252" w:lineRule="auto"/>
            </w:pPr>
            <w:r/>
            <w:r>
              <w:rPr>
                <w:rFonts w:ascii="Arial" w:hAnsi="Arial" w:cs="Arial" w:eastAsia="Arial"/>
                <w:b w:val="0"/>
                <w:bCs w:val="0"/>
                <w:sz w:val="19"/>
                <w:szCs w:val="19"/>
              </w:rPr>
              <w:t>10</w:t>
            </w:r>
          </w:p>
        </w:tc>
        <w:tc>
          <w:tcPr>
            <w:tcW w:type="dxa" w:w="6236"/>
          </w:tcPr>
          <w:p>
            <w:pPr>
              <w:bidi/>
              <w:spacing w:after="20" w:line="252" w:lineRule="auto"/>
            </w:pPr>
            <w:r/>
            <w:r>
              <w:rPr>
                <w:rFonts w:ascii="Arial" w:hAnsi="Arial" w:cs="Arial" w:eastAsia="Arial"/>
                <w:b w:val="0"/>
                <w:bCs w:val="0"/>
                <w:sz w:val="19"/>
                <w:szCs w:val="19"/>
              </w:rPr>
              <w:t>كامل الدرجة للرمز الرئيسي أو أحد البدائل المقبولة. نصف الدرجة لرمز المستوى الأعلى (مثل ‎2-2-3‎ بدل ‎2-2-3-2‎) أو لضابط مجاور مبرر. لا تُمنح درجة لرمز صحيح دون وصف للفجوة.</w:t>
            </w:r>
          </w:p>
        </w:tc>
      </w:tr>
      <w:tr>
        <w:trPr>
          <w:cantSplit/>
        </w:trPr>
        <w:tc>
          <w:tcPr>
            <w:tcW w:type="dxa" w:w="454"/>
          </w:tcPr>
          <w:p>
            <w:pPr>
              <w:bidi/>
              <w:spacing w:after="20" w:line="252" w:lineRule="auto"/>
            </w:pPr>
            <w:r/>
            <w:r>
              <w:rPr>
                <w:rFonts w:ascii="Arial" w:hAnsi="Arial" w:cs="Arial" w:eastAsia="Arial"/>
                <w:b w:val="0"/>
                <w:bCs w:val="0"/>
                <w:sz w:val="19"/>
                <w:szCs w:val="19"/>
              </w:rPr>
              <w:t>3</w:t>
            </w:r>
          </w:p>
        </w:tc>
        <w:tc>
          <w:tcPr>
            <w:tcW w:type="dxa" w:w="2098"/>
          </w:tcPr>
          <w:p>
            <w:pPr>
              <w:bidi/>
              <w:spacing w:after="20" w:line="252" w:lineRule="auto"/>
            </w:pPr>
            <w:r/>
            <w:r>
              <w:rPr>
                <w:rFonts w:ascii="Arial" w:hAnsi="Arial" w:cs="Arial" w:eastAsia="Arial"/>
                <w:b w:val="0"/>
                <w:bCs w:val="0"/>
                <w:sz w:val="19"/>
                <w:szCs w:val="19"/>
              </w:rPr>
              <w:t>التمييز بين الدليل والادعاء</w:t>
            </w:r>
          </w:p>
        </w:tc>
        <w:tc>
          <w:tcPr>
            <w:tcW w:type="dxa" w:w="850"/>
          </w:tcPr>
          <w:p>
            <w:pPr>
              <w:bidi/>
              <w:spacing w:after="20" w:line="252" w:lineRule="auto"/>
            </w:pPr>
            <w:r/>
            <w:r>
              <w:rPr>
                <w:rFonts w:ascii="Arial" w:hAnsi="Arial" w:cs="Arial" w:eastAsia="Arial"/>
                <w:b w:val="0"/>
                <w:bCs w:val="0"/>
                <w:sz w:val="19"/>
                <w:szCs w:val="19"/>
              </w:rPr>
              <w:t>20</w:t>
            </w:r>
          </w:p>
        </w:tc>
        <w:tc>
          <w:tcPr>
            <w:tcW w:type="dxa" w:w="6236"/>
          </w:tcPr>
          <w:p>
            <w:pPr>
              <w:bidi/>
              <w:spacing w:after="20" w:line="252" w:lineRule="auto"/>
            </w:pPr>
            <w:r/>
            <w:r>
              <w:rPr>
                <w:rFonts w:ascii="Arial" w:hAnsi="Arial" w:cs="Arial" w:eastAsia="Arial"/>
                <w:b w:val="0"/>
                <w:bCs w:val="0"/>
                <w:sz w:val="19"/>
                <w:szCs w:val="19"/>
              </w:rPr>
              <w:t>يفرّق بين ما تقوله السياسة أو المورد أو الرسالة، وما تظهره الإعدادات، وما حدث فعلاً في السجلات؛ ويذكر حدود الدليل (عينة، تاريخ قديم، نطاق جزئي).</w:t>
            </w:r>
          </w:p>
        </w:tc>
      </w:tr>
      <w:tr>
        <w:trPr>
          <w:cantSplit/>
        </w:trPr>
        <w:tc>
          <w:tcPr>
            <w:tcW w:type="dxa" w:w="454"/>
          </w:tcPr>
          <w:p>
            <w:pPr>
              <w:bidi/>
              <w:spacing w:after="20" w:line="252" w:lineRule="auto"/>
            </w:pPr>
            <w:r/>
            <w:r>
              <w:rPr>
                <w:rFonts w:ascii="Arial" w:hAnsi="Arial" w:cs="Arial" w:eastAsia="Arial"/>
                <w:b w:val="0"/>
                <w:bCs w:val="0"/>
                <w:sz w:val="19"/>
                <w:szCs w:val="19"/>
              </w:rPr>
              <w:t>4</w:t>
            </w:r>
          </w:p>
        </w:tc>
        <w:tc>
          <w:tcPr>
            <w:tcW w:type="dxa" w:w="2098"/>
          </w:tcPr>
          <w:p>
            <w:pPr>
              <w:bidi/>
              <w:spacing w:after="20" w:line="252" w:lineRule="auto"/>
            </w:pPr>
            <w:r/>
            <w:r>
              <w:rPr>
                <w:rFonts w:ascii="Arial" w:hAnsi="Arial" w:cs="Arial" w:eastAsia="Arial"/>
                <w:b w:val="0"/>
                <w:bCs w:val="0"/>
                <w:sz w:val="19"/>
                <w:szCs w:val="19"/>
              </w:rPr>
              <w:t>طلب المعلومات الناقصة الصحيحة</w:t>
            </w:r>
          </w:p>
        </w:tc>
        <w:tc>
          <w:tcPr>
            <w:tcW w:type="dxa" w:w="850"/>
          </w:tcPr>
          <w:p>
            <w:pPr>
              <w:bidi/>
              <w:spacing w:after="20" w:line="252" w:lineRule="auto"/>
            </w:pPr>
            <w:r/>
            <w:r>
              <w:rPr>
                <w:rFonts w:ascii="Arial" w:hAnsi="Arial" w:cs="Arial" w:eastAsia="Arial"/>
                <w:b w:val="0"/>
                <w:bCs w:val="0"/>
                <w:sz w:val="19"/>
                <w:szCs w:val="19"/>
              </w:rPr>
              <w:t>15</w:t>
            </w:r>
          </w:p>
        </w:tc>
        <w:tc>
          <w:tcPr>
            <w:tcW w:type="dxa" w:w="6236"/>
          </w:tcPr>
          <w:p>
            <w:pPr>
              <w:bidi/>
              <w:spacing w:after="20" w:line="252" w:lineRule="auto"/>
            </w:pPr>
            <w:r/>
            <w:r>
              <w:rPr>
                <w:rFonts w:ascii="Arial" w:hAnsi="Arial" w:cs="Arial" w:eastAsia="Arial"/>
                <w:b w:val="0"/>
                <w:bCs w:val="0"/>
                <w:sz w:val="19"/>
                <w:szCs w:val="19"/>
              </w:rPr>
              <w:t>يطلب أدلة محددة تغلق الشك (اسم الوثيقة أو السجل والفترة)، لا طلبات عامة مثل «أدلة إضافية».</w:t>
            </w:r>
          </w:p>
        </w:tc>
      </w:tr>
      <w:tr>
        <w:trPr>
          <w:cantSplit/>
        </w:trPr>
        <w:tc>
          <w:tcPr>
            <w:tcW w:type="dxa" w:w="454"/>
          </w:tcPr>
          <w:p>
            <w:pPr>
              <w:bidi/>
              <w:spacing w:after="20" w:line="252" w:lineRule="auto"/>
            </w:pPr>
            <w:r/>
            <w:r>
              <w:rPr>
                <w:rFonts w:ascii="Arial" w:hAnsi="Arial" w:cs="Arial" w:eastAsia="Arial"/>
                <w:b w:val="0"/>
                <w:bCs w:val="0"/>
                <w:sz w:val="19"/>
                <w:szCs w:val="19"/>
              </w:rPr>
              <w:t>5</w:t>
            </w:r>
          </w:p>
        </w:tc>
        <w:tc>
          <w:tcPr>
            <w:tcW w:type="dxa" w:w="2098"/>
          </w:tcPr>
          <w:p>
            <w:pPr>
              <w:bidi/>
              <w:spacing w:after="20" w:line="252" w:lineRule="auto"/>
            </w:pPr>
            <w:r/>
            <w:r>
              <w:rPr>
                <w:rFonts w:ascii="Arial" w:hAnsi="Arial" w:cs="Arial" w:eastAsia="Arial"/>
                <w:b w:val="0"/>
                <w:bCs w:val="0"/>
                <w:sz w:val="19"/>
                <w:szCs w:val="19"/>
              </w:rPr>
              <w:t>حكم مبرر</w:t>
            </w:r>
          </w:p>
        </w:tc>
        <w:tc>
          <w:tcPr>
            <w:tcW w:type="dxa" w:w="850"/>
          </w:tcPr>
          <w:p>
            <w:pPr>
              <w:bidi/>
              <w:spacing w:after="20" w:line="252" w:lineRule="auto"/>
            </w:pPr>
            <w:r/>
            <w:r>
              <w:rPr>
                <w:rFonts w:ascii="Arial" w:hAnsi="Arial" w:cs="Arial" w:eastAsia="Arial"/>
                <w:b w:val="0"/>
                <w:bCs w:val="0"/>
                <w:sz w:val="19"/>
                <w:szCs w:val="19"/>
              </w:rPr>
              <w:t>15</w:t>
            </w:r>
          </w:p>
        </w:tc>
        <w:tc>
          <w:tcPr>
            <w:tcW w:type="dxa" w:w="6236"/>
          </w:tcPr>
          <w:p>
            <w:pPr>
              <w:bidi/>
              <w:spacing w:after="20" w:line="252" w:lineRule="auto"/>
            </w:pPr>
            <w:r/>
            <w:r>
              <w:rPr>
                <w:rFonts w:ascii="Arial" w:hAnsi="Arial" w:cs="Arial" w:eastAsia="Arial"/>
                <w:b w:val="0"/>
                <w:bCs w:val="0"/>
                <w:sz w:val="19"/>
                <w:szCs w:val="19"/>
              </w:rPr>
              <w:t>الحكم متسق مع ما يثبته الدليل وما لا يثبته. يقبل حكم مختلف عن الحل إذا كان مبرره صحيحاً، ويقبل «لا يمكن الحكم» عندما يحدد المتدرب ما ينقص.</w:t>
            </w:r>
          </w:p>
        </w:tc>
      </w:tr>
      <w:tr>
        <w:trPr>
          <w:cantSplit/>
        </w:trPr>
        <w:tc>
          <w:tcPr>
            <w:tcW w:type="dxa" w:w="454"/>
          </w:tcPr>
          <w:p>
            <w:pPr>
              <w:bidi/>
              <w:spacing w:after="20" w:line="252" w:lineRule="auto"/>
            </w:pPr>
            <w:r/>
            <w:r>
              <w:rPr>
                <w:rFonts w:ascii="Arial" w:hAnsi="Arial" w:cs="Arial" w:eastAsia="Arial"/>
                <w:b w:val="0"/>
                <w:bCs w:val="0"/>
                <w:sz w:val="19"/>
                <w:szCs w:val="19"/>
              </w:rPr>
              <w:t>6</w:t>
            </w:r>
          </w:p>
        </w:tc>
        <w:tc>
          <w:tcPr>
            <w:tcW w:type="dxa" w:w="2098"/>
          </w:tcPr>
          <w:p>
            <w:pPr>
              <w:bidi/>
              <w:spacing w:after="20" w:line="252" w:lineRule="auto"/>
            </w:pPr>
            <w:r/>
            <w:r>
              <w:rPr>
                <w:rFonts w:ascii="Arial" w:hAnsi="Arial" w:cs="Arial" w:eastAsia="Arial"/>
                <w:b w:val="0"/>
                <w:bCs w:val="0"/>
                <w:sz w:val="19"/>
                <w:szCs w:val="19"/>
              </w:rPr>
              <w:t>خطة معالجة واقعية</w:t>
            </w:r>
          </w:p>
        </w:tc>
        <w:tc>
          <w:tcPr>
            <w:tcW w:type="dxa" w:w="850"/>
          </w:tcPr>
          <w:p>
            <w:pPr>
              <w:bidi/>
              <w:spacing w:after="20" w:line="252" w:lineRule="auto"/>
            </w:pPr>
            <w:r/>
            <w:r>
              <w:rPr>
                <w:rFonts w:ascii="Arial" w:hAnsi="Arial" w:cs="Arial" w:eastAsia="Arial"/>
                <w:b w:val="0"/>
                <w:bCs w:val="0"/>
                <w:sz w:val="19"/>
                <w:szCs w:val="19"/>
              </w:rPr>
              <w:t>15</w:t>
            </w:r>
          </w:p>
        </w:tc>
        <w:tc>
          <w:tcPr>
            <w:tcW w:type="dxa" w:w="6236"/>
          </w:tcPr>
          <w:p>
            <w:pPr>
              <w:bidi/>
              <w:spacing w:after="20" w:line="252" w:lineRule="auto"/>
            </w:pPr>
            <w:r/>
            <w:r>
              <w:rPr>
                <w:rFonts w:ascii="Arial" w:hAnsi="Arial" w:cs="Arial" w:eastAsia="Arial"/>
                <w:b w:val="0"/>
                <w:bCs w:val="0"/>
                <w:sz w:val="19"/>
                <w:szCs w:val="19"/>
              </w:rPr>
              <w:t>إجراء محدد قابل للتحقق، ومالك مناسب من أصحاب الأدوار، وموعد معقول حسب الخطورة، مع إجراء مؤقت للمخاطر العالية.</w:t>
            </w:r>
          </w:p>
        </w:tc>
      </w:tr>
    </w:tbl>
    <w:p>
      <w:pPr>
        <w:spacing w:after="40"/>
      </w:pPr>
    </w:p>
    <w:p>
      <w:pPr>
        <w:pStyle w:val="Heading2"/>
        <w:bidi/>
      </w:pPr>
      <w:r>
        <w:rPr>
          <w:rFonts w:ascii="Arial" w:hAnsi="Arial" w:cs="Arial" w:eastAsia="Arial"/>
          <w:b w:val="0"/>
          <w:bCs w:val="0"/>
        </w:rPr>
        <w:t>توزيع درجات المعيار 1 على الملاحظات الجوهرية</w:t>
      </w:r>
    </w:p>
    <w:tbl>
      <w:tblPr>
        <w:tblStyle w:val="TableGrid"/>
        <w:bidiVisual/>
        <w:tblW w:type="dxa" w:w="9637"/>
        <w:jc w:val="center"/>
        <w:tblLayout w:type="fixed"/>
        <w:tblLook w:firstColumn="1" w:firstRow="1" w:lastColumn="0" w:lastRow="0" w:noHBand="0" w:noVBand="1" w:val="04A0"/>
      </w:tblPr>
      <w:tblGrid>
        <w:gridCol w:w="7937"/>
        <w:gridCol w:w="1700"/>
      </w:tblGrid>
      <w:tr>
        <w:trPr>
          <w:cantSplit/>
          <w:tblHeader/>
        </w:trPr>
        <w:tc>
          <w:tcPr>
            <w:tcW w:type="dxa" w:w="7937"/>
            <w:shd w:val="clear" w:color="auto" w:fill="D9E2F3"/>
          </w:tcPr>
          <w:p>
            <w:pPr>
              <w:bidi/>
              <w:spacing w:after="20" w:line="252" w:lineRule="auto"/>
            </w:pPr>
            <w:r/>
            <w:r>
              <w:rPr>
                <w:rFonts w:ascii="Arial" w:hAnsi="Arial" w:cs="Arial" w:eastAsia="Arial"/>
                <w:b w:val="1"/>
                <w:bCs w:val="1"/>
                <w:sz w:val="19"/>
                <w:szCs w:val="19"/>
              </w:rPr>
              <w:t>الملاحظة</w:t>
            </w:r>
          </w:p>
        </w:tc>
        <w:tc>
          <w:tcPr>
            <w:tcW w:type="dxa" w:w="1701"/>
            <w:shd w:val="clear" w:color="auto" w:fill="D9E2F3"/>
          </w:tcPr>
          <w:p>
            <w:pPr>
              <w:bidi/>
              <w:spacing w:after="20" w:line="252" w:lineRule="auto"/>
            </w:pPr>
            <w:r/>
            <w:r>
              <w:rPr>
                <w:rFonts w:ascii="Arial" w:hAnsi="Arial" w:cs="Arial" w:eastAsia="Arial"/>
                <w:b w:val="1"/>
                <w:bCs w:val="1"/>
                <w:sz w:val="19"/>
                <w:szCs w:val="19"/>
              </w:rPr>
              <w:t>الدرجة</w:t>
            </w:r>
          </w:p>
        </w:tc>
      </w:tr>
      <w:tr>
        <w:trPr>
          <w:cantSplit/>
        </w:trPr>
        <w:tc>
          <w:tcPr>
            <w:tcW w:type="dxa" w:w="7937"/>
          </w:tcPr>
          <w:p>
            <w:pPr>
              <w:bidi/>
              <w:spacing w:after="20" w:line="252" w:lineRule="auto"/>
            </w:pPr>
            <w:r/>
            <w:r>
              <w:rPr>
                <w:rFonts w:ascii="Arial" w:hAnsi="Arial" w:cs="Arial" w:eastAsia="Arial"/>
                <w:b w:val="0"/>
                <w:bCs w:val="0"/>
                <w:sz w:val="19"/>
                <w:szCs w:val="19"/>
              </w:rPr>
              <w:t>1. السرية دون ما بعد الانتهاء ودون حذف آمن</w:t>
            </w:r>
          </w:p>
        </w:tc>
        <w:tc>
          <w:tcPr>
            <w:tcW w:type="dxa" w:w="1701"/>
          </w:tcPr>
          <w:p>
            <w:pPr>
              <w:bidi/>
              <w:spacing w:after="20" w:line="252" w:lineRule="auto"/>
            </w:pPr>
            <w:r/>
            <w:r>
              <w:rPr>
                <w:rFonts w:ascii="Arial" w:hAnsi="Arial" w:cs="Arial" w:eastAsia="Arial"/>
                <w:b w:val="0"/>
                <w:bCs w:val="0"/>
                <w:sz w:val="19"/>
                <w:szCs w:val="19"/>
              </w:rPr>
              <w:t>4</w:t>
            </w:r>
          </w:p>
        </w:tc>
      </w:tr>
      <w:tr>
        <w:trPr>
          <w:cantSplit/>
        </w:trPr>
        <w:tc>
          <w:tcPr>
            <w:tcW w:type="dxa" w:w="7937"/>
          </w:tcPr>
          <w:p>
            <w:pPr>
              <w:bidi/>
              <w:spacing w:after="20" w:line="252" w:lineRule="auto"/>
            </w:pPr>
            <w:r/>
            <w:r>
              <w:rPr>
                <w:rFonts w:ascii="Arial" w:hAnsi="Arial" w:cs="Arial" w:eastAsia="Arial"/>
                <w:b w:val="0"/>
                <w:bCs w:val="0"/>
                <w:sz w:val="19"/>
                <w:szCs w:val="19"/>
              </w:rPr>
              <w:t>2. الإبلاغ الشهري فقط مع إثبات التأخر من سجل الحوادث</w:t>
            </w:r>
          </w:p>
        </w:tc>
        <w:tc>
          <w:tcPr>
            <w:tcW w:type="dxa" w:w="1701"/>
          </w:tcPr>
          <w:p>
            <w:pPr>
              <w:bidi/>
              <w:spacing w:after="20" w:line="252" w:lineRule="auto"/>
            </w:pPr>
            <w:r/>
            <w:r>
              <w:rPr>
                <w:rFonts w:ascii="Arial" w:hAnsi="Arial" w:cs="Arial" w:eastAsia="Arial"/>
                <w:b w:val="0"/>
                <w:bCs w:val="0"/>
                <w:sz w:val="19"/>
                <w:szCs w:val="19"/>
              </w:rPr>
              <w:t>4</w:t>
            </w:r>
          </w:p>
        </w:tc>
      </w:tr>
      <w:tr>
        <w:trPr>
          <w:cantSplit/>
        </w:trPr>
        <w:tc>
          <w:tcPr>
            <w:tcW w:type="dxa" w:w="7937"/>
          </w:tcPr>
          <w:p>
            <w:pPr>
              <w:bidi/>
              <w:spacing w:after="20" w:line="252" w:lineRule="auto"/>
            </w:pPr>
            <w:r/>
            <w:r>
              <w:rPr>
                <w:rFonts w:ascii="Arial" w:hAnsi="Arial" w:cs="Arial" w:eastAsia="Arial"/>
                <w:b w:val="0"/>
                <w:bCs w:val="0"/>
                <w:sz w:val="19"/>
                <w:szCs w:val="19"/>
              </w:rPr>
              <w:t>3. سياسات المورد بدل سياسات الجهة</w:t>
            </w:r>
          </w:p>
        </w:tc>
        <w:tc>
          <w:tcPr>
            <w:tcW w:type="dxa" w:w="1701"/>
          </w:tcPr>
          <w:p>
            <w:pPr>
              <w:bidi/>
              <w:spacing w:after="20" w:line="252" w:lineRule="auto"/>
            </w:pPr>
            <w:r/>
            <w:r>
              <w:rPr>
                <w:rFonts w:ascii="Arial" w:hAnsi="Arial" w:cs="Arial" w:eastAsia="Arial"/>
                <w:b w:val="0"/>
                <w:bCs w:val="0"/>
                <w:sz w:val="19"/>
                <w:szCs w:val="19"/>
              </w:rPr>
              <w:t>3</w:t>
            </w:r>
          </w:p>
        </w:tc>
      </w:tr>
      <w:tr>
        <w:trPr>
          <w:cantSplit/>
        </w:trPr>
        <w:tc>
          <w:tcPr>
            <w:tcW w:type="dxa" w:w="7937"/>
          </w:tcPr>
          <w:p>
            <w:pPr>
              <w:bidi/>
              <w:spacing w:after="20" w:line="252" w:lineRule="auto"/>
            </w:pPr>
            <w:r/>
            <w:r>
              <w:rPr>
                <w:rFonts w:ascii="Arial" w:hAnsi="Arial" w:cs="Arial" w:eastAsia="Arial"/>
                <w:b w:val="0"/>
                <w:bCs w:val="0"/>
                <w:sz w:val="19"/>
                <w:szCs w:val="19"/>
              </w:rPr>
              <w:t>4. المراقبة عن بعد من خارج المملكة مع تطبيق دقيق لنص ‎4-1-3-2‎</w:t>
            </w:r>
          </w:p>
        </w:tc>
        <w:tc>
          <w:tcPr>
            <w:tcW w:type="dxa" w:w="1701"/>
          </w:tcPr>
          <w:p>
            <w:pPr>
              <w:bidi/>
              <w:spacing w:after="20" w:line="252" w:lineRule="auto"/>
            </w:pPr>
            <w:r/>
            <w:r>
              <w:rPr>
                <w:rFonts w:ascii="Arial" w:hAnsi="Arial" w:cs="Arial" w:eastAsia="Arial"/>
                <w:b w:val="0"/>
                <w:bCs w:val="0"/>
                <w:sz w:val="19"/>
                <w:szCs w:val="19"/>
              </w:rPr>
              <w:t>5</w:t>
            </w:r>
          </w:p>
        </w:tc>
      </w:tr>
      <w:tr>
        <w:trPr>
          <w:cantSplit/>
        </w:trPr>
        <w:tc>
          <w:tcPr>
            <w:tcW w:type="dxa" w:w="7937"/>
          </w:tcPr>
          <w:p>
            <w:pPr>
              <w:bidi/>
              <w:spacing w:after="20" w:line="252" w:lineRule="auto"/>
            </w:pPr>
            <w:r/>
            <w:r>
              <w:rPr>
                <w:rFonts w:ascii="Arial" w:hAnsi="Arial" w:cs="Arial" w:eastAsia="Arial"/>
                <w:b w:val="0"/>
                <w:bCs w:val="0"/>
                <w:sz w:val="19"/>
                <w:szCs w:val="19"/>
              </w:rPr>
              <w:t>5. تقييم المخاطر بعد التوقيع</w:t>
            </w:r>
          </w:p>
        </w:tc>
        <w:tc>
          <w:tcPr>
            <w:tcW w:type="dxa" w:w="1701"/>
          </w:tcPr>
          <w:p>
            <w:pPr>
              <w:bidi/>
              <w:spacing w:after="20" w:line="252" w:lineRule="auto"/>
            </w:pPr>
            <w:r/>
            <w:r>
              <w:rPr>
                <w:rFonts w:ascii="Arial" w:hAnsi="Arial" w:cs="Arial" w:eastAsia="Arial"/>
                <w:b w:val="0"/>
                <w:bCs w:val="0"/>
                <w:sz w:val="19"/>
                <w:szCs w:val="19"/>
              </w:rPr>
              <w:t>4</w:t>
            </w:r>
          </w:p>
        </w:tc>
      </w:tr>
      <w:tr>
        <w:trPr>
          <w:cantSplit/>
        </w:trPr>
        <w:tc>
          <w:tcPr>
            <w:tcW w:type="dxa" w:w="7937"/>
          </w:tcPr>
          <w:p>
            <w:pPr>
              <w:bidi/>
              <w:spacing w:after="20" w:line="252" w:lineRule="auto"/>
            </w:pPr>
            <w:r/>
            <w:r>
              <w:rPr>
                <w:rFonts w:ascii="Arial" w:hAnsi="Arial" w:cs="Arial" w:eastAsia="Arial"/>
                <w:b w:val="0"/>
                <w:bCs w:val="0"/>
                <w:sz w:val="19"/>
                <w:szCs w:val="19"/>
              </w:rPr>
              <w:t>6. غياب حق التدقيق (مع تمييزه كتطبيق مقترح)</w:t>
            </w:r>
          </w:p>
        </w:tc>
        <w:tc>
          <w:tcPr>
            <w:tcW w:type="dxa" w:w="1701"/>
          </w:tcPr>
          <w:p>
            <w:pPr>
              <w:bidi/>
              <w:spacing w:after="20" w:line="252" w:lineRule="auto"/>
            </w:pPr>
            <w:r/>
            <w:r>
              <w:rPr>
                <w:rFonts w:ascii="Arial" w:hAnsi="Arial" w:cs="Arial" w:eastAsia="Arial"/>
                <w:b w:val="0"/>
                <w:bCs w:val="0"/>
                <w:sz w:val="19"/>
                <w:szCs w:val="19"/>
              </w:rPr>
              <w:t>2</w:t>
            </w:r>
          </w:p>
        </w:tc>
      </w:tr>
      <w:tr>
        <w:trPr>
          <w:cantSplit/>
        </w:trPr>
        <w:tc>
          <w:tcPr>
            <w:tcW w:type="dxa" w:w="7937"/>
          </w:tcPr>
          <w:p>
            <w:pPr>
              <w:bidi/>
              <w:spacing w:after="20" w:line="252" w:lineRule="auto"/>
            </w:pPr>
            <w:r/>
            <w:r>
              <w:rPr>
                <w:rFonts w:ascii="Arial" w:hAnsi="Arial" w:cs="Arial" w:eastAsia="Arial"/>
                <w:b w:val="0"/>
                <w:bCs w:val="0"/>
                <w:sz w:val="19"/>
                <w:szCs w:val="19"/>
              </w:rPr>
              <w:t>7. المقاول من الباطن غير المفصح عنه</w:t>
            </w:r>
          </w:p>
        </w:tc>
        <w:tc>
          <w:tcPr>
            <w:tcW w:type="dxa" w:w="1701"/>
          </w:tcPr>
          <w:p>
            <w:pPr>
              <w:bidi/>
              <w:spacing w:after="20" w:line="252" w:lineRule="auto"/>
            </w:pPr>
            <w:r/>
            <w:r>
              <w:rPr>
                <w:rFonts w:ascii="Arial" w:hAnsi="Arial" w:cs="Arial" w:eastAsia="Arial"/>
                <w:b w:val="0"/>
                <w:bCs w:val="0"/>
                <w:sz w:val="19"/>
                <w:szCs w:val="19"/>
              </w:rPr>
              <w:t>3</w:t>
            </w:r>
          </w:p>
        </w:tc>
      </w:tr>
      <w:tr>
        <w:trPr>
          <w:cantSplit/>
        </w:trPr>
        <w:tc>
          <w:tcPr>
            <w:tcW w:type="dxa" w:w="7937"/>
          </w:tcPr>
          <w:p>
            <w:pPr>
              <w:bidi/>
              <w:spacing w:after="20" w:line="252" w:lineRule="auto"/>
            </w:pPr>
            <w:r/>
            <w:r>
              <w:rPr>
                <w:rFonts w:ascii="Arial" w:hAnsi="Arial" w:cs="Arial" w:eastAsia="Arial"/>
                <w:b w:val="0"/>
                <w:bCs w:val="0"/>
                <w:sz w:val="19"/>
                <w:szCs w:val="19"/>
              </w:rPr>
              <w:t>المجموع</w:t>
            </w:r>
          </w:p>
        </w:tc>
        <w:tc>
          <w:tcPr>
            <w:tcW w:type="dxa" w:w="1701"/>
          </w:tcPr>
          <w:p>
            <w:pPr>
              <w:bidi/>
              <w:spacing w:after="20" w:line="252" w:lineRule="auto"/>
            </w:pPr>
            <w:r/>
            <w:r>
              <w:rPr>
                <w:rFonts w:ascii="Arial" w:hAnsi="Arial" w:cs="Arial" w:eastAsia="Arial"/>
                <w:b w:val="0"/>
                <w:bCs w:val="0"/>
                <w:sz w:val="19"/>
                <w:szCs w:val="19"/>
              </w:rPr>
              <w:t>25</w:t>
            </w:r>
          </w:p>
        </w:tc>
      </w:tr>
    </w:tbl>
    <w:p>
      <w:pPr>
        <w:spacing w:after="40"/>
      </w:pPr>
    </w:p>
    <w:p>
      <w:pPr>
        <w:pStyle w:val="Heading2"/>
        <w:bidi/>
      </w:pPr>
      <w:r>
        <w:rPr>
          <w:rFonts w:ascii="Arial" w:hAnsi="Arial" w:cs="Arial" w:eastAsia="Arial"/>
          <w:b w:val="0"/>
          <w:bCs w:val="0"/>
        </w:rPr>
        <w:t>مستويات الأداء لكل معيار</w:t>
      </w:r>
    </w:p>
    <w:tbl>
      <w:tblPr>
        <w:tblStyle w:val="TableGrid"/>
        <w:bidiVisual/>
        <w:tblW w:type="dxa" w:w="9637"/>
        <w:jc w:val="center"/>
        <w:tblLayout w:type="fixed"/>
        <w:tblLook w:firstColumn="1" w:firstRow="1" w:lastColumn="0" w:lastRow="0" w:noHBand="0" w:noVBand="1" w:val="04A0"/>
      </w:tblPr>
      <w:tblGrid>
        <w:gridCol w:w="1417"/>
        <w:gridCol w:w="6236"/>
        <w:gridCol w:w="1984"/>
      </w:tblGrid>
      <w:tr>
        <w:trPr>
          <w:cantSplit/>
          <w:tblHeader/>
        </w:trPr>
        <w:tc>
          <w:tcPr>
            <w:tcW w:type="dxa" w:w="1417"/>
            <w:shd w:val="clear" w:color="auto" w:fill="D9E2F3"/>
          </w:tcPr>
          <w:p>
            <w:pPr>
              <w:bidi/>
              <w:spacing w:after="20" w:line="252" w:lineRule="auto"/>
            </w:pPr>
            <w:r/>
            <w:r>
              <w:rPr>
                <w:rFonts w:ascii="Arial" w:hAnsi="Arial" w:cs="Arial" w:eastAsia="Arial"/>
                <w:b w:val="1"/>
                <w:bCs w:val="1"/>
                <w:sz w:val="19"/>
                <w:szCs w:val="19"/>
              </w:rPr>
              <w:t>المستوى</w:t>
            </w:r>
          </w:p>
        </w:tc>
        <w:tc>
          <w:tcPr>
            <w:tcW w:type="dxa" w:w="6236"/>
            <w:shd w:val="clear" w:color="auto" w:fill="D9E2F3"/>
          </w:tcPr>
          <w:p>
            <w:pPr>
              <w:bidi/>
              <w:spacing w:after="20" w:line="252" w:lineRule="auto"/>
            </w:pPr>
            <w:r/>
            <w:r>
              <w:rPr>
                <w:rFonts w:ascii="Arial" w:hAnsi="Arial" w:cs="Arial" w:eastAsia="Arial"/>
                <w:b w:val="1"/>
                <w:bCs w:val="1"/>
                <w:sz w:val="19"/>
                <w:szCs w:val="19"/>
              </w:rPr>
              <w:t>الوصف</w:t>
            </w:r>
          </w:p>
        </w:tc>
        <w:tc>
          <w:tcPr>
            <w:tcW w:type="dxa" w:w="1984"/>
            <w:shd w:val="clear" w:color="auto" w:fill="D9E2F3"/>
          </w:tcPr>
          <w:p>
            <w:pPr>
              <w:bidi/>
              <w:spacing w:after="20" w:line="252" w:lineRule="auto"/>
            </w:pPr>
            <w:r/>
            <w:r>
              <w:rPr>
                <w:rFonts w:ascii="Arial" w:hAnsi="Arial" w:cs="Arial" w:eastAsia="Arial"/>
                <w:b w:val="1"/>
                <w:bCs w:val="1"/>
                <w:sz w:val="19"/>
                <w:szCs w:val="19"/>
              </w:rPr>
              <w:t>نسبة درجة المعيار</w:t>
            </w:r>
          </w:p>
        </w:tc>
      </w:tr>
      <w:tr>
        <w:trPr>
          <w:cantSplit/>
        </w:trPr>
        <w:tc>
          <w:tcPr>
            <w:tcW w:type="dxa" w:w="1417"/>
          </w:tcPr>
          <w:p>
            <w:pPr>
              <w:bidi/>
              <w:spacing w:after="20" w:line="252" w:lineRule="auto"/>
            </w:pPr>
            <w:r/>
            <w:r>
              <w:rPr>
                <w:rFonts w:ascii="Arial" w:hAnsi="Arial" w:cs="Arial" w:eastAsia="Arial"/>
                <w:b w:val="0"/>
                <w:bCs w:val="0"/>
                <w:sz w:val="19"/>
                <w:szCs w:val="19"/>
              </w:rPr>
              <w:t>متقن</w:t>
            </w:r>
          </w:p>
        </w:tc>
        <w:tc>
          <w:tcPr>
            <w:tcW w:type="dxa" w:w="6236"/>
          </w:tcPr>
          <w:p>
            <w:pPr>
              <w:bidi/>
              <w:spacing w:after="20" w:line="252" w:lineRule="auto"/>
            </w:pPr>
            <w:r/>
            <w:r>
              <w:rPr>
                <w:rFonts w:ascii="Arial" w:hAnsi="Arial" w:cs="Arial" w:eastAsia="Arial"/>
                <w:b w:val="0"/>
                <w:bCs w:val="0"/>
                <w:sz w:val="19"/>
                <w:szCs w:val="19"/>
              </w:rPr>
              <w:t>صحيح ومكتمل ومستند إلى دليل محدد</w:t>
            </w:r>
          </w:p>
        </w:tc>
        <w:tc>
          <w:tcPr>
            <w:tcW w:type="dxa" w:w="1984"/>
          </w:tcPr>
          <w:p>
            <w:pPr>
              <w:bidi/>
              <w:spacing w:after="20" w:line="252" w:lineRule="auto"/>
            </w:pPr>
            <w:r/>
            <w:r>
              <w:rPr>
                <w:rFonts w:ascii="Arial" w:hAnsi="Arial" w:cs="Arial" w:eastAsia="Arial"/>
                <w:b w:val="0"/>
                <w:bCs w:val="0"/>
                <w:sz w:val="19"/>
                <w:szCs w:val="19"/>
              </w:rPr>
              <w:t>100%</w:t>
            </w:r>
          </w:p>
        </w:tc>
      </w:tr>
      <w:tr>
        <w:trPr>
          <w:cantSplit/>
        </w:trPr>
        <w:tc>
          <w:tcPr>
            <w:tcW w:type="dxa" w:w="1417"/>
          </w:tcPr>
          <w:p>
            <w:pPr>
              <w:bidi/>
              <w:spacing w:after="20" w:line="252" w:lineRule="auto"/>
            </w:pPr>
            <w:r/>
            <w:r>
              <w:rPr>
                <w:rFonts w:ascii="Arial" w:hAnsi="Arial" w:cs="Arial" w:eastAsia="Arial"/>
                <w:b w:val="0"/>
                <w:bCs w:val="0"/>
                <w:sz w:val="19"/>
                <w:szCs w:val="19"/>
              </w:rPr>
              <w:t>جزئي</w:t>
            </w:r>
          </w:p>
        </w:tc>
        <w:tc>
          <w:tcPr>
            <w:tcW w:type="dxa" w:w="6236"/>
          </w:tcPr>
          <w:p>
            <w:pPr>
              <w:bidi/>
              <w:spacing w:after="20" w:line="252" w:lineRule="auto"/>
            </w:pPr>
            <w:r/>
            <w:r>
              <w:rPr>
                <w:rFonts w:ascii="Arial" w:hAnsi="Arial" w:cs="Arial" w:eastAsia="Arial"/>
                <w:b w:val="0"/>
                <w:bCs w:val="0"/>
                <w:sz w:val="19"/>
                <w:szCs w:val="19"/>
              </w:rPr>
              <w:t>صحيح في الاتجاه لكن ينقصه الدليل أو التحديد</w:t>
            </w:r>
          </w:p>
        </w:tc>
        <w:tc>
          <w:tcPr>
            <w:tcW w:type="dxa" w:w="1984"/>
          </w:tcPr>
          <w:p>
            <w:pPr>
              <w:bidi/>
              <w:spacing w:after="20" w:line="252" w:lineRule="auto"/>
            </w:pPr>
            <w:r/>
            <w:r>
              <w:rPr>
                <w:rFonts w:ascii="Arial" w:hAnsi="Arial" w:cs="Arial" w:eastAsia="Arial"/>
                <w:b w:val="0"/>
                <w:bCs w:val="0"/>
                <w:sz w:val="19"/>
                <w:szCs w:val="19"/>
              </w:rPr>
              <w:t>50%</w:t>
            </w:r>
          </w:p>
        </w:tc>
      </w:tr>
      <w:tr>
        <w:trPr>
          <w:cantSplit/>
        </w:trPr>
        <w:tc>
          <w:tcPr>
            <w:tcW w:type="dxa" w:w="1417"/>
          </w:tcPr>
          <w:p>
            <w:pPr>
              <w:bidi/>
              <w:spacing w:after="20" w:line="252" w:lineRule="auto"/>
            </w:pPr>
            <w:r/>
            <w:r>
              <w:rPr>
                <w:rFonts w:ascii="Arial" w:hAnsi="Arial" w:cs="Arial" w:eastAsia="Arial"/>
                <w:b w:val="0"/>
                <w:bCs w:val="0"/>
                <w:sz w:val="19"/>
                <w:szCs w:val="19"/>
              </w:rPr>
              <w:t>غير كافٍ</w:t>
            </w:r>
          </w:p>
        </w:tc>
        <w:tc>
          <w:tcPr>
            <w:tcW w:type="dxa" w:w="6236"/>
          </w:tcPr>
          <w:p>
            <w:pPr>
              <w:bidi/>
              <w:spacing w:after="20" w:line="252" w:lineRule="auto"/>
            </w:pPr>
            <w:r/>
            <w:r>
              <w:rPr>
                <w:rFonts w:ascii="Arial" w:hAnsi="Arial" w:cs="Arial" w:eastAsia="Arial"/>
                <w:b w:val="0"/>
                <w:bCs w:val="0"/>
                <w:sz w:val="19"/>
                <w:szCs w:val="19"/>
              </w:rPr>
              <w:t>غائب، أو مبني على افتراض دليل غير موجود، أو حفظ رمز بلا فهم</w:t>
            </w:r>
          </w:p>
        </w:tc>
        <w:tc>
          <w:tcPr>
            <w:tcW w:type="dxa" w:w="1984"/>
          </w:tcPr>
          <w:p>
            <w:pPr>
              <w:bidi/>
              <w:spacing w:after="20" w:line="252" w:lineRule="auto"/>
            </w:pPr>
            <w:r/>
            <w:r>
              <w:rPr>
                <w:rFonts w:ascii="Arial" w:hAnsi="Arial" w:cs="Arial" w:eastAsia="Arial"/>
                <w:b w:val="0"/>
                <w:bCs w:val="0"/>
                <w:sz w:val="19"/>
                <w:szCs w:val="19"/>
              </w:rPr>
              <w:t>0%</w:t>
            </w:r>
          </w:p>
        </w:tc>
      </w:tr>
    </w:tbl>
    <w:p>
      <w:pPr>
        <w:spacing w:after="40"/>
      </w:pPr>
    </w:p>
    <w:p>
      <w:pPr>
        <w:pStyle w:val="Heading2"/>
        <w:bidi/>
      </w:pPr>
      <w:r>
        <w:rPr>
          <w:rFonts w:ascii="Arial" w:hAnsi="Arial" w:cs="Arial" w:eastAsia="Arial"/>
          <w:b w:val="0"/>
          <w:bCs w:val="0"/>
        </w:rPr>
        <w:t>قواعد عامة للمصحح</w:t>
      </w:r>
    </w:p>
    <w:p>
      <w:pPr>
        <w:bidi/>
        <w:spacing w:after="60"/>
        <w:ind w:right="283" w:hanging="255"/>
      </w:pPr>
      <w:r>
        <w:rPr>
          <w:rFonts w:ascii="Arial" w:hAnsi="Arial" w:cs="Arial" w:eastAsia="Arial"/>
          <w:b w:val="0"/>
          <w:bCs w:val="0"/>
          <w:sz w:val="21"/>
          <w:szCs w:val="21"/>
        </w:rPr>
        <w:t>• اقبل أي إجابة بديلة مبررة بالدليل حتى لو اختلفت عن الحل النموذجي في الرمز أو الحكم.</w:t>
      </w:r>
    </w:p>
    <w:p>
      <w:pPr>
        <w:bidi/>
        <w:spacing w:after="60"/>
        <w:ind w:right="283" w:hanging="255"/>
      </w:pPr>
      <w:r>
        <w:rPr>
          <w:rFonts w:ascii="Arial" w:hAnsi="Arial" w:cs="Arial" w:eastAsia="Arial"/>
          <w:b w:val="0"/>
          <w:bCs w:val="0"/>
          <w:sz w:val="21"/>
          <w:szCs w:val="21"/>
        </w:rPr>
        <w:t>• لا تمنح درجات إضافية لسرد أرقام ضوابط غير مرتبطة بالدليل.</w:t>
      </w:r>
    </w:p>
    <w:p>
      <w:pPr>
        <w:bidi/>
        <w:spacing w:after="60"/>
        <w:ind w:right="283" w:hanging="255"/>
      </w:pPr>
      <w:r>
        <w:rPr>
          <w:rFonts w:ascii="Arial" w:hAnsi="Arial" w:cs="Arial" w:eastAsia="Arial"/>
          <w:b w:val="0"/>
          <w:bCs w:val="0"/>
          <w:sz w:val="21"/>
          <w:szCs w:val="21"/>
        </w:rPr>
        <w:t>• المتدرب الذي يكتب «غير مطبق» دون أن يبين ما الذي لم يثبته الدليل يأخذ في المعيار 5 مستوى «جزئي» على الأكثر.</w:t>
      </w:r>
    </w:p>
    <w:p>
      <w:pPr>
        <w:bidi/>
        <w:spacing w:after="60"/>
        <w:ind w:right="283" w:hanging="255"/>
      </w:pPr>
      <w:r>
        <w:rPr>
          <w:rFonts w:ascii="Arial" w:hAnsi="Arial" w:cs="Arial" w:eastAsia="Arial"/>
          <w:b w:val="0"/>
          <w:bCs w:val="0"/>
          <w:sz w:val="21"/>
          <w:szCs w:val="21"/>
        </w:rPr>
        <w:t>• لا تخصم على أسلوب الكتابة أو اللغة؛ المهم وضوح الفكرة.</w:t>
      </w:r>
    </w:p>
    <w:p>
      <w:pPr>
        <w:bidi/>
        <w:spacing w:after="60"/>
        <w:ind w:right="283" w:hanging="255"/>
      </w:pPr>
      <w:r>
        <w:rPr>
          <w:rFonts w:ascii="Arial" w:hAnsi="Arial" w:cs="Arial" w:eastAsia="Arial"/>
          <w:b w:val="0"/>
          <w:bCs w:val="0"/>
          <w:sz w:val="21"/>
          <w:szCs w:val="21"/>
        </w:rPr>
        <w:t>• التقدير: 85 فأعلى ممتاز، 70 إلى 84 مجتاز، 50 إلى 69 يحتاج تحسيناً وإعادة جزء من التطبيق، أقل من 50 غير مجتاز.</w:t>
      </w:r>
    </w:p>
    <w:p>
      <w:pPr>
        <w:bidi/>
        <w:spacing w:after="60"/>
        <w:ind w:right="283" w:hanging="255"/>
      </w:pPr>
      <w:r>
        <w:rPr>
          <w:rFonts w:ascii="Arial" w:hAnsi="Arial" w:cs="Arial" w:eastAsia="Arial"/>
          <w:b w:val="0"/>
          <w:bCs w:val="0"/>
          <w:sz w:val="21"/>
          <w:szCs w:val="21"/>
        </w:rPr>
        <w:t>• في هذا التطبيق يشمل المعيار 6 جودة الصياغات التعاقدية في الجزء (ج): وضوح الالتزام، وقابليته للقياس، وشموله للمقاولين من الباطن.</w:t>
      </w:r>
    </w:p>
    <w:p>
      <w:pPr>
        <w:bidi/>
        <w:spacing w:after="60"/>
        <w:ind w:right="283" w:hanging="255"/>
      </w:pPr>
      <w:r>
        <w:rPr>
          <w:rFonts w:ascii="Arial" w:hAnsi="Arial" w:cs="Arial" w:eastAsia="Arial"/>
          <w:b w:val="0"/>
          <w:bCs w:val="0"/>
          <w:sz w:val="21"/>
          <w:szCs w:val="21"/>
        </w:rPr>
        <w:t>• في المعيار 5 تُقيم التوصية في الجزء (د): يقبل (ب) أو (ج) بمبرر، ولا يقبل (أ).</w:t>
      </w:r>
    </w:p>
    <w:p>
      <w:pPr>
        <w:bidi/>
        <w:spacing w:after="60"/>
        <w:ind w:right="283" w:hanging="255"/>
      </w:pPr>
      <w:r>
        <w:rPr>
          <w:rFonts w:ascii="Arial" w:hAnsi="Arial" w:cs="Arial" w:eastAsia="Arial"/>
          <w:b w:val="0"/>
          <w:bCs w:val="0"/>
          <w:sz w:val="21"/>
          <w:szCs w:val="21"/>
        </w:rPr>
        <w:t>• تطبيق ‎4-1-3-2‎ على مزود الاستضافة أو مطور البوابة خطأ في الفهم؛ لا يأخذ درجة الربط، ويخسر درجة المعيار 3 لتلك النقطة.</w:t>
      </w:r>
    </w:p>
    <w:sectPr w:rsidR="00FC693F" w:rsidRPr="0006063C" w:rsidSect="00034616">
      <w:headerReference w:type="default" r:id="rId9"/>
      <w:footerReference w:type="default" r:id="rId10"/>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Arial" w:hAnsi="Arial" w:cs="Arial" w:eastAsia="Arial"/>
        <w:color w:val="555555"/>
        <w:sz w:val="17"/>
        <w:szCs w:val="17"/>
      </w:rPr>
      <w:t xml:space="preserve">بيانات تدريبية افتراضية — هيئة المدار للخدمات الرقمية — صفحة </w:t>
    </w:r>
    <w:r>
      <w:rPr>
        <w:rFonts w:ascii="Arial" w:hAnsi="Arial" w:cs="Arial" w:eastAsia="Arial"/>
        <w:color w:val="555555"/>
        <w:sz w:val="17"/>
        <w:szCs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rPr>
        <w:rFonts w:ascii="Arial" w:hAnsi="Arial" w:cs="Arial" w:eastAsia="Arial"/>
        <w:color w:val="555555"/>
        <w:sz w:val="17"/>
        <w:szCs w:val="17"/>
      </w:rPr>
      <w:t>التطبيق العملي 03 — الأمن السيبراني المتعلق بالأطراف الخارجية ‎4-1‎ — الحل ومعيار التصحيح</w:t>
    </w:r>
  </w:p>
  <w:p>
    <w:pPr>
      <w:bidi/>
    </w:pPr>
    <w:r>
      <w:rPr>
        <w:rFonts w:ascii="Arial" w:hAnsi="Arial" w:cs="Arial" w:eastAsia="Arial"/>
        <w:b w:val="1"/>
        <w:bCs w:val="1"/>
        <w:color w:val="A61B1B"/>
        <w:sz w:val="17"/>
        <w:szCs w:val="17"/>
      </w:rPr>
      <w:t>للمدرب فقط — لا يوزَّع على المتدربين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100" w:line="276"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00"/>
      <w:outlineLvl w:val="0"/>
    </w:pPr>
    <w:rPr>
      <w:rFonts w:ascii="Arial" w:hAnsi="Arial" w:cs="Arial" w:eastAsia="Arial"/>
      <w:b w:val="1"/>
      <w:bCs w:val="1"/>
      <w:i w:val="0"/>
      <w:iCs w:val="0"/>
      <w:color w:val="1F3A5F" w:themeColor="accent1" w:themeShade="BF"/>
      <w:sz w:val="32"/>
      <w:szCs w:val="32"/>
    </w:rPr>
  </w:style>
  <w:style w:type="paragraph" w:styleId="Heading2">
    <w:name w:val="heading 2"/>
    <w:basedOn w:val="Normal"/>
    <w:next w:val="Normal"/>
    <w:link w:val="Heading2Char"/>
    <w:uiPriority w:val="9"/>
    <w:unhideWhenUsed/>
    <w:qFormat/>
    <w:rsid w:val="00FC693F"/>
    <w:pPr>
      <w:keepNext/>
      <w:keepLines/>
      <w:bidi/>
      <w:spacing w:before="180" w:after="100"/>
      <w:outlineLvl w:val="1"/>
    </w:pPr>
    <w:rPr>
      <w:rFonts w:ascii="Arial" w:hAnsi="Arial" w:cs="Arial" w:eastAsia="Arial"/>
      <w:b w:val="1"/>
      <w:bCs w:val="1"/>
      <w:i w:val="0"/>
      <w:iCs w:val="0"/>
      <w:color w:val="1F3A5F" w:themeColor="accent1"/>
      <w:sz w:val="27"/>
      <w:szCs w:val="27"/>
    </w:rPr>
  </w:style>
  <w:style w:type="paragraph" w:styleId="Heading3">
    <w:name w:val="heading 3"/>
    <w:basedOn w:val="Normal"/>
    <w:next w:val="Normal"/>
    <w:link w:val="Heading3Char"/>
    <w:uiPriority w:val="9"/>
    <w:unhideWhenUsed/>
    <w:qFormat/>
    <w:rsid w:val="00FC693F"/>
    <w:pPr>
      <w:keepNext/>
      <w:keepLines/>
      <w:bidi/>
      <w:spacing w:before="180" w:after="100"/>
      <w:outlineLvl w:val="2"/>
    </w:pPr>
    <w:rPr>
      <w:rFonts w:ascii="Arial" w:hAnsi="Arial" w:cs="Arial" w:eastAsia="Arial"/>
      <w:b w:val="1"/>
      <w:bCs w:val="1"/>
      <w:i w:val="0"/>
      <w:iCs w:val="0"/>
      <w:color w:val="1F3A5F"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حل التطبيق 03</dc:title>
  <dc:subject/>
  <dc:creator>فريق التدريب — بيانات افتراضية</dc:creator>
  <cp:keywords>ECC-2:2024; بيانات تدريبية افتراضية</cp:keywords>
  <dc:description>بيانات تدريبية افتراضية</dc:description>
  <cp:lastModifiedBy/>
  <cp:revision>1</cp:revision>
  <dcterms:created xsi:type="dcterms:W3CDTF">2013-12-23T23:15:00Z</dcterms:created>
  <dcterms:modified xsi:type="dcterms:W3CDTF">2013-12-23T23:15:00Z</dcterms:modified>
  <cp:category/>
</cp:coreProperties>
</file>