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للمدرب فقط</w:t>
      </w:r>
    </w:p>
    <w:p>
      <w:pPr>
        <w:bidi/>
        <w:spacing w:after="80"/>
        <w:jc w:val="center"/>
      </w:pPr>
      <w:r>
        <w:rPr>
          <w:rFonts w:ascii="Arial" w:hAnsi="Arial" w:cs="Arial" w:eastAsia="Arial"/>
          <w:b w:val="1"/>
          <w:bCs w:val="1"/>
          <w:color w:val="1F3A5F"/>
          <w:sz w:val="40"/>
          <w:szCs w:val="40"/>
        </w:rPr>
        <w:t>مفتاح الحل ومعيار التصحيح — اختبار الأداء</w:t>
      </w:r>
    </w:p>
    <w:p>
      <w:pPr>
        <w:bidi/>
        <w:spacing w:after="200"/>
        <w:jc w:val="center"/>
      </w:pPr>
      <w:r>
        <w:rPr>
          <w:rFonts w:ascii="Arial" w:hAnsi="Arial" w:cs="Arial" w:eastAsia="Arial"/>
          <w:b w:val="0"/>
          <w:bCs w:val="0"/>
          <w:color w:val="333333"/>
          <w:sz w:val="24"/>
          <w:szCs w:val="24"/>
        </w:rPr>
        <w:t>الإجابات النموذجية لكل دليل، وتوزيع الدرجات</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DECEC"/>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لا يوزع هذا الملف على المتدربين. الإجابات أدناه نموذجية؛ اقبل كل إجابة بديلة مبررة بالدليل.</w:t>
            </w:r>
          </w:p>
        </w:tc>
      </w:tr>
    </w:tbl>
    <w:p>
      <w:pPr>
        <w:spacing w:after="40"/>
      </w:pPr>
    </w:p>
    <w:p>
      <w:pPr>
        <w:pStyle w:val="Heading1"/>
        <w:bidi/>
      </w:pPr>
      <w:r>
        <w:rPr>
          <w:rFonts w:ascii="Arial" w:hAnsi="Arial" w:cs="Arial" w:eastAsia="Arial"/>
          <w:b w:val="0"/>
          <w:bCs w:val="0"/>
        </w:rPr>
        <w:t>توزيع الدرجات لكل دليل (20 درجة)</w:t>
      </w:r>
    </w:p>
    <w:tbl>
      <w:tblPr>
        <w:tblStyle w:val="TableGrid"/>
        <w:bidiVisual/>
        <w:tblW w:type="dxa" w:w="9637"/>
        <w:jc w:val="center"/>
        <w:tblLayout w:type="fixed"/>
        <w:tblLook w:firstColumn="1" w:firstRow="1" w:lastColumn="0" w:lastRow="0" w:noHBand="0" w:noVBand="1" w:val="04A0"/>
      </w:tblPr>
      <w:tblGrid>
        <w:gridCol w:w="1984"/>
        <w:gridCol w:w="850"/>
        <w:gridCol w:w="6803"/>
      </w:tblGrid>
      <w:tr>
        <w:trPr>
          <w:cantSplit/>
          <w:tblHeader/>
        </w:trPr>
        <w:tc>
          <w:tcPr>
            <w:tcW w:type="dxa" w:w="1984"/>
            <w:shd w:val="clear" w:color="auto" w:fill="D9E2F3"/>
          </w:tcPr>
          <w:p>
            <w:pPr>
              <w:bidi/>
              <w:spacing w:after="20" w:line="252" w:lineRule="auto"/>
            </w:pPr>
            <w:r/>
            <w:r>
              <w:rPr>
                <w:rFonts w:ascii="Arial" w:hAnsi="Arial" w:cs="Arial" w:eastAsia="Arial"/>
                <w:b w:val="1"/>
                <w:bCs w:val="1"/>
                <w:sz w:val="19"/>
                <w:szCs w:val="19"/>
              </w:rPr>
              <w:t>الحقل</w:t>
            </w:r>
          </w:p>
        </w:tc>
        <w:tc>
          <w:tcPr>
            <w:tcW w:type="dxa" w:w="850"/>
            <w:shd w:val="clear" w:color="auto" w:fill="D9E2F3"/>
          </w:tcPr>
          <w:p>
            <w:pPr>
              <w:bidi/>
              <w:spacing w:after="20" w:line="252" w:lineRule="auto"/>
            </w:pPr>
            <w:r/>
            <w:r>
              <w:rPr>
                <w:rFonts w:ascii="Arial" w:hAnsi="Arial" w:cs="Arial" w:eastAsia="Arial"/>
                <w:b w:val="1"/>
                <w:bCs w:val="1"/>
                <w:sz w:val="19"/>
                <w:szCs w:val="19"/>
              </w:rPr>
              <w:t>الدرجة</w:t>
            </w:r>
          </w:p>
        </w:tc>
        <w:tc>
          <w:tcPr>
            <w:tcW w:type="dxa" w:w="6803"/>
            <w:shd w:val="clear" w:color="auto" w:fill="D9E2F3"/>
          </w:tcPr>
          <w:p>
            <w:pPr>
              <w:bidi/>
              <w:spacing w:after="20" w:line="252" w:lineRule="auto"/>
            </w:pPr>
            <w:r/>
            <w:r>
              <w:rPr>
                <w:rFonts w:ascii="Arial" w:hAnsi="Arial" w:cs="Arial" w:eastAsia="Arial"/>
                <w:b w:val="1"/>
                <w:bCs w:val="1"/>
                <w:sz w:val="19"/>
                <w:szCs w:val="19"/>
              </w:rPr>
              <w:t>ماذا نبحث عنه</w:t>
            </w:r>
          </w:p>
        </w:tc>
      </w:tr>
      <w:tr>
        <w:trPr>
          <w:cantSplit/>
        </w:trPr>
        <w:tc>
          <w:tcPr>
            <w:tcW w:type="dxa" w:w="1984"/>
          </w:tcPr>
          <w:p>
            <w:pPr>
              <w:bidi/>
              <w:spacing w:after="20" w:line="252" w:lineRule="auto"/>
            </w:pPr>
            <w:r/>
            <w:r>
              <w:rPr>
                <w:rFonts w:ascii="Arial" w:hAnsi="Arial" w:cs="Arial" w:eastAsia="Arial"/>
                <w:b w:val="0"/>
                <w:bCs w:val="0"/>
                <w:sz w:val="19"/>
                <w:szCs w:val="19"/>
              </w:rPr>
              <w:t>الضابط المرتبط</w:t>
            </w:r>
          </w:p>
        </w:tc>
        <w:tc>
          <w:tcPr>
            <w:tcW w:type="dxa" w:w="850"/>
          </w:tcPr>
          <w:p>
            <w:pPr>
              <w:bidi/>
              <w:spacing w:after="20" w:line="252" w:lineRule="auto"/>
            </w:pPr>
            <w:r/>
            <w:r>
              <w:rPr>
                <w:rFonts w:ascii="Arial" w:hAnsi="Arial" w:cs="Arial" w:eastAsia="Arial"/>
                <w:b w:val="0"/>
                <w:bCs w:val="0"/>
                <w:sz w:val="19"/>
                <w:szCs w:val="19"/>
              </w:rPr>
              <w:t>2</w:t>
            </w:r>
          </w:p>
        </w:tc>
        <w:tc>
          <w:tcPr>
            <w:tcW w:type="dxa" w:w="6803"/>
          </w:tcPr>
          <w:p>
            <w:pPr>
              <w:bidi/>
              <w:spacing w:after="20" w:line="252" w:lineRule="auto"/>
            </w:pPr>
            <w:r/>
            <w:r>
              <w:rPr>
                <w:rFonts w:ascii="Arial" w:hAnsi="Arial" w:cs="Arial" w:eastAsia="Arial"/>
                <w:b w:val="0"/>
                <w:bCs w:val="0"/>
                <w:sz w:val="19"/>
                <w:szCs w:val="19"/>
              </w:rPr>
              <w:t>الرمز الرئيسي أو بديل مقبول = 2؛ مستوى أعلى أو مجاور مبرر = 1. لا تُمنح وحدها دون تحليل.</w:t>
            </w:r>
          </w:p>
        </w:tc>
      </w:tr>
      <w:tr>
        <w:trPr>
          <w:cantSplit/>
        </w:trPr>
        <w:tc>
          <w:tcPr>
            <w:tcW w:type="dxa" w:w="1984"/>
          </w:tcPr>
          <w:p>
            <w:pPr>
              <w:bidi/>
              <w:spacing w:after="20" w:line="252" w:lineRule="auto"/>
            </w:pPr>
            <w:r/>
            <w:r>
              <w:rPr>
                <w:rFonts w:ascii="Arial" w:hAnsi="Arial" w:cs="Arial" w:eastAsia="Arial"/>
                <w:b w:val="0"/>
                <w:bCs w:val="0"/>
                <w:sz w:val="19"/>
                <w:szCs w:val="19"/>
              </w:rPr>
              <w:t>ما يثبته الدليل</w:t>
            </w:r>
          </w:p>
        </w:tc>
        <w:tc>
          <w:tcPr>
            <w:tcW w:type="dxa" w:w="850"/>
          </w:tcPr>
          <w:p>
            <w:pPr>
              <w:bidi/>
              <w:spacing w:after="20" w:line="252" w:lineRule="auto"/>
            </w:pPr>
            <w:r/>
            <w:r>
              <w:rPr>
                <w:rFonts w:ascii="Arial" w:hAnsi="Arial" w:cs="Arial" w:eastAsia="Arial"/>
                <w:b w:val="0"/>
                <w:bCs w:val="0"/>
                <w:sz w:val="19"/>
                <w:szCs w:val="19"/>
              </w:rPr>
              <w:t>4</w:t>
            </w:r>
          </w:p>
        </w:tc>
        <w:tc>
          <w:tcPr>
            <w:tcW w:type="dxa" w:w="6803"/>
          </w:tcPr>
          <w:p>
            <w:pPr>
              <w:bidi/>
              <w:spacing w:after="20" w:line="252" w:lineRule="auto"/>
            </w:pPr>
            <w:r/>
            <w:r>
              <w:rPr>
                <w:rFonts w:ascii="Arial" w:hAnsi="Arial" w:cs="Arial" w:eastAsia="Arial"/>
                <w:b w:val="0"/>
                <w:bCs w:val="0"/>
                <w:sz w:val="19"/>
                <w:szCs w:val="19"/>
              </w:rPr>
              <w:t>وصف دقيق لما يظهر فعلاً في الدليل، بأرقامه وتواريخه، دون مبالغة.</w:t>
            </w:r>
          </w:p>
        </w:tc>
      </w:tr>
      <w:tr>
        <w:trPr>
          <w:cantSplit/>
        </w:trPr>
        <w:tc>
          <w:tcPr>
            <w:tcW w:type="dxa" w:w="1984"/>
          </w:tcPr>
          <w:p>
            <w:pPr>
              <w:bidi/>
              <w:spacing w:after="20" w:line="252" w:lineRule="auto"/>
            </w:pPr>
            <w:r/>
            <w:r>
              <w:rPr>
                <w:rFonts w:ascii="Arial" w:hAnsi="Arial" w:cs="Arial" w:eastAsia="Arial"/>
                <w:b w:val="0"/>
                <w:bCs w:val="0"/>
                <w:sz w:val="19"/>
                <w:szCs w:val="19"/>
              </w:rPr>
              <w:t>ما لا يثبته الدليل</w:t>
            </w:r>
          </w:p>
        </w:tc>
        <w:tc>
          <w:tcPr>
            <w:tcW w:type="dxa" w:w="850"/>
          </w:tcPr>
          <w:p>
            <w:pPr>
              <w:bidi/>
              <w:spacing w:after="20" w:line="252" w:lineRule="auto"/>
            </w:pPr>
            <w:r/>
            <w:r>
              <w:rPr>
                <w:rFonts w:ascii="Arial" w:hAnsi="Arial" w:cs="Arial" w:eastAsia="Arial"/>
                <w:b w:val="0"/>
                <w:bCs w:val="0"/>
                <w:sz w:val="19"/>
                <w:szCs w:val="19"/>
              </w:rPr>
              <w:t>4</w:t>
            </w:r>
          </w:p>
        </w:tc>
        <w:tc>
          <w:tcPr>
            <w:tcW w:type="dxa" w:w="6803"/>
          </w:tcPr>
          <w:p>
            <w:pPr>
              <w:bidi/>
              <w:spacing w:after="20" w:line="252" w:lineRule="auto"/>
            </w:pPr>
            <w:r/>
            <w:r>
              <w:rPr>
                <w:rFonts w:ascii="Arial" w:hAnsi="Arial" w:cs="Arial" w:eastAsia="Arial"/>
                <w:b w:val="0"/>
                <w:bCs w:val="0"/>
                <w:sz w:val="19"/>
                <w:szCs w:val="19"/>
              </w:rPr>
              <w:t>حدود الدليل: النطاق، والزمن، والفرق بين الإعداد والتطبيق، وبين النص والممارسة.</w:t>
            </w:r>
          </w:p>
        </w:tc>
      </w:tr>
      <w:tr>
        <w:trPr>
          <w:cantSplit/>
        </w:trPr>
        <w:tc>
          <w:tcPr>
            <w:tcW w:type="dxa" w:w="1984"/>
          </w:tcPr>
          <w:p>
            <w:pPr>
              <w:bidi/>
              <w:spacing w:after="20" w:line="252" w:lineRule="auto"/>
            </w:pPr>
            <w:r/>
            <w:r>
              <w:rPr>
                <w:rFonts w:ascii="Arial" w:hAnsi="Arial" w:cs="Arial" w:eastAsia="Arial"/>
                <w:b w:val="0"/>
                <w:bCs w:val="0"/>
                <w:sz w:val="19"/>
                <w:szCs w:val="19"/>
              </w:rPr>
              <w:t>المعلومات الناقصة</w:t>
            </w:r>
          </w:p>
        </w:tc>
        <w:tc>
          <w:tcPr>
            <w:tcW w:type="dxa" w:w="850"/>
          </w:tcPr>
          <w:p>
            <w:pPr>
              <w:bidi/>
              <w:spacing w:after="20" w:line="252" w:lineRule="auto"/>
            </w:pPr>
            <w:r/>
            <w:r>
              <w:rPr>
                <w:rFonts w:ascii="Arial" w:hAnsi="Arial" w:cs="Arial" w:eastAsia="Arial"/>
                <w:b w:val="0"/>
                <w:bCs w:val="0"/>
                <w:sz w:val="19"/>
                <w:szCs w:val="19"/>
              </w:rPr>
              <w:t>3</w:t>
            </w:r>
          </w:p>
        </w:tc>
        <w:tc>
          <w:tcPr>
            <w:tcW w:type="dxa" w:w="6803"/>
          </w:tcPr>
          <w:p>
            <w:pPr>
              <w:bidi/>
              <w:spacing w:after="20" w:line="252" w:lineRule="auto"/>
            </w:pPr>
            <w:r/>
            <w:r>
              <w:rPr>
                <w:rFonts w:ascii="Arial" w:hAnsi="Arial" w:cs="Arial" w:eastAsia="Arial"/>
                <w:b w:val="0"/>
                <w:bCs w:val="0"/>
                <w:sz w:val="19"/>
                <w:szCs w:val="19"/>
              </w:rPr>
              <w:t>طلبات محددة تغلق الشك (اسم المستند أو السجل والفترة).</w:t>
            </w:r>
          </w:p>
        </w:tc>
      </w:tr>
      <w:tr>
        <w:trPr>
          <w:cantSplit/>
        </w:trPr>
        <w:tc>
          <w:tcPr>
            <w:tcW w:type="dxa" w:w="1984"/>
          </w:tcPr>
          <w:p>
            <w:pPr>
              <w:bidi/>
              <w:spacing w:after="20" w:line="252" w:lineRule="auto"/>
            </w:pPr>
            <w:r/>
            <w:r>
              <w:rPr>
                <w:rFonts w:ascii="Arial" w:hAnsi="Arial" w:cs="Arial" w:eastAsia="Arial"/>
                <w:b w:val="0"/>
                <w:bCs w:val="0"/>
                <w:sz w:val="19"/>
                <w:szCs w:val="19"/>
              </w:rPr>
              <w:t>الحكم ومبرره</w:t>
            </w:r>
          </w:p>
        </w:tc>
        <w:tc>
          <w:tcPr>
            <w:tcW w:type="dxa" w:w="850"/>
          </w:tcPr>
          <w:p>
            <w:pPr>
              <w:bidi/>
              <w:spacing w:after="20" w:line="252" w:lineRule="auto"/>
            </w:pPr>
            <w:r/>
            <w:r>
              <w:rPr>
                <w:rFonts w:ascii="Arial" w:hAnsi="Arial" w:cs="Arial" w:eastAsia="Arial"/>
                <w:b w:val="0"/>
                <w:bCs w:val="0"/>
                <w:sz w:val="19"/>
                <w:szCs w:val="19"/>
              </w:rPr>
              <w:t>4</w:t>
            </w:r>
          </w:p>
        </w:tc>
        <w:tc>
          <w:tcPr>
            <w:tcW w:type="dxa" w:w="6803"/>
          </w:tcPr>
          <w:p>
            <w:pPr>
              <w:bidi/>
              <w:spacing w:after="20" w:line="252" w:lineRule="auto"/>
            </w:pPr>
            <w:r/>
            <w:r>
              <w:rPr>
                <w:rFonts w:ascii="Arial" w:hAnsi="Arial" w:cs="Arial" w:eastAsia="Arial"/>
                <w:b w:val="0"/>
                <w:bCs w:val="0"/>
                <w:sz w:val="19"/>
                <w:szCs w:val="19"/>
              </w:rPr>
              <w:t>حكم متسق مع التحليل. يقبل أكثر من حكم إذا كان المبرر صحيحاً.</w:t>
            </w:r>
          </w:p>
        </w:tc>
      </w:tr>
      <w:tr>
        <w:trPr>
          <w:cantSplit/>
        </w:trPr>
        <w:tc>
          <w:tcPr>
            <w:tcW w:type="dxa" w:w="1984"/>
          </w:tcPr>
          <w:p>
            <w:pPr>
              <w:bidi/>
              <w:spacing w:after="20" w:line="252" w:lineRule="auto"/>
            </w:pPr>
            <w:r/>
            <w:r>
              <w:rPr>
                <w:rFonts w:ascii="Arial" w:hAnsi="Arial" w:cs="Arial" w:eastAsia="Arial"/>
                <w:b w:val="0"/>
                <w:bCs w:val="0"/>
                <w:sz w:val="19"/>
                <w:szCs w:val="19"/>
              </w:rPr>
              <w:t>الخطوة التالية</w:t>
            </w:r>
          </w:p>
        </w:tc>
        <w:tc>
          <w:tcPr>
            <w:tcW w:type="dxa" w:w="850"/>
          </w:tcPr>
          <w:p>
            <w:pPr>
              <w:bidi/>
              <w:spacing w:after="20" w:line="252" w:lineRule="auto"/>
            </w:pPr>
            <w:r/>
            <w:r>
              <w:rPr>
                <w:rFonts w:ascii="Arial" w:hAnsi="Arial" w:cs="Arial" w:eastAsia="Arial"/>
                <w:b w:val="0"/>
                <w:bCs w:val="0"/>
                <w:sz w:val="19"/>
                <w:szCs w:val="19"/>
              </w:rPr>
              <w:t>3</w:t>
            </w:r>
          </w:p>
        </w:tc>
        <w:tc>
          <w:tcPr>
            <w:tcW w:type="dxa" w:w="6803"/>
          </w:tcPr>
          <w:p>
            <w:pPr>
              <w:bidi/>
              <w:spacing w:after="20" w:line="252" w:lineRule="auto"/>
            </w:pPr>
            <w:r/>
            <w:r>
              <w:rPr>
                <w:rFonts w:ascii="Arial" w:hAnsi="Arial" w:cs="Arial" w:eastAsia="Arial"/>
                <w:b w:val="0"/>
                <w:bCs w:val="0"/>
                <w:sz w:val="19"/>
                <w:szCs w:val="19"/>
              </w:rPr>
              <w:t>إجراء عملي يقوم به المقيّم أو الجهة الآن، بمالك واضح.</w:t>
            </w:r>
          </w:p>
        </w:tc>
      </w:tr>
    </w:tbl>
    <w:p>
      <w:pPr>
        <w:spacing w:after="40"/>
      </w:pPr>
    </w:p>
    <w:p>
      <w:pPr>
        <w:bidi/>
      </w:pPr>
      <w:r>
        <w:rPr>
          <w:rFonts w:ascii="Arial" w:hAnsi="Arial" w:cs="Arial" w:eastAsia="Arial"/>
          <w:b w:val="0"/>
          <w:bCs w:val="0"/>
          <w:sz w:val="21"/>
          <w:szCs w:val="21"/>
        </w:rPr>
        <w:t>النتيجة: 18 من كل 20 درجة على التفكير والتبرير، ودرجتان فقط على رقم الضابط. التقدير: 85 فأعلى ممتاز، 70 إلى 84 مجتاز، أقل من 70 يعيد الاختبار بأدلة مختلفة.</w:t>
      </w:r>
    </w:p>
    <w:p>
      <w:pPr>
        <w:pStyle w:val="Heading1"/>
        <w:bidi/>
      </w:pPr>
      <w:r>
        <w:rPr>
          <w:rFonts w:ascii="Arial" w:hAnsi="Arial" w:cs="Arial" w:eastAsia="Arial"/>
          <w:b w:val="0"/>
          <w:bCs w:val="0"/>
        </w:rPr>
        <w:t>E1: «لقطة إعداد سياسة التحقق متعدد العوامل للمشرفين»</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‎2-2-3-2‎: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الضابط المرتبط</w:t>
            </w:r>
          </w:p>
        </w:tc>
        <w:tc>
          <w:tcPr>
            <w:tcW w:type="dxa" w:w="7483"/>
          </w:tcPr>
          <w:p>
            <w:pPr>
              <w:bidi/>
              <w:spacing w:after="20" w:line="252" w:lineRule="auto"/>
            </w:pPr>
            <w:r/>
            <w:r>
              <w:rPr>
                <w:rFonts w:ascii="Arial" w:hAnsi="Arial" w:cs="Arial" w:eastAsia="Arial"/>
                <w:b w:val="0"/>
                <w:bCs w:val="0"/>
                <w:sz w:val="19"/>
                <w:szCs w:val="19"/>
              </w:rPr>
              <w:t>الرئيسي: ‎2-2-3-2‎</w:t>
            </w:r>
          </w:p>
          <w:p>
            <w:pPr>
              <w:bidi/>
              <w:spacing w:after="20" w:line="252" w:lineRule="auto"/>
            </w:pPr>
            <w:r>
              <w:rPr>
                <w:rFonts w:ascii="Arial" w:hAnsi="Arial" w:cs="Arial" w:eastAsia="Arial"/>
                <w:b w:val="0"/>
                <w:bCs w:val="0"/>
                <w:sz w:val="19"/>
                <w:szCs w:val="19"/>
              </w:rPr>
              <w:t>بدائل مقبولة: ‎2-2-3-4‎ (إدارة الصلاحيات الهامة)، و‎2-2-4‎ (المراجعة الدورية لتطبيق متطلبات الهويات، لأن السياسة بقيت في وضع التقرير منذ ‎2026-06-10‎)، و‎2-2-2‎.</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يثبته الدليل</w:t>
            </w:r>
          </w:p>
        </w:tc>
        <w:tc>
          <w:tcPr>
            <w:tcW w:type="dxa" w:w="7483"/>
          </w:tcPr>
          <w:p>
            <w:pPr>
              <w:bidi/>
              <w:spacing w:after="20" w:line="252" w:lineRule="auto"/>
              <w:ind w:right="57"/>
            </w:pPr>
            <w:r/>
            <w:r>
              <w:rPr>
                <w:rFonts w:ascii="Arial" w:hAnsi="Arial" w:cs="Arial" w:eastAsia="Arial"/>
                <w:b w:val="0"/>
                <w:bCs w:val="0"/>
                <w:sz w:val="19"/>
                <w:szCs w:val="19"/>
              </w:rPr>
              <w:t>• توجد سياسة مصممة لاشتراط التحقق متعدد العوامل لأدوار الإدارة السحابية في أي موقع.</w:t>
            </w:r>
          </w:p>
          <w:p>
            <w:pPr>
              <w:bidi/>
              <w:spacing w:after="20" w:line="252" w:lineRule="auto"/>
              <w:ind w:right="57"/>
            </w:pPr>
            <w:r>
              <w:rPr>
                <w:rFonts w:ascii="Arial" w:hAnsi="Arial" w:cs="Arial" w:eastAsia="Arial"/>
                <w:b w:val="0"/>
                <w:bCs w:val="0"/>
                <w:sz w:val="19"/>
                <w:szCs w:val="19"/>
              </w:rPr>
              <w:t>• حالتها «وضع التقرير فقط» منذ آخر تعديل في ‎2026-06-10‎، أي أنها تُسجل ولا تُفرض.</w:t>
            </w:r>
          </w:p>
          <w:p>
            <w:pPr>
              <w:bidi/>
              <w:spacing w:after="20" w:line="252" w:lineRule="auto"/>
              <w:ind w:right="57"/>
            </w:pPr>
            <w:r>
              <w:rPr>
                <w:rFonts w:ascii="Arial" w:hAnsi="Arial" w:cs="Arial" w:eastAsia="Arial"/>
                <w:b w:val="0"/>
                <w:bCs w:val="0"/>
                <w:sz w:val="19"/>
                <w:szCs w:val="19"/>
              </w:rPr>
              <w:t>• تستثني مجموعة واحدة: GRP-BreakGlass (2 حسابان).</w:t>
            </w:r>
          </w:p>
          <w:p>
            <w:pPr>
              <w:bidi/>
              <w:spacing w:after="20" w:line="252" w:lineRule="auto"/>
              <w:ind w:right="57"/>
            </w:pPr>
            <w:r>
              <w:rPr>
                <w:rFonts w:ascii="Arial" w:hAnsi="Arial" w:cs="Arial" w:eastAsia="Arial"/>
                <w:b w:val="0"/>
                <w:bCs w:val="0"/>
                <w:sz w:val="19"/>
                <w:szCs w:val="19"/>
              </w:rPr>
              <w:t>• تشمل المتصفح والعملاء الحديثة فقط.</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لا يثبته الدليل</w:t>
            </w:r>
          </w:p>
        </w:tc>
        <w:tc>
          <w:tcPr>
            <w:tcW w:type="dxa" w:w="7483"/>
          </w:tcPr>
          <w:p>
            <w:pPr>
              <w:bidi/>
              <w:spacing w:after="20" w:line="252" w:lineRule="auto"/>
              <w:ind w:right="57"/>
            </w:pPr>
            <w:r/>
            <w:r>
              <w:rPr>
                <w:rFonts w:ascii="Arial" w:hAnsi="Arial" w:cs="Arial" w:eastAsia="Arial"/>
                <w:b w:val="0"/>
                <w:bCs w:val="0"/>
                <w:sz w:val="19"/>
                <w:szCs w:val="19"/>
              </w:rPr>
              <w:t>• لا يثبت فرض التحقق على أي مشرف؛ يثبت النية والإعداد فقط.</w:t>
            </w:r>
          </w:p>
          <w:p>
            <w:pPr>
              <w:bidi/>
              <w:spacing w:after="20" w:line="252" w:lineRule="auto"/>
              <w:ind w:right="57"/>
            </w:pPr>
            <w:r>
              <w:rPr>
                <w:rFonts w:ascii="Arial" w:hAnsi="Arial" w:cs="Arial" w:eastAsia="Arial"/>
                <w:b w:val="0"/>
                <w:bCs w:val="0"/>
                <w:sz w:val="19"/>
                <w:szCs w:val="19"/>
              </w:rPr>
              <w:t>• لا يثبت أن الاستثناء معتمد ومعه ضوابط تعويضية.</w:t>
            </w:r>
          </w:p>
          <w:p>
            <w:pPr>
              <w:bidi/>
              <w:spacing w:after="20" w:line="252" w:lineRule="auto"/>
              <w:ind w:right="57"/>
            </w:pPr>
            <w:r>
              <w:rPr>
                <w:rFonts w:ascii="Arial" w:hAnsi="Arial" w:cs="Arial" w:eastAsia="Arial"/>
                <w:b w:val="0"/>
                <w:bCs w:val="0"/>
                <w:sz w:val="19"/>
                <w:szCs w:val="19"/>
              </w:rPr>
              <w:t>• لا يثبت ما حدث فعلاً عند دخول المشرفين.</w:t>
            </w:r>
          </w:p>
          <w:p>
            <w:pPr>
              <w:bidi/>
              <w:spacing w:after="20" w:line="252" w:lineRule="auto"/>
              <w:ind w:right="57"/>
            </w:pPr>
            <w:r>
              <w:rPr>
                <w:rFonts w:ascii="Arial" w:hAnsi="Arial" w:cs="Arial" w:eastAsia="Arial"/>
                <w:b w:val="0"/>
                <w:bCs w:val="0"/>
                <w:sz w:val="19"/>
                <w:szCs w:val="19"/>
              </w:rPr>
              <w:t>• لا يثبت حماية مسارات العملاء القديمة (غير مدرجة في الشروط).</w:t>
            </w:r>
          </w:p>
          <w:p>
            <w:pPr>
              <w:bidi/>
              <w:spacing w:after="20" w:line="252" w:lineRule="auto"/>
              <w:ind w:right="57"/>
            </w:pPr>
            <w:r>
              <w:rPr>
                <w:rFonts w:ascii="Arial" w:hAnsi="Arial" w:cs="Arial" w:eastAsia="Arial"/>
                <w:b w:val="0"/>
                <w:bCs w:val="0"/>
                <w:sz w:val="19"/>
                <w:szCs w:val="19"/>
              </w:rPr>
              <w:t>• لا يثبت أن العوامل اختيرت بناءً على تقييم أثر فشل التحقق وتخطيه.</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المعلومات الناقصة</w:t>
            </w:r>
          </w:p>
        </w:tc>
        <w:tc>
          <w:tcPr>
            <w:tcW w:type="dxa" w:w="7483"/>
          </w:tcPr>
          <w:p>
            <w:pPr>
              <w:bidi/>
              <w:spacing w:after="20" w:line="252" w:lineRule="auto"/>
              <w:ind w:right="57"/>
            </w:pPr>
            <w:r/>
            <w:r>
              <w:rPr>
                <w:rFonts w:ascii="Arial" w:hAnsi="Arial" w:cs="Arial" w:eastAsia="Arial"/>
                <w:b w:val="0"/>
                <w:bCs w:val="0"/>
                <w:sz w:val="19"/>
                <w:szCs w:val="19"/>
              </w:rPr>
              <w:t>• حالة الفرض الحالية وخطة التحويل من وضع التقرير.</w:t>
            </w:r>
          </w:p>
          <w:p>
            <w:pPr>
              <w:bidi/>
              <w:spacing w:after="20" w:line="252" w:lineRule="auto"/>
              <w:ind w:right="57"/>
            </w:pPr>
            <w:r>
              <w:rPr>
                <w:rFonts w:ascii="Arial" w:hAnsi="Arial" w:cs="Arial" w:eastAsia="Arial"/>
                <w:b w:val="0"/>
                <w:bCs w:val="0"/>
                <w:sz w:val="19"/>
                <w:szCs w:val="19"/>
              </w:rPr>
              <w:t>• اعتماد استثناء GRP-BreakGlass وضوابطه التعويضية.</w:t>
            </w:r>
          </w:p>
          <w:p>
            <w:pPr>
              <w:bidi/>
              <w:spacing w:after="20" w:line="252" w:lineRule="auto"/>
              <w:ind w:right="57"/>
            </w:pPr>
            <w:r>
              <w:rPr>
                <w:rFonts w:ascii="Arial" w:hAnsi="Arial" w:cs="Arial" w:eastAsia="Arial"/>
                <w:b w:val="0"/>
                <w:bCs w:val="0"/>
                <w:sz w:val="19"/>
                <w:szCs w:val="19"/>
              </w:rPr>
              <w:t>• سجلات دخول أدوار الإدارة خلال الفترة.</w:t>
            </w:r>
          </w:p>
          <w:p>
            <w:pPr>
              <w:bidi/>
              <w:spacing w:after="20" w:line="252" w:lineRule="auto"/>
              <w:ind w:right="57"/>
            </w:pPr>
            <w:r>
              <w:rPr>
                <w:rFonts w:ascii="Arial" w:hAnsi="Arial" w:cs="Arial" w:eastAsia="Arial"/>
                <w:b w:val="0"/>
                <w:bCs w:val="0"/>
                <w:sz w:val="19"/>
                <w:szCs w:val="19"/>
              </w:rPr>
              <w:t>• وثيقة تقييم أثر فشل التحقق وتخطيه.</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الخطوة التالية</w:t>
            </w:r>
          </w:p>
        </w:tc>
        <w:tc>
          <w:tcPr>
            <w:tcW w:type="dxa" w:w="7483"/>
          </w:tcPr>
          <w:p>
            <w:pPr>
              <w:bidi/>
              <w:spacing w:after="20" w:line="252" w:lineRule="auto"/>
              <w:ind w:right="57"/>
            </w:pPr>
            <w:r/>
            <w:r>
              <w:rPr>
                <w:rFonts w:ascii="Arial" w:hAnsi="Arial" w:cs="Arial" w:eastAsia="Arial"/>
                <w:b w:val="0"/>
                <w:bCs w:val="0"/>
                <w:sz w:val="19"/>
                <w:szCs w:val="19"/>
              </w:rPr>
              <w:t>• طلب سجلات الدخول ونتائج وضع التقرير للفترة، وطلب وثيقة تقييم الأثر وسجل الاستثناءات.</w:t>
            </w:r>
          </w:p>
          <w:p>
            <w:pPr>
              <w:bidi/>
              <w:spacing w:after="20" w:line="252" w:lineRule="auto"/>
              <w:ind w:right="57"/>
            </w:pPr>
            <w:r>
              <w:rPr>
                <w:rFonts w:ascii="Arial" w:hAnsi="Arial" w:cs="Arial" w:eastAsia="Arial"/>
                <w:b w:val="0"/>
                <w:bCs w:val="0"/>
                <w:sz w:val="19"/>
                <w:szCs w:val="19"/>
              </w:rPr>
              <w:t>• توصية بتحويل السياسة إلى «مفروضة» بعد التحقق من تسجيل جميع المشرفين.</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الحكم ومبرره</w:t>
            </w:r>
          </w:p>
        </w:tc>
        <w:tc>
          <w:tcPr>
            <w:tcW w:type="dxa" w:w="7483"/>
          </w:tcPr>
          <w:p>
            <w:pPr>
              <w:bidi/>
              <w:spacing w:after="20" w:line="252" w:lineRule="auto"/>
            </w:pPr>
            <w:r/>
            <w:r>
              <w:rPr>
                <w:rFonts w:ascii="Arial" w:hAnsi="Arial" w:cs="Arial" w:eastAsia="Arial"/>
                <w:b w:val="1"/>
                <w:bCs w:val="1"/>
                <w:sz w:val="19"/>
                <w:szCs w:val="19"/>
              </w:rPr>
              <w:t>غير مطبق للحسابات الإدارية السحابية</w:t>
            </w:r>
            <w:r>
              <w:rPr>
                <w:rFonts w:ascii="Arial" w:hAnsi="Arial" w:cs="Arial" w:eastAsia="Arial"/>
                <w:b w:val="0"/>
                <w:bCs w:val="0"/>
                <w:sz w:val="19"/>
                <w:szCs w:val="19"/>
              </w:rPr>
              <w:t xml:space="preserve"> لأن الحالة تقرير فقط، فلا فرض. ويقبل «لا يمكن الحكم» إذا ذكر المتدرب أن الدليل لا يثبت الفرض وطلب السجلات وتقييم الأثر. لا يقبل «مطبق».</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أخطاء شائعة</w:t>
            </w:r>
          </w:p>
        </w:tc>
        <w:tc>
          <w:tcPr>
            <w:tcW w:type="dxa" w:w="7483"/>
          </w:tcPr>
          <w:p>
            <w:pPr>
              <w:bidi/>
              <w:spacing w:after="20" w:line="252" w:lineRule="auto"/>
              <w:ind w:right="57"/>
            </w:pPr>
            <w:r/>
            <w:r>
              <w:rPr>
                <w:rFonts w:ascii="Arial" w:hAnsi="Arial" w:cs="Arial" w:eastAsia="Arial"/>
                <w:b w:val="0"/>
                <w:bCs w:val="0"/>
                <w:sz w:val="19"/>
                <w:szCs w:val="19"/>
              </w:rPr>
              <w:t>• اعتبار وجود السياسة دليلاً على التطبيق.</w:t>
            </w:r>
          </w:p>
          <w:p>
            <w:pPr>
              <w:bidi/>
              <w:spacing w:after="20" w:line="252" w:lineRule="auto"/>
              <w:ind w:right="57"/>
            </w:pPr>
            <w:r>
              <w:rPr>
                <w:rFonts w:ascii="Arial" w:hAnsi="Arial" w:cs="Arial" w:eastAsia="Arial"/>
                <w:b w:val="0"/>
                <w:bCs w:val="0"/>
                <w:sz w:val="19"/>
                <w:szCs w:val="19"/>
              </w:rPr>
              <w:t>• اعتبار استثناء حسابات الطوارئ خطأً بحد ذاته (المشكلة غياب دليل الاعتماد، لا وجود الاستثناء).</w:t>
            </w:r>
          </w:p>
          <w:p>
            <w:pPr>
              <w:bidi/>
              <w:spacing w:after="20" w:line="252" w:lineRule="auto"/>
              <w:ind w:right="57"/>
            </w:pPr>
            <w:r>
              <w:rPr>
                <w:rFonts w:ascii="Arial" w:hAnsi="Arial" w:cs="Arial" w:eastAsia="Arial"/>
                <w:b w:val="0"/>
                <w:bCs w:val="0"/>
                <w:sz w:val="19"/>
                <w:szCs w:val="19"/>
              </w:rPr>
              <w:t>• الاكتفاء برقم الضابط دون ذكر وضع التقرير.</w:t>
            </w:r>
          </w:p>
        </w:tc>
      </w:tr>
    </w:tbl>
    <w:p>
      <w:pPr>
        <w:spacing w:after="40"/>
      </w:pPr>
    </w:p>
    <w:p>
      <w:pPr>
        <w:pStyle w:val="Heading1"/>
        <w:bidi/>
      </w:pPr>
      <w:r>
        <w:rPr>
          <w:rFonts w:ascii="Arial" w:hAnsi="Arial" w:cs="Arial" w:eastAsia="Arial"/>
          <w:b w:val="0"/>
          <w:bCs w:val="0"/>
        </w:rPr>
        <w:t>E2: «محضر اختبار استعادة نظام الموارد البشرية»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‎2-9-3-3‎: «إجراء فحص دوري لمدى فعالية استعادة النسخ الاحتياطية.»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الضابط المرتبط</w:t>
            </w:r>
          </w:p>
        </w:tc>
        <w:tc>
          <w:tcPr>
            <w:tcW w:type="dxa" w:w="7483"/>
          </w:tcPr>
          <w:p>
            <w:pPr>
              <w:bidi/>
              <w:spacing w:after="20" w:line="252" w:lineRule="auto"/>
            </w:pPr>
            <w:r/>
            <w:r>
              <w:rPr>
                <w:rFonts w:ascii="Arial" w:hAnsi="Arial" w:cs="Arial" w:eastAsia="Arial"/>
                <w:b w:val="0"/>
                <w:bCs w:val="0"/>
                <w:sz w:val="19"/>
                <w:szCs w:val="19"/>
              </w:rPr>
              <w:t>الرئيسي: ‎2-9-3-3‎</w:t>
            </w:r>
          </w:p>
          <w:p>
            <w:pPr>
              <w:bidi/>
              <w:spacing w:after="20" w:line="252" w:lineRule="auto"/>
            </w:pPr>
            <w:r>
              <w:rPr>
                <w:rFonts w:ascii="Arial" w:hAnsi="Arial" w:cs="Arial" w:eastAsia="Arial"/>
                <w:b w:val="0"/>
                <w:bCs w:val="0"/>
                <w:sz w:val="19"/>
                <w:szCs w:val="19"/>
              </w:rPr>
              <w:t>بدائل مقبولة: ‎2-9-3-2‎ (القدرة السريعة على الاستعادة)، و‎2-9-2‎.</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يثبته الدليل</w:t>
            </w:r>
          </w:p>
        </w:tc>
        <w:tc>
          <w:tcPr>
            <w:tcW w:type="dxa" w:w="7483"/>
          </w:tcPr>
          <w:p>
            <w:pPr>
              <w:bidi/>
              <w:spacing w:after="20" w:line="252" w:lineRule="auto"/>
              <w:ind w:right="57"/>
            </w:pPr>
            <w:r/>
            <w:r>
              <w:rPr>
                <w:rFonts w:ascii="Arial" w:hAnsi="Arial" w:cs="Arial" w:eastAsia="Arial"/>
                <w:b w:val="0"/>
                <w:bCs w:val="0"/>
                <w:sz w:val="19"/>
                <w:szCs w:val="19"/>
              </w:rPr>
              <w:t>• استعادة كاملة فعلية لنظام حرج (الموارد البشرية) في ‎2026-08-11‎.</w:t>
            </w:r>
          </w:p>
          <w:p>
            <w:pPr>
              <w:bidi/>
              <w:spacing w:after="20" w:line="252" w:lineRule="auto"/>
              <w:ind w:right="57"/>
            </w:pPr>
            <w:r>
              <w:rPr>
                <w:rFonts w:ascii="Arial" w:hAnsi="Arial" w:cs="Arial" w:eastAsia="Arial"/>
                <w:b w:val="0"/>
                <w:bCs w:val="0"/>
                <w:sz w:val="19"/>
                <w:szCs w:val="19"/>
              </w:rPr>
              <w:t>• الزمن الفعلي 3 ساعات و10 دقائق أقل من RTO = 4 ساعات (هامش 50 دقيقة).</w:t>
            </w:r>
          </w:p>
          <w:p>
            <w:pPr>
              <w:bidi/>
              <w:spacing w:after="20" w:line="252" w:lineRule="auto"/>
              <w:ind w:right="57"/>
            </w:pPr>
            <w:r>
              <w:rPr>
                <w:rFonts w:ascii="Arial" w:hAnsi="Arial" w:cs="Arial" w:eastAsia="Arial"/>
                <w:b w:val="0"/>
                <w:bCs w:val="0"/>
                <w:sz w:val="19"/>
                <w:szCs w:val="19"/>
              </w:rPr>
              <w:t>• سلامة البيانات تحققت بثلاث طرق (480 سجلاً، والمجموع الاختباري، وتحقق المستخدم).</w:t>
            </w:r>
          </w:p>
          <w:p>
            <w:pPr>
              <w:bidi/>
              <w:spacing w:after="20" w:line="252" w:lineRule="auto"/>
              <w:ind w:right="57"/>
            </w:pPr>
            <w:r>
              <w:rPr>
                <w:rFonts w:ascii="Arial" w:hAnsi="Arial" w:cs="Arial" w:eastAsia="Arial"/>
                <w:b w:val="0"/>
                <w:bCs w:val="0"/>
                <w:sz w:val="19"/>
                <w:szCs w:val="19"/>
              </w:rPr>
              <w:t>• المحضر موقع من مالك الأعمال والمنفذ ومعتمد.</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لا يثبته الدليل</w:t>
            </w:r>
          </w:p>
        </w:tc>
        <w:tc>
          <w:tcPr>
            <w:tcW w:type="dxa" w:w="7483"/>
          </w:tcPr>
          <w:p>
            <w:pPr>
              <w:bidi/>
              <w:spacing w:after="20" w:line="252" w:lineRule="auto"/>
              <w:ind w:right="57"/>
            </w:pPr>
            <w:r/>
            <w:r>
              <w:rPr>
                <w:rFonts w:ascii="Arial" w:hAnsi="Arial" w:cs="Arial" w:eastAsia="Arial"/>
                <w:b w:val="0"/>
                <w:bCs w:val="0"/>
                <w:sz w:val="19"/>
                <w:szCs w:val="19"/>
              </w:rPr>
              <w:t>• لا يثبت قابلية استعادة الأنظمة الحرجة الأخرى.</w:t>
            </w:r>
          </w:p>
          <w:p>
            <w:pPr>
              <w:bidi/>
              <w:spacing w:after="20" w:line="252" w:lineRule="auto"/>
              <w:ind w:right="57"/>
            </w:pPr>
            <w:r>
              <w:rPr>
                <w:rFonts w:ascii="Arial" w:hAnsi="Arial" w:cs="Arial" w:eastAsia="Arial"/>
                <w:b w:val="0"/>
                <w:bCs w:val="0"/>
                <w:sz w:val="19"/>
                <w:szCs w:val="19"/>
              </w:rPr>
              <w:t>• اختبار واحد لا يثبت أن الفحص «دوري» (لا يظهر جدول ولا اختبارات سابقة).</w:t>
            </w:r>
          </w:p>
          <w:p>
            <w:pPr>
              <w:bidi/>
              <w:spacing w:after="20" w:line="252" w:lineRule="auto"/>
              <w:ind w:right="57"/>
            </w:pPr>
            <w:r>
              <w:rPr>
                <w:rFonts w:ascii="Arial" w:hAnsi="Arial" w:cs="Arial" w:eastAsia="Arial"/>
                <w:b w:val="0"/>
                <w:bCs w:val="0"/>
                <w:sz w:val="19"/>
                <w:szCs w:val="19"/>
              </w:rPr>
              <w:t>• لا يثبت الاستعادة في سيناريو حادثة (مثل فقد منصة النسخ نفسها) إن لم تكن النسخة معزولة.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المعلومات الناقصة</w:t>
            </w:r>
          </w:p>
        </w:tc>
        <w:tc>
          <w:tcPr>
            <w:tcW w:type="dxa" w:w="7483"/>
          </w:tcPr>
          <w:p>
            <w:pPr>
              <w:bidi/>
              <w:spacing w:after="20" w:line="252" w:lineRule="auto"/>
              <w:ind w:right="57"/>
            </w:pPr>
            <w:r/>
            <w:r>
              <w:rPr>
                <w:rFonts w:ascii="Arial" w:hAnsi="Arial" w:cs="Arial" w:eastAsia="Arial"/>
                <w:b w:val="0"/>
                <w:bCs w:val="0"/>
                <w:sz w:val="19"/>
                <w:szCs w:val="19"/>
              </w:rPr>
              <w:t>• جدول اختبارات الاستعادة لجميع الأنظمة الحرجة ونتائجها.</w:t>
            </w:r>
          </w:p>
          <w:p>
            <w:pPr>
              <w:bidi/>
              <w:spacing w:after="20" w:line="252" w:lineRule="auto"/>
              <w:ind w:right="57"/>
            </w:pPr>
            <w:r>
              <w:rPr>
                <w:rFonts w:ascii="Arial" w:hAnsi="Arial" w:cs="Arial" w:eastAsia="Arial"/>
                <w:b w:val="0"/>
                <w:bCs w:val="0"/>
                <w:sz w:val="19"/>
                <w:szCs w:val="19"/>
              </w:rPr>
              <w:t>• الاختبارات السابقة لنظام الموارد البشرية لإثبات الدورية.</w:t>
            </w:r>
          </w:p>
          <w:p>
            <w:pPr>
              <w:bidi/>
              <w:spacing w:after="20" w:line="252" w:lineRule="auto"/>
              <w:ind w:right="57"/>
            </w:pPr>
            <w:r>
              <w:rPr>
                <w:rFonts w:ascii="Arial" w:hAnsi="Arial" w:cs="Arial" w:eastAsia="Arial"/>
                <w:b w:val="0"/>
                <w:bCs w:val="0"/>
                <w:sz w:val="19"/>
                <w:szCs w:val="19"/>
              </w:rPr>
              <w:t>• قائمة الأنظمة الحرجة من سجل الأصول.</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الخطوة التالية</w:t>
            </w:r>
          </w:p>
        </w:tc>
        <w:tc>
          <w:tcPr>
            <w:tcW w:type="dxa" w:w="7483"/>
          </w:tcPr>
          <w:p>
            <w:pPr>
              <w:bidi/>
              <w:spacing w:after="20" w:line="252" w:lineRule="auto"/>
              <w:ind w:right="57"/>
            </w:pPr>
            <w:r/>
            <w:r>
              <w:rPr>
                <w:rFonts w:ascii="Arial" w:hAnsi="Arial" w:cs="Arial" w:eastAsia="Arial"/>
                <w:b w:val="0"/>
                <w:bCs w:val="0"/>
                <w:sz w:val="19"/>
                <w:szCs w:val="19"/>
              </w:rPr>
              <w:t>• طلب سجل الاختبارات الكامل ومقارنته بقائمة الأنظمة الحرجة.</w:t>
            </w:r>
          </w:p>
          <w:p>
            <w:pPr>
              <w:bidi/>
              <w:spacing w:after="20" w:line="252" w:lineRule="auto"/>
              <w:ind w:right="57"/>
            </w:pPr>
            <w:r>
              <w:rPr>
                <w:rFonts w:ascii="Arial" w:hAnsi="Arial" w:cs="Arial" w:eastAsia="Arial"/>
                <w:b w:val="0"/>
                <w:bCs w:val="0"/>
                <w:sz w:val="19"/>
                <w:szCs w:val="19"/>
              </w:rPr>
              <w:t>• اعتماد هذا المحضر نموذجاً لبقية الاختبارات.</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الحكم ومبرره</w:t>
            </w:r>
          </w:p>
        </w:tc>
        <w:tc>
          <w:tcPr>
            <w:tcW w:type="dxa" w:w="7483"/>
          </w:tcPr>
          <w:p>
            <w:pPr>
              <w:bidi/>
              <w:spacing w:after="20" w:line="252" w:lineRule="auto"/>
            </w:pPr>
            <w:r/>
            <w:r>
              <w:rPr>
                <w:rFonts w:ascii="Arial" w:hAnsi="Arial" w:cs="Arial" w:eastAsia="Arial"/>
                <w:b w:val="1"/>
                <w:bCs w:val="1"/>
                <w:sz w:val="19"/>
                <w:szCs w:val="19"/>
              </w:rPr>
              <w:t>مطبق لنظام الموارد البشرية</w:t>
            </w:r>
            <w:r>
              <w:rPr>
                <w:rFonts w:ascii="Arial" w:hAnsi="Arial" w:cs="Arial" w:eastAsia="Arial"/>
                <w:b w:val="0"/>
                <w:bCs w:val="0"/>
                <w:sz w:val="19"/>
                <w:szCs w:val="19"/>
              </w:rPr>
              <w:t>، و</w:t>
            </w:r>
            <w:r>
              <w:rPr>
                <w:rFonts w:ascii="Arial" w:hAnsi="Arial" w:cs="Arial" w:eastAsia="Arial"/>
                <w:b w:val="1"/>
                <w:bCs w:val="1"/>
                <w:sz w:val="19"/>
                <w:szCs w:val="19"/>
              </w:rPr>
              <w:t>مطبق جزئياً أو لا يمكن الحكم على مستوى الضابط</w:t>
            </w:r>
            <w:r>
              <w:rPr>
                <w:rFonts w:ascii="Arial" w:hAnsi="Arial" w:cs="Arial" w:eastAsia="Arial"/>
                <w:b w:val="0"/>
                <w:bCs w:val="0"/>
                <w:sz w:val="19"/>
                <w:szCs w:val="19"/>
              </w:rPr>
              <w:t xml:space="preserve"> حتى تُثبت تغطية بقية الأنظمة الحرجة والدورية. يقبل أي منهما بمبرر التغطية.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أخطاء شائعة</w:t>
            </w:r>
          </w:p>
        </w:tc>
        <w:tc>
          <w:tcPr>
            <w:tcW w:type="dxa" w:w="7483"/>
          </w:tcPr>
          <w:p>
            <w:pPr>
              <w:bidi/>
              <w:spacing w:after="20" w:line="252" w:lineRule="auto"/>
              <w:ind w:right="57"/>
            </w:pPr>
            <w:r/>
            <w:r>
              <w:rPr>
                <w:rFonts w:ascii="Arial" w:hAnsi="Arial" w:cs="Arial" w:eastAsia="Arial"/>
                <w:b w:val="0"/>
                <w:bCs w:val="0"/>
                <w:sz w:val="19"/>
                <w:szCs w:val="19"/>
              </w:rPr>
              <w:t>• تعميم نتيجة نظام واحد على الجهة كلها («الضابط مطبق»).</w:t>
            </w:r>
          </w:p>
          <w:p>
            <w:pPr>
              <w:bidi/>
              <w:spacing w:after="20" w:line="252" w:lineRule="auto"/>
              <w:ind w:right="57"/>
            </w:pPr>
            <w:r>
              <w:rPr>
                <w:rFonts w:ascii="Arial" w:hAnsi="Arial" w:cs="Arial" w:eastAsia="Arial"/>
                <w:b w:val="0"/>
                <w:bCs w:val="0"/>
                <w:sz w:val="19"/>
                <w:szCs w:val="19"/>
              </w:rPr>
              <w:t>• التركيز على RPO بدل RTO دون فهم الفرق.</w:t>
            </w:r>
          </w:p>
          <w:p>
            <w:pPr>
              <w:bidi/>
              <w:spacing w:after="20" w:line="252" w:lineRule="auto"/>
              <w:ind w:right="57"/>
            </w:pPr>
            <w:r>
              <w:rPr>
                <w:rFonts w:ascii="Arial" w:hAnsi="Arial" w:cs="Arial" w:eastAsia="Arial"/>
                <w:b w:val="0"/>
                <w:bCs w:val="0"/>
                <w:sz w:val="19"/>
                <w:szCs w:val="19"/>
              </w:rPr>
              <w:t>• إغفال قوة الدليل: هذا دليل جيد، والمطلوب ذكر ما يثبته بوضوح.</w:t>
            </w:r>
          </w:p>
        </w:tc>
      </w:tr>
    </w:tbl>
    <w:p>
      <w:pPr>
        <w:spacing w:after="40"/>
      </w:pPr>
    </w:p>
    <w:p>
      <w:pPr>
        <w:pStyle w:val="Heading1"/>
        <w:bidi/>
      </w:pPr>
      <w:r>
        <w:rPr>
          <w:rFonts w:ascii="Arial" w:hAnsi="Arial" w:cs="Arial" w:eastAsia="Arial"/>
          <w:b w:val="0"/>
          <w:bCs w:val="0"/>
        </w:rPr>
        <w:t>E3: «تصدير قواعد الجدار الناري»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‎2-5-3-1‎: «العزل والتقسيم المادي أو المنطقي لأجزاء الشبكات بشكل آمن، واللازم للسيطرة على مخاطر الأمن السيبراني ذات العلاقة، باستخدام جدار الحماية (Firewall) ومبدأ الدفاع الأمني متعدد المراحل (Defense-in-Depth).»</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الضابط المرتبط</w:t>
            </w:r>
          </w:p>
        </w:tc>
        <w:tc>
          <w:tcPr>
            <w:tcW w:type="dxa" w:w="7483"/>
          </w:tcPr>
          <w:p>
            <w:pPr>
              <w:bidi/>
              <w:spacing w:after="20" w:line="252" w:lineRule="auto"/>
            </w:pPr>
            <w:r/>
            <w:r>
              <w:rPr>
                <w:rFonts w:ascii="Arial" w:hAnsi="Arial" w:cs="Arial" w:eastAsia="Arial"/>
                <w:b w:val="0"/>
                <w:bCs w:val="0"/>
                <w:sz w:val="19"/>
                <w:szCs w:val="19"/>
              </w:rPr>
              <w:t>الرئيسي: ‎2-5-3-1‎</w:t>
            </w:r>
          </w:p>
          <w:p>
            <w:pPr>
              <w:bidi/>
              <w:spacing w:after="20" w:line="252" w:lineRule="auto"/>
            </w:pPr>
            <w:r>
              <w:rPr>
                <w:rFonts w:ascii="Arial" w:hAnsi="Arial" w:cs="Arial" w:eastAsia="Arial"/>
                <w:b w:val="0"/>
                <w:bCs w:val="0"/>
                <w:sz w:val="19"/>
                <w:szCs w:val="19"/>
              </w:rPr>
              <w:t>بدائل مقبولة: ‎2-5-3-5‎ (قيود وإدارة منافذ وبروتوكولات وخدمات الشبكة)، و‎2-5-4‎ (مراجعة التطبيق)، و‎2-5-2‎.</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يثبته الدليل</w:t>
            </w:r>
          </w:p>
        </w:tc>
        <w:tc>
          <w:tcPr>
            <w:tcW w:type="dxa" w:w="7483"/>
          </w:tcPr>
          <w:p>
            <w:pPr>
              <w:bidi/>
              <w:spacing w:after="20" w:line="252" w:lineRule="auto"/>
              <w:ind w:right="57"/>
            </w:pPr>
            <w:r/>
            <w:r>
              <w:rPr>
                <w:rFonts w:ascii="Arial" w:hAnsi="Arial" w:cs="Arial" w:eastAsia="Arial"/>
                <w:b w:val="0"/>
                <w:bCs w:val="0"/>
                <w:sz w:val="19"/>
                <w:szCs w:val="19"/>
              </w:rPr>
              <w:t>• في ‎2025-09-01‎ كانت توجد القاعدة 47 «TEMP-MIGRATION» تسمح بكل الخدمات (ANY) من المنطقة المحايدة 172.16.10.0/24 إلى كامل الشبكة الداخلية 10.20.0.0/16، دون تسجيل، بتعليق «مؤقت — ترحيل البوابة 2025-06».</w:t>
            </w:r>
          </w:p>
          <w:p>
            <w:pPr>
              <w:bidi/>
              <w:spacing w:after="20" w:line="252" w:lineRule="auto"/>
              <w:ind w:right="57"/>
            </w:pPr>
            <w:r>
              <w:rPr>
                <w:rFonts w:ascii="Arial" w:hAnsi="Arial" w:cs="Arial" w:eastAsia="Arial"/>
                <w:b w:val="0"/>
                <w:bCs w:val="0"/>
                <w:sz w:val="19"/>
                <w:szCs w:val="19"/>
              </w:rPr>
              <w:t>• هذا يلغي فعلياً العزل بين المنطقة المحايدة والشبكة الداخلية في ذلك التاريخ.</w:t>
            </w:r>
          </w:p>
          <w:p>
            <w:pPr>
              <w:bidi/>
              <w:spacing w:after="20" w:line="252" w:lineRule="auto"/>
              <w:ind w:right="57"/>
            </w:pPr>
            <w:r>
              <w:rPr>
                <w:rFonts w:ascii="Arial" w:hAnsi="Arial" w:cs="Arial" w:eastAsia="Arial"/>
                <w:b w:val="0"/>
                <w:bCs w:val="0"/>
                <w:sz w:val="19"/>
                <w:szCs w:val="19"/>
              </w:rPr>
              <w:t>• بقية القواعد في المقتطف محددة بالخدمة.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لا يثبته الدليل</w:t>
            </w:r>
          </w:p>
        </w:tc>
        <w:tc>
          <w:tcPr>
            <w:tcW w:type="dxa" w:w="7483"/>
          </w:tcPr>
          <w:p>
            <w:pPr>
              <w:bidi/>
              <w:spacing w:after="20" w:line="252" w:lineRule="auto"/>
              <w:ind w:right="57"/>
            </w:pPr>
            <w:r/>
            <w:r>
              <w:rPr>
                <w:rFonts w:ascii="Arial" w:hAnsi="Arial" w:cs="Arial" w:eastAsia="Arial"/>
                <w:b w:val="0"/>
                <w:bCs w:val="0"/>
                <w:sz w:val="19"/>
                <w:szCs w:val="19"/>
              </w:rPr>
              <w:t>• التصدير قبل بداية فترة التقييم بعشرة أشهر، فلا يثبت الوضع الحالي (قد تكون القاعدة حُذفت أو ما زالت قائمة).</w:t>
            </w:r>
          </w:p>
          <w:p>
            <w:pPr>
              <w:bidi/>
              <w:spacing w:after="20" w:line="252" w:lineRule="auto"/>
              <w:ind w:right="57"/>
            </w:pPr>
            <w:r>
              <w:rPr>
                <w:rFonts w:ascii="Arial" w:hAnsi="Arial" w:cs="Arial" w:eastAsia="Arial"/>
                <w:b w:val="0"/>
                <w:bCs w:val="0"/>
                <w:sz w:val="19"/>
                <w:szCs w:val="19"/>
              </w:rPr>
              <w:t>• المقتطف لا يعرض كل القواعد (64 قاعدة).</w:t>
            </w:r>
          </w:p>
          <w:p>
            <w:pPr>
              <w:bidi/>
              <w:spacing w:after="20" w:line="252" w:lineRule="auto"/>
              <w:ind w:right="57"/>
            </w:pPr>
            <w:r>
              <w:rPr>
                <w:rFonts w:ascii="Arial" w:hAnsi="Arial" w:cs="Arial" w:eastAsia="Arial"/>
                <w:b w:val="0"/>
                <w:bCs w:val="0"/>
                <w:sz w:val="19"/>
                <w:szCs w:val="19"/>
              </w:rPr>
              <w:t>• لا يثبت مراجعة دورية للقواعد.</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المعلومات الناقصة</w:t>
            </w:r>
          </w:p>
        </w:tc>
        <w:tc>
          <w:tcPr>
            <w:tcW w:type="dxa" w:w="7483"/>
          </w:tcPr>
          <w:p>
            <w:pPr>
              <w:bidi/>
              <w:spacing w:after="20" w:line="252" w:lineRule="auto"/>
              <w:ind w:right="57"/>
            </w:pPr>
            <w:r/>
            <w:r>
              <w:rPr>
                <w:rFonts w:ascii="Arial" w:hAnsi="Arial" w:cs="Arial" w:eastAsia="Arial"/>
                <w:b w:val="0"/>
                <w:bCs w:val="0"/>
                <w:sz w:val="19"/>
                <w:szCs w:val="19"/>
              </w:rPr>
              <w:t>• تصدير حالي للقواعد ضمن فترة التقييم.</w:t>
            </w:r>
          </w:p>
          <w:p>
            <w:pPr>
              <w:bidi/>
              <w:spacing w:after="20" w:line="252" w:lineRule="auto"/>
              <w:ind w:right="57"/>
            </w:pPr>
            <w:r>
              <w:rPr>
                <w:rFonts w:ascii="Arial" w:hAnsi="Arial" w:cs="Arial" w:eastAsia="Arial"/>
                <w:b w:val="0"/>
                <w:bCs w:val="0"/>
                <w:sz w:val="19"/>
                <w:szCs w:val="19"/>
              </w:rPr>
              <w:t>• سجل طلبات التغيير الخاص بالقاعدة 47 (إنشاؤها وإزالتها).</w:t>
            </w:r>
          </w:p>
          <w:p>
            <w:pPr>
              <w:bidi/>
              <w:spacing w:after="20" w:line="252" w:lineRule="auto"/>
              <w:ind w:right="57"/>
            </w:pPr>
            <w:r>
              <w:rPr>
                <w:rFonts w:ascii="Arial" w:hAnsi="Arial" w:cs="Arial" w:eastAsia="Arial"/>
                <w:b w:val="0"/>
                <w:bCs w:val="0"/>
                <w:sz w:val="19"/>
                <w:szCs w:val="19"/>
              </w:rPr>
              <w:t>• محاضر مراجعة قواعد الجدار الناري خلال الفترة، وعدد مرات استخدام القاعدة.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الخطوة التالية</w:t>
            </w:r>
          </w:p>
        </w:tc>
        <w:tc>
          <w:tcPr>
            <w:tcW w:type="dxa" w:w="7483"/>
          </w:tcPr>
          <w:p>
            <w:pPr>
              <w:bidi/>
              <w:spacing w:after="20" w:line="252" w:lineRule="auto"/>
              <w:ind w:right="57"/>
            </w:pPr>
            <w:r/>
            <w:r>
              <w:rPr>
                <w:rFonts w:ascii="Arial" w:hAnsi="Arial" w:cs="Arial" w:eastAsia="Arial"/>
                <w:b w:val="0"/>
                <w:bCs w:val="0"/>
                <w:sz w:val="19"/>
                <w:szCs w:val="19"/>
              </w:rPr>
              <w:t>• طلب تصدير حالي فوراً؛ إن كانت القاعدة قائمة: ملاحظة عالية الخطورة وإزالتها أو تقييدها بالخدمات اللازمة فقط، مع التحقق من سجلات الحركة.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الحكم ومبرره</w:t>
            </w:r>
          </w:p>
        </w:tc>
        <w:tc>
          <w:tcPr>
            <w:tcW w:type="dxa" w:w="7483"/>
          </w:tcPr>
          <w:p>
            <w:pPr>
              <w:bidi/>
              <w:spacing w:after="20" w:line="252" w:lineRule="auto"/>
            </w:pPr>
            <w:r/>
            <w:r>
              <w:rPr>
                <w:rFonts w:ascii="Arial" w:hAnsi="Arial" w:cs="Arial" w:eastAsia="Arial"/>
                <w:b w:val="1"/>
                <w:bCs w:val="1"/>
                <w:sz w:val="19"/>
                <w:szCs w:val="19"/>
              </w:rPr>
              <w:t>لا يمكن الحكم على الوضع الحالي</w:t>
            </w:r>
            <w:r>
              <w:rPr>
                <w:rFonts w:ascii="Arial" w:hAnsi="Arial" w:cs="Arial" w:eastAsia="Arial"/>
                <w:b w:val="0"/>
                <w:bCs w:val="0"/>
                <w:sz w:val="19"/>
                <w:szCs w:val="19"/>
              </w:rPr>
              <w:t xml:space="preserve"> لأن الدليل قديم، مع تسجيل ضعف خطير يتطلب تحققاً عاجلاً. يقبل «غير مطبق (حكم مبدئي)» إذا اقترن بطلب تصدير حالي. لا يقبل «مطبق».</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أخطاء شائعة</w:t>
            </w:r>
          </w:p>
        </w:tc>
        <w:tc>
          <w:tcPr>
            <w:tcW w:type="dxa" w:w="7483"/>
          </w:tcPr>
          <w:p>
            <w:pPr>
              <w:bidi/>
              <w:spacing w:after="20" w:line="252" w:lineRule="auto"/>
              <w:ind w:right="57"/>
            </w:pPr>
            <w:r/>
            <w:r>
              <w:rPr>
                <w:rFonts w:ascii="Arial" w:hAnsi="Arial" w:cs="Arial" w:eastAsia="Arial"/>
                <w:b w:val="0"/>
                <w:bCs w:val="0"/>
                <w:sz w:val="19"/>
                <w:szCs w:val="19"/>
              </w:rPr>
              <w:t>• قبول دليل خارج الفترة دون ملاحظة تاريخه.</w:t>
            </w:r>
          </w:p>
          <w:p>
            <w:pPr>
              <w:bidi/>
              <w:spacing w:after="20" w:line="252" w:lineRule="auto"/>
              <w:ind w:right="57"/>
            </w:pPr>
            <w:r>
              <w:rPr>
                <w:rFonts w:ascii="Arial" w:hAnsi="Arial" w:cs="Arial" w:eastAsia="Arial"/>
                <w:b w:val="0"/>
                <w:bCs w:val="0"/>
                <w:sz w:val="19"/>
                <w:szCs w:val="19"/>
              </w:rPr>
              <w:t>• الحكم على الوضع الحالي بثقة من دليل عمره عشرة أشهر.</w:t>
            </w:r>
          </w:p>
          <w:p>
            <w:pPr>
              <w:bidi/>
              <w:spacing w:after="20" w:line="252" w:lineRule="auto"/>
              <w:ind w:right="57"/>
            </w:pPr>
            <w:r>
              <w:rPr>
                <w:rFonts w:ascii="Arial" w:hAnsi="Arial" w:cs="Arial" w:eastAsia="Arial"/>
                <w:b w:val="0"/>
                <w:bCs w:val="0"/>
                <w:sz w:val="19"/>
                <w:szCs w:val="19"/>
              </w:rPr>
              <w:t>• تجاهل الخطر لأن الدليل قديم؛ القاعدة المؤقتة كثيراً ما تبقى.</w:t>
            </w:r>
          </w:p>
        </w:tc>
      </w:tr>
    </w:tbl>
    <w:p>
      <w:pPr>
        <w:spacing w:after="40"/>
      </w:pPr>
    </w:p>
    <w:p>
      <w:pPr>
        <w:pStyle w:val="Heading1"/>
        <w:bidi/>
      </w:pPr>
      <w:r>
        <w:rPr>
          <w:rFonts w:ascii="Arial" w:hAnsi="Arial" w:cs="Arial" w:eastAsia="Arial"/>
          <w:b w:val="0"/>
          <w:bCs w:val="0"/>
        </w:rPr>
        <w:t>E4: «كشف حضور جلسة التوعية»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‎1-10-2‎: «يجب تطبيق البرنامج المعتمد للتوعية بالأمن السيبراني في الجهة.»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الضابط المرتبط</w:t>
            </w:r>
          </w:p>
        </w:tc>
        <w:tc>
          <w:tcPr>
            <w:tcW w:type="dxa" w:w="7483"/>
          </w:tcPr>
          <w:p>
            <w:pPr>
              <w:bidi/>
              <w:spacing w:after="20" w:line="252" w:lineRule="auto"/>
            </w:pPr>
            <w:r/>
            <w:r>
              <w:rPr>
                <w:rFonts w:ascii="Arial" w:hAnsi="Arial" w:cs="Arial" w:eastAsia="Arial"/>
                <w:b w:val="0"/>
                <w:bCs w:val="0"/>
                <w:sz w:val="19"/>
                <w:szCs w:val="19"/>
              </w:rPr>
              <w:t>الرئيسي: ‎1-10-2‎</w:t>
            </w:r>
          </w:p>
          <w:p>
            <w:pPr>
              <w:bidi/>
              <w:spacing w:after="20" w:line="252" w:lineRule="auto"/>
            </w:pPr>
            <w:r>
              <w:rPr>
                <w:rFonts w:ascii="Arial" w:hAnsi="Arial" w:cs="Arial" w:eastAsia="Arial"/>
                <w:b w:val="0"/>
                <w:bCs w:val="0"/>
                <w:sz w:val="19"/>
                <w:szCs w:val="19"/>
              </w:rPr>
              <w:t>بدائل مقبولة: ‎1-9-4-1‎ (التوعية خلال العلاقة الوظيفية)، و‎1-10-3-1‎ (محتوى الجلسة عن التصيد)، و‎1-10-1‎، و‎1-10-5‎.</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يثبته الدليل</w:t>
            </w:r>
          </w:p>
        </w:tc>
        <w:tc>
          <w:tcPr>
            <w:tcW w:type="dxa" w:w="7483"/>
          </w:tcPr>
          <w:p>
            <w:pPr>
              <w:bidi/>
              <w:spacing w:after="20" w:line="252" w:lineRule="auto"/>
              <w:ind w:right="57"/>
            </w:pPr>
            <w:r/>
            <w:r>
              <w:rPr>
                <w:rFonts w:ascii="Arial" w:hAnsi="Arial" w:cs="Arial" w:eastAsia="Arial"/>
                <w:b w:val="0"/>
                <w:bCs w:val="0"/>
                <w:sz w:val="19"/>
                <w:szCs w:val="19"/>
              </w:rPr>
              <w:t>• عُقدت جلسة توعية عن «التصيد الإلكتروني والتعامل الآمن مع البريد» في ‎2026-08-12‎ ضمن فترة التقييم، بقناتين (حضوري وبث مباشر).</w:t>
            </w:r>
          </w:p>
          <w:p>
            <w:pPr>
              <w:bidi/>
              <w:spacing w:after="20" w:line="252" w:lineRule="auto"/>
              <w:ind w:right="57"/>
            </w:pPr>
            <w:r>
              <w:rPr>
                <w:rFonts w:ascii="Arial" w:hAnsi="Arial" w:cs="Arial" w:eastAsia="Arial"/>
                <w:b w:val="0"/>
                <w:bCs w:val="0"/>
                <w:sz w:val="19"/>
                <w:szCs w:val="19"/>
              </w:rPr>
              <w:t>• حضرها 120 موظفاً من 420 (28.6%).</w:t>
            </w:r>
          </w:p>
          <w:p>
            <w:pPr>
              <w:bidi/>
              <w:spacing w:after="20" w:line="252" w:lineRule="auto"/>
              <w:ind w:right="57"/>
            </w:pPr>
            <w:r>
              <w:rPr>
                <w:rFonts w:ascii="Arial" w:hAnsi="Arial" w:cs="Arial" w:eastAsia="Arial"/>
                <w:b w:val="0"/>
                <w:bCs w:val="0"/>
                <w:sz w:val="19"/>
                <w:szCs w:val="19"/>
              </w:rPr>
              <w:t>• جميع الحاضرين موظفون؛ لا يظهر أي متعاقد من 60.</w:t>
            </w:r>
          </w:p>
          <w:p>
            <w:pPr>
              <w:bidi/>
              <w:spacing w:after="20" w:line="252" w:lineRule="auto"/>
              <w:ind w:right="57"/>
            </w:pPr>
            <w:r>
              <w:rPr>
                <w:rFonts w:ascii="Arial" w:hAnsi="Arial" w:cs="Arial" w:eastAsia="Arial"/>
                <w:b w:val="0"/>
                <w:bCs w:val="0"/>
                <w:sz w:val="19"/>
                <w:szCs w:val="19"/>
              </w:rPr>
              <w:t>• أدنى تغطية: إدارة خدمة المستفيدين (مركز الاتصال) (5 من 96، 5.2%).</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لا يثبته الدليل</w:t>
            </w:r>
          </w:p>
        </w:tc>
        <w:tc>
          <w:tcPr>
            <w:tcW w:type="dxa" w:w="7483"/>
          </w:tcPr>
          <w:p>
            <w:pPr>
              <w:bidi/>
              <w:spacing w:after="20" w:line="252" w:lineRule="auto"/>
              <w:ind w:right="57"/>
            </w:pPr>
            <w:r/>
            <w:r>
              <w:rPr>
                <w:rFonts w:ascii="Arial" w:hAnsi="Arial" w:cs="Arial" w:eastAsia="Arial"/>
                <w:b w:val="0"/>
                <w:bCs w:val="0"/>
                <w:sz w:val="19"/>
                <w:szCs w:val="19"/>
              </w:rPr>
              <w:t>• لا يثبت وجود برنامج توعية معتمد متعدد القنوات (‎1-10-1‎).</w:t>
            </w:r>
          </w:p>
          <w:p>
            <w:pPr>
              <w:bidi/>
              <w:spacing w:after="20" w:line="252" w:lineRule="auto"/>
              <w:ind w:right="57"/>
            </w:pPr>
            <w:r>
              <w:rPr>
                <w:rFonts w:ascii="Arial" w:hAnsi="Arial" w:cs="Arial" w:eastAsia="Arial"/>
                <w:b w:val="0"/>
                <w:bCs w:val="0"/>
                <w:sz w:val="19"/>
                <w:szCs w:val="19"/>
              </w:rPr>
              <w:t>• لا يثبت تغطية 300 موظفاً و60 متعاقداً بقنوات أخرى (تعلم إلكتروني، رسائل، محاكاة تصيد).</w:t>
            </w:r>
          </w:p>
          <w:p>
            <w:pPr>
              <w:bidi/>
              <w:spacing w:after="20" w:line="252" w:lineRule="auto"/>
              <w:ind w:right="57"/>
            </w:pPr>
            <w:r>
              <w:rPr>
                <w:rFonts w:ascii="Arial" w:hAnsi="Arial" w:cs="Arial" w:eastAsia="Arial"/>
                <w:b w:val="0"/>
                <w:bCs w:val="0"/>
                <w:sz w:val="19"/>
                <w:szCs w:val="19"/>
              </w:rPr>
              <w:t>• لا يثبت فهم الحاضرين أو أثر الجلسة.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المعلومات الناقصة</w:t>
            </w:r>
          </w:p>
        </w:tc>
        <w:tc>
          <w:tcPr>
            <w:tcW w:type="dxa" w:w="7483"/>
          </w:tcPr>
          <w:p>
            <w:pPr>
              <w:bidi/>
              <w:spacing w:after="20" w:line="252" w:lineRule="auto"/>
              <w:ind w:right="57"/>
            </w:pPr>
            <w:r/>
            <w:r>
              <w:rPr>
                <w:rFonts w:ascii="Arial" w:hAnsi="Arial" w:cs="Arial" w:eastAsia="Arial"/>
                <w:b w:val="0"/>
                <w:bCs w:val="0"/>
                <w:sz w:val="19"/>
                <w:szCs w:val="19"/>
              </w:rPr>
              <w:t>• البرنامج المعتمد وخطته السنوية وقنواته.</w:t>
            </w:r>
          </w:p>
          <w:p>
            <w:pPr>
              <w:bidi/>
              <w:spacing w:after="20" w:line="252" w:lineRule="auto"/>
              <w:ind w:right="57"/>
            </w:pPr>
            <w:r>
              <w:rPr>
                <w:rFonts w:ascii="Arial" w:hAnsi="Arial" w:cs="Arial" w:eastAsia="Arial"/>
                <w:b w:val="0"/>
                <w:bCs w:val="0"/>
                <w:sz w:val="19"/>
                <w:szCs w:val="19"/>
              </w:rPr>
              <w:t>• سجلات القنوات الأخرى (إكمال التعلم الإلكتروني، نتائج محاكاة التصيد).</w:t>
            </w:r>
          </w:p>
          <w:p>
            <w:pPr>
              <w:bidi/>
              <w:spacing w:after="20" w:line="252" w:lineRule="auto"/>
              <w:ind w:right="57"/>
            </w:pPr>
            <w:r>
              <w:rPr>
                <w:rFonts w:ascii="Arial" w:hAnsi="Arial" w:cs="Arial" w:eastAsia="Arial"/>
                <w:b w:val="0"/>
                <w:bCs w:val="0"/>
                <w:sz w:val="19"/>
                <w:szCs w:val="19"/>
              </w:rPr>
              <w:t>• خطة تغطية المتعاقدين، ومراجعة تطبيق البرنامج (‎1-10-5‎).</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الخطوة التالية</w:t>
            </w:r>
          </w:p>
        </w:tc>
        <w:tc>
          <w:tcPr>
            <w:tcW w:type="dxa" w:w="7483"/>
          </w:tcPr>
          <w:p>
            <w:pPr>
              <w:bidi/>
              <w:spacing w:after="20" w:line="252" w:lineRule="auto"/>
              <w:ind w:right="57"/>
            </w:pPr>
            <w:r/>
            <w:r>
              <w:rPr>
                <w:rFonts w:ascii="Arial" w:hAnsi="Arial" w:cs="Arial" w:eastAsia="Arial"/>
                <w:b w:val="0"/>
                <w:bCs w:val="0"/>
                <w:sz w:val="19"/>
                <w:szCs w:val="19"/>
              </w:rPr>
              <w:t>• طلب البرنامج المعتمد وسجلات بقية القنوات؛ واقتراح خطة لتغطية بقية الموظفين والمتعاقدين بأولوية للإدارات الأقل تغطية والأكثر تعرضاً للتصيد.</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الحكم ومبرره</w:t>
            </w:r>
          </w:p>
        </w:tc>
        <w:tc>
          <w:tcPr>
            <w:tcW w:type="dxa" w:w="7483"/>
          </w:tcPr>
          <w:p>
            <w:pPr>
              <w:bidi/>
              <w:spacing w:after="20" w:line="252" w:lineRule="auto"/>
            </w:pPr>
            <w:r/>
            <w:r>
              <w:rPr>
                <w:rFonts w:ascii="Arial" w:hAnsi="Arial" w:cs="Arial" w:eastAsia="Arial"/>
                <w:b w:val="1"/>
                <w:bCs w:val="1"/>
                <w:sz w:val="19"/>
                <w:szCs w:val="19"/>
              </w:rPr>
              <w:t>مطبق جزئياً</w:t>
            </w:r>
            <w:r>
              <w:rPr>
                <w:rFonts w:ascii="Arial" w:hAnsi="Arial" w:cs="Arial" w:eastAsia="Arial"/>
                <w:b w:val="0"/>
                <w:bCs w:val="0"/>
                <w:sz w:val="19"/>
                <w:szCs w:val="19"/>
              </w:rPr>
              <w:t>: يوجد تنفيذ فعلي موثق، لكن التغطية 28.6% من الموظفين، والمتعاقدون غير مشمولين، مع أن تعريف «العاملين» في الوثيقة يشمل المتعاقدين. يقبل «لا يمكن الحكم» إذا طلب المتدرب سجلات القنوات الأخرى قبل الحكم.</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أخطاء شائعة</w:t>
            </w:r>
          </w:p>
        </w:tc>
        <w:tc>
          <w:tcPr>
            <w:tcW w:type="dxa" w:w="7483"/>
          </w:tcPr>
          <w:p>
            <w:pPr>
              <w:bidi/>
              <w:spacing w:after="20" w:line="252" w:lineRule="auto"/>
              <w:ind w:right="57"/>
            </w:pPr>
            <w:r/>
            <w:r>
              <w:rPr>
                <w:rFonts w:ascii="Arial" w:hAnsi="Arial" w:cs="Arial" w:eastAsia="Arial"/>
                <w:b w:val="0"/>
                <w:bCs w:val="0"/>
                <w:sz w:val="19"/>
                <w:szCs w:val="19"/>
              </w:rPr>
              <w:t>• احتساب النسبة من 480 دون ذكر أن المتعاقدين غير مشمولين أصلاً.</w:t>
            </w:r>
          </w:p>
          <w:p>
            <w:pPr>
              <w:bidi/>
              <w:spacing w:after="20" w:line="252" w:lineRule="auto"/>
              <w:ind w:right="57"/>
            </w:pPr>
            <w:r>
              <w:rPr>
                <w:rFonts w:ascii="Arial" w:hAnsi="Arial" w:cs="Arial" w:eastAsia="Arial"/>
                <w:b w:val="0"/>
                <w:bCs w:val="0"/>
                <w:sz w:val="19"/>
                <w:szCs w:val="19"/>
              </w:rPr>
              <w:t>• اعتبار جلسة واحدة «برنامجاً».</w:t>
            </w:r>
          </w:p>
          <w:p>
            <w:pPr>
              <w:bidi/>
              <w:spacing w:after="20" w:line="252" w:lineRule="auto"/>
              <w:ind w:right="57"/>
            </w:pPr>
            <w:r>
              <w:rPr>
                <w:rFonts w:ascii="Arial" w:hAnsi="Arial" w:cs="Arial" w:eastAsia="Arial"/>
                <w:b w:val="0"/>
                <w:bCs w:val="0"/>
                <w:sz w:val="19"/>
                <w:szCs w:val="19"/>
              </w:rPr>
              <w:t>• الحكم «غير مطبق» دون الاعتراف بما يثبته الدليل.</w:t>
            </w:r>
          </w:p>
        </w:tc>
      </w:tr>
    </w:tbl>
    <w:p>
      <w:pPr>
        <w:spacing w:after="40"/>
      </w:pPr>
    </w:p>
    <w:p>
      <w:pPr>
        <w:keepNext/>
        <w:bidi/>
      </w:pPr>
      <w:r>
        <w:rPr>
          <w:rFonts w:ascii="Arial" w:hAnsi="Arial" w:cs="Arial" w:eastAsia="Arial"/>
          <w:b w:val="1"/>
          <w:bCs w:val="1"/>
          <w:sz w:val="20"/>
          <w:szCs w:val="20"/>
        </w:rPr>
        <w:t>تفصيل التغطية حسب الإدارة (للمدرب):</w:t>
      </w:r>
    </w:p>
    <w:p>
      <w:pPr>
        <w:bidi/>
      </w:pPr>
      <w:r>
        <w:rPr>
          <w:rFonts w:ascii="Arial" w:hAnsi="Arial" w:cs="Arial" w:eastAsia="Arial"/>
          <w:b w:val="0"/>
          <w:bCs w:val="0"/>
          <w:sz w:val="18"/>
          <w:szCs w:val="18"/>
        </w:rPr>
        <w:t>• مكتب الرئيس التنفيذي: 3 من 12 (25.0%)</w:t>
        <w:br/>
        <w:t>• الإدارة العامة للأمن السيبراني: 16 من 18 (88.9%)</w:t>
        <w:br/>
        <w:t>• الإدارة العامة لتقنية المعلومات: 38 من 64 (59.4%)</w:t>
        <w:br/>
        <w:t>• وكالة الخدمات الرقمية (مالك البوابة والتطبيق): 20 من 58 (34.5%)</w:t>
        <w:br/>
        <w:t>• الإدارة العامة للموارد البشرية: 9 من 26 (34.6%)</w:t>
        <w:br/>
        <w:t>• الإدارة العامة للمالية: 7 من 34 (20.6%)</w:t>
        <w:br/>
        <w:t>• إدارة المشتريات والعقود: 4 من 16 (25.0%)</w:t>
        <w:br/>
        <w:t>• إدارة المراجعة الداخلية: 3 من 9 (33.3%)</w:t>
        <w:br/>
        <w:t>• الإدارة القانونية: 1 من 8 (12.5%)</w:t>
        <w:br/>
        <w:t>• إدارة الوثائق والخدمات المشتركة: 6 من 41 (14.6%)</w:t>
        <w:br/>
        <w:t>• إدارة خدمة المستفيدين (مركز الاتصال): 5 من 96 (5.2%)</w:t>
        <w:br/>
        <w:t>• إدارة الاتصال المؤسسي: 4 من 14 (28.6%)</w:t>
        <w:br/>
        <w:t>• إدارة التخطيط والجودة: 4 من 24 (16.7%)</w:t>
      </w:r>
    </w:p>
    <w:p>
      <w:pPr>
        <w:pStyle w:val="Heading1"/>
        <w:bidi/>
      </w:pPr>
      <w:r>
        <w:rPr>
          <w:rFonts w:ascii="Arial" w:hAnsi="Arial" w:cs="Arial" w:eastAsia="Arial"/>
          <w:b w:val="0"/>
          <w:bCs w:val="0"/>
        </w:rPr>
        <w:t>E5: «ملحق الأمن السيبراني في عقد مركز العمليات المُدار»</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‎4-1-2-1‎: «بنود المحافظة على سرية المعلومات (Non-Disclosure Clauses) والحذف الآمن من قِبَل الطرف الخارجي لبيانات الجهة عند انتهاء الخدمة.»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‎4-1-2-2‎: «إجراءات التواصل في حال حدوث حادثة أمن سيبراني.»</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‎4-1-2-3‎: «إلزام الطرف الخارجي بتطبيق متطلبات وسياسات الأمن السيبراني للجهة والمتطلبات التشريعية والتنظيمية ذات العلاقة.»</w:t>
      </w:r>
    </w:p>
    <w:p>
      <w:pPr>
        <w:bidi/>
      </w:pPr>
      <w:r>
        <w:rPr>
          <w:rFonts w:ascii="Arial" w:hAnsi="Arial" w:cs="Arial" w:eastAsia="Arial"/>
          <w:b w:val="1"/>
          <w:bCs w:val="1"/>
          <w:color w:val="1F6F5C"/>
          <w:sz w:val="20"/>
          <w:szCs w:val="20"/>
        </w:rPr>
        <w:t>«متطلب رسمي»</w:t>
      </w:r>
      <w:r>
        <w:rPr>
          <w:rFonts w:ascii="Arial" w:hAnsi="Arial" w:cs="Arial" w:eastAsia="Arial"/>
          <w:b w:val="0"/>
          <w:bCs w:val="0"/>
          <w:sz w:val="20"/>
          <w:szCs w:val="20"/>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الضابط المرتبط</w:t>
            </w:r>
          </w:p>
        </w:tc>
        <w:tc>
          <w:tcPr>
            <w:tcW w:type="dxa" w:w="7483"/>
          </w:tcPr>
          <w:p>
            <w:pPr>
              <w:bidi/>
              <w:spacing w:after="20" w:line="252" w:lineRule="auto"/>
            </w:pPr>
            <w:r/>
            <w:r>
              <w:rPr>
                <w:rFonts w:ascii="Arial" w:hAnsi="Arial" w:cs="Arial" w:eastAsia="Arial"/>
                <w:b w:val="0"/>
                <w:bCs w:val="0"/>
                <w:sz w:val="19"/>
                <w:szCs w:val="19"/>
              </w:rPr>
              <w:t>الرئيسي: ‎4-1-2-1‎، ‎4-1-2-2‎، ‎4-1-2-3‎، ‎4-1-3-2‎</w:t>
            </w:r>
          </w:p>
          <w:p>
            <w:pPr>
              <w:bidi/>
              <w:spacing w:after="20" w:line="252" w:lineRule="auto"/>
            </w:pPr>
            <w:r>
              <w:rPr>
                <w:rFonts w:ascii="Arial" w:hAnsi="Arial" w:cs="Arial" w:eastAsia="Arial"/>
                <w:b w:val="0"/>
                <w:bCs w:val="0"/>
                <w:sz w:val="19"/>
                <w:szCs w:val="19"/>
              </w:rPr>
              <w:t>بدائل مقبولة: ‎4-1-2‎ أو ‎4-1-3‎ على مستوى الضابط الأساسي (درجة جزئية)، و‎4-1-1‎.</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يثبته الدليل</w:t>
            </w:r>
          </w:p>
        </w:tc>
        <w:tc>
          <w:tcPr>
            <w:tcW w:type="dxa" w:w="7483"/>
          </w:tcPr>
          <w:p>
            <w:pPr>
              <w:bidi/>
              <w:spacing w:after="20" w:line="252" w:lineRule="auto"/>
              <w:ind w:right="57"/>
            </w:pPr>
            <w:r/>
            <w:r>
              <w:rPr>
                <w:rFonts w:ascii="Arial" w:hAnsi="Arial" w:cs="Arial" w:eastAsia="Arial"/>
                <w:b w:val="0"/>
                <w:bCs w:val="0"/>
                <w:sz w:val="19"/>
                <w:szCs w:val="19"/>
              </w:rPr>
              <w:t>• ملحق موقع في ‎2026-09-24‎ للعقد MDR-2026-014 يتضمن: السرية خلال العقد وبعده مع الحذف الآمن خلال 30 يوماً بشهادة (‎4-1-2-1‎)، والإبلاغ خلال 24 ساعة عبر مصفوفة تواصل (‎4-1-2-2‎)، والإلزام بسياسات الجهة والمتطلبات التشريعية والتنظيمية (‎4-1-2-3‎)، وحق التدقيق، والموافقة المسبقة على التعاقد من الباطن.</w:t>
            </w:r>
          </w:p>
          <w:p>
            <w:pPr>
              <w:bidi/>
              <w:spacing w:after="20" w:line="252" w:lineRule="auto"/>
              <w:ind w:right="57"/>
            </w:pPr>
            <w:r>
              <w:rPr>
                <w:rFonts w:ascii="Arial" w:hAnsi="Arial" w:cs="Arial" w:eastAsia="Arial"/>
                <w:b w:val="0"/>
                <w:bCs w:val="0"/>
                <w:sz w:val="19"/>
                <w:szCs w:val="19"/>
              </w:rPr>
              <w:t>• البند 4 يطابق نص ‎4-1-3-2‎: مراكز عمليات خدمات الأمن السيبراني المدارة للتشغيل والمراقبة التي تستخدم الوصول عن بعد موجودة بالكامل داخل المملكة.</w:t>
            </w:r>
          </w:p>
          <w:p>
            <w:pPr>
              <w:bidi/>
              <w:spacing w:after="20" w:line="252" w:lineRule="auto"/>
              <w:ind w:right="57"/>
            </w:pPr>
            <w:r>
              <w:rPr>
                <w:rFonts w:ascii="Arial" w:hAnsi="Arial" w:cs="Arial" w:eastAsia="Arial"/>
                <w:b w:val="0"/>
                <w:bCs w:val="0"/>
                <w:sz w:val="19"/>
                <w:szCs w:val="19"/>
              </w:rPr>
              <w:t>• الملحق يُقدَّم على ما يخالفه من بنود العقد.</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لا يثبته الدليل</w:t>
            </w:r>
          </w:p>
        </w:tc>
        <w:tc>
          <w:tcPr>
            <w:tcW w:type="dxa" w:w="7483"/>
          </w:tcPr>
          <w:p>
            <w:pPr>
              <w:bidi/>
              <w:spacing w:after="20" w:line="252" w:lineRule="auto"/>
              <w:ind w:right="57"/>
            </w:pPr>
            <w:r/>
            <w:r>
              <w:rPr>
                <w:rFonts w:ascii="Arial" w:hAnsi="Arial" w:cs="Arial" w:eastAsia="Arial"/>
                <w:b w:val="0"/>
                <w:bCs w:val="0"/>
                <w:sz w:val="19"/>
                <w:szCs w:val="19"/>
              </w:rPr>
              <w:t>• لا يثبت تقييم المخاطر قبل توقيع العقد الأصلي (‎2026-03-10‎) كما يطلب ‎4-1-3-1‎؛ الملحق لاحق للتوقيع بطبيعته.</w:t>
            </w:r>
          </w:p>
          <w:p>
            <w:pPr>
              <w:bidi/>
              <w:spacing w:after="20" w:line="252" w:lineRule="auto"/>
              <w:ind w:right="57"/>
            </w:pPr>
            <w:r>
              <w:rPr>
                <w:rFonts w:ascii="Arial" w:hAnsi="Arial" w:cs="Arial" w:eastAsia="Arial"/>
                <w:b w:val="0"/>
                <w:bCs w:val="0"/>
                <w:sz w:val="19"/>
                <w:szCs w:val="19"/>
              </w:rPr>
              <w:t>• لا يثبت الالتزام الفعلي: أن عمليات المراقبة عن بعد تتم الآن فعلاً من داخل المملكة فقط، أو أن الإبلاغ يتم خلال 24 ساعة.</w:t>
            </w:r>
          </w:p>
          <w:p>
            <w:pPr>
              <w:bidi/>
              <w:spacing w:after="20" w:line="252" w:lineRule="auto"/>
              <w:ind w:right="57"/>
            </w:pPr>
            <w:r>
              <w:rPr>
                <w:rFonts w:ascii="Arial" w:hAnsi="Arial" w:cs="Arial" w:eastAsia="Arial"/>
                <w:b w:val="0"/>
                <w:bCs w:val="0"/>
                <w:sz w:val="19"/>
                <w:szCs w:val="19"/>
              </w:rPr>
              <w:t>• لا يثبت مراجعة دورية للمتطلبات (‎4-1-4‎).</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المعلومات الناقصة</w:t>
            </w:r>
          </w:p>
        </w:tc>
        <w:tc>
          <w:tcPr>
            <w:tcW w:type="dxa" w:w="7483"/>
          </w:tcPr>
          <w:p>
            <w:pPr>
              <w:bidi/>
              <w:spacing w:after="20" w:line="252" w:lineRule="auto"/>
              <w:ind w:right="57"/>
            </w:pPr>
            <w:r/>
            <w:r>
              <w:rPr>
                <w:rFonts w:ascii="Arial" w:hAnsi="Arial" w:cs="Arial" w:eastAsia="Arial"/>
                <w:b w:val="0"/>
                <w:bCs w:val="0"/>
                <w:sz w:val="19"/>
                <w:szCs w:val="19"/>
              </w:rPr>
              <w:t>• تقييم المخاطر المؤرخ قبل توقيع العقد الأصلي.</w:t>
            </w:r>
          </w:p>
          <w:p>
            <w:pPr>
              <w:bidi/>
              <w:spacing w:after="20" w:line="252" w:lineRule="auto"/>
              <w:ind w:right="57"/>
            </w:pPr>
            <w:r>
              <w:rPr>
                <w:rFonts w:ascii="Arial" w:hAnsi="Arial" w:cs="Arial" w:eastAsia="Arial"/>
                <w:b w:val="0"/>
                <w:bCs w:val="0"/>
                <w:sz w:val="19"/>
                <w:szCs w:val="19"/>
              </w:rPr>
              <w:t>• كشف فريق المورد الحالي ومواقعهم، وسجلات الوصول عن بعد إلى منصات الجهة ومصادرها.</w:t>
            </w:r>
          </w:p>
          <w:p>
            <w:pPr>
              <w:bidi/>
              <w:spacing w:after="20" w:line="252" w:lineRule="auto"/>
              <w:ind w:right="57"/>
            </w:pPr>
            <w:r>
              <w:rPr>
                <w:rFonts w:ascii="Arial" w:hAnsi="Arial" w:cs="Arial" w:eastAsia="Arial"/>
                <w:b w:val="0"/>
                <w:bCs w:val="0"/>
                <w:sz w:val="19"/>
                <w:szCs w:val="19"/>
              </w:rPr>
              <w:t>• سجل الحوادث المبلغة بعد الملحق وتوقيت إبلاغها.</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الخطوة التالية</w:t>
            </w:r>
          </w:p>
        </w:tc>
        <w:tc>
          <w:tcPr>
            <w:tcW w:type="dxa" w:w="7483"/>
          </w:tcPr>
          <w:p>
            <w:pPr>
              <w:bidi/>
              <w:spacing w:after="20" w:line="252" w:lineRule="auto"/>
              <w:ind w:right="57"/>
            </w:pPr>
            <w:r/>
            <w:r>
              <w:rPr>
                <w:rFonts w:ascii="Arial" w:hAnsi="Arial" w:cs="Arial" w:eastAsia="Arial"/>
                <w:b w:val="0"/>
                <w:bCs w:val="0"/>
                <w:sz w:val="19"/>
                <w:szCs w:val="19"/>
              </w:rPr>
              <w:t>• التحقق من التطبيق الفعلي: مراجعة سجلات الوصول وكشف الفريق، واختبار مصفوفة التواصل، وجدولة أول تدقيق بموجب البند 5.</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الحكم ومبرره</w:t>
            </w:r>
          </w:p>
        </w:tc>
        <w:tc>
          <w:tcPr>
            <w:tcW w:type="dxa" w:w="7483"/>
          </w:tcPr>
          <w:p>
            <w:pPr>
              <w:bidi/>
              <w:spacing w:after="20" w:line="252" w:lineRule="auto"/>
            </w:pPr>
            <w:r/>
            <w:r>
              <w:rPr>
                <w:rFonts w:ascii="Arial" w:hAnsi="Arial" w:cs="Arial" w:eastAsia="Arial"/>
                <w:b w:val="1"/>
                <w:bCs w:val="1"/>
                <w:sz w:val="19"/>
                <w:szCs w:val="19"/>
              </w:rPr>
              <w:t>مطبق على مستوى النص التعاقدي</w:t>
            </w:r>
            <w:r>
              <w:rPr>
                <w:rFonts w:ascii="Arial" w:hAnsi="Arial" w:cs="Arial" w:eastAsia="Arial"/>
                <w:b w:val="0"/>
                <w:bCs w:val="0"/>
                <w:sz w:val="19"/>
                <w:szCs w:val="19"/>
              </w:rPr>
              <w:t xml:space="preserve"> لـ ‎4-1-2‎ و‎4-1-3-2‎، و</w:t>
            </w:r>
            <w:r>
              <w:rPr>
                <w:rFonts w:ascii="Arial" w:hAnsi="Arial" w:cs="Arial" w:eastAsia="Arial"/>
                <w:b w:val="1"/>
                <w:bCs w:val="1"/>
                <w:sz w:val="19"/>
                <w:szCs w:val="19"/>
              </w:rPr>
              <w:t>لا يمكن الحكم</w:t>
            </w:r>
            <w:r>
              <w:rPr>
                <w:rFonts w:ascii="Arial" w:hAnsi="Arial" w:cs="Arial" w:eastAsia="Arial"/>
                <w:b w:val="0"/>
                <w:bCs w:val="0"/>
                <w:sz w:val="19"/>
                <w:szCs w:val="19"/>
              </w:rPr>
              <w:t xml:space="preserve"> على ‎4-1-3-1‎ والتطبيق الفعلي. يقبل «مطبق جزئياً» على مستوى المكون الفرعي إذا ميز المتدرب بين قوة البنود وغياب دليل التقييم المسبق.</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أخطاء شائعة</w:t>
            </w:r>
          </w:p>
        </w:tc>
        <w:tc>
          <w:tcPr>
            <w:tcW w:type="dxa" w:w="7483"/>
          </w:tcPr>
          <w:p>
            <w:pPr>
              <w:bidi/>
              <w:spacing w:after="20" w:line="252" w:lineRule="auto"/>
              <w:ind w:right="57"/>
            </w:pPr>
            <w:r/>
            <w:r>
              <w:rPr>
                <w:rFonts w:ascii="Arial" w:hAnsi="Arial" w:cs="Arial" w:eastAsia="Arial"/>
                <w:b w:val="0"/>
                <w:bCs w:val="0"/>
                <w:sz w:val="19"/>
                <w:szCs w:val="19"/>
              </w:rPr>
              <w:t>• اعتبار الملحق دليلاً على تقييم المخاطر المسبق.</w:t>
            </w:r>
          </w:p>
          <w:p>
            <w:pPr>
              <w:bidi/>
              <w:spacing w:after="20" w:line="252" w:lineRule="auto"/>
              <w:ind w:right="57"/>
            </w:pPr>
            <w:r>
              <w:rPr>
                <w:rFonts w:ascii="Arial" w:hAnsi="Arial" w:cs="Arial" w:eastAsia="Arial"/>
                <w:b w:val="0"/>
                <w:bCs w:val="0"/>
                <w:sz w:val="19"/>
                <w:szCs w:val="19"/>
              </w:rPr>
              <w:t>• اعتبار النص التعاقدي دليلاً على الممارسة.</w:t>
            </w:r>
          </w:p>
          <w:p>
            <w:pPr>
              <w:bidi/>
              <w:spacing w:after="20" w:line="252" w:lineRule="auto"/>
              <w:ind w:right="57"/>
            </w:pPr>
            <w:r>
              <w:rPr>
                <w:rFonts w:ascii="Arial" w:hAnsi="Arial" w:cs="Arial" w:eastAsia="Arial"/>
                <w:b w:val="0"/>
                <w:bCs w:val="0"/>
                <w:sz w:val="19"/>
                <w:szCs w:val="19"/>
              </w:rPr>
              <w:t>• تطبيق ‎4-1-3-2‎ على كل خدمة مدارة؛ الضابط خاص بمراكز عمليات خدمات الأمن السيبراني المدارة للتشغيل والمراقبة التي تستخدم الوصول عن بعد.</w:t>
            </w:r>
          </w:p>
        </w:tc>
      </w:tr>
    </w:tbl>
    <w:p>
      <w:pPr>
        <w:spacing w:after="40"/>
      </w:pPr>
    </w:p>
    <w:p>
      <w:pPr>
        <w:pStyle w:val="Heading1"/>
        <w:bidi/>
      </w:pPr>
      <w:r>
        <w:rPr>
          <w:rFonts w:ascii="Arial" w:hAnsi="Arial" w:cs="Arial" w:eastAsia="Arial"/>
          <w:b w:val="0"/>
          <w:bCs w:val="0"/>
        </w:rPr>
        <w:t>قواعد عامة للمصحح</w:t>
      </w:r>
    </w:p>
    <w:p>
      <w:pPr>
        <w:bidi/>
        <w:spacing w:after="60"/>
        <w:ind w:right="283" w:hanging="255"/>
      </w:pPr>
      <w:r>
        <w:rPr>
          <w:rFonts w:ascii="Arial" w:hAnsi="Arial" w:cs="Arial" w:eastAsia="Arial"/>
          <w:b w:val="0"/>
          <w:bCs w:val="0"/>
          <w:sz w:val="21"/>
          <w:szCs w:val="21"/>
        </w:rPr>
        <w:t>• اقبل أي ضابط بديل يبرره المتدرب بالدليل، وامنح الدرجتين كاملتين إن كان الربط صحيحاً.</w:t>
      </w:r>
    </w:p>
    <w:p>
      <w:pPr>
        <w:bidi/>
        <w:spacing w:after="60"/>
        <w:ind w:right="283" w:hanging="255"/>
      </w:pPr>
      <w:r>
        <w:rPr>
          <w:rFonts w:ascii="Arial" w:hAnsi="Arial" w:cs="Arial" w:eastAsia="Arial"/>
          <w:b w:val="0"/>
          <w:bCs w:val="0"/>
          <w:sz w:val="21"/>
          <w:szCs w:val="21"/>
        </w:rPr>
        <w:t>• المتدرب الذي يكتب رقم الضابط الصحيح فقط دون تحليل يحصل على 2 من 20 على الأكثر.</w:t>
      </w:r>
    </w:p>
    <w:p>
      <w:pPr>
        <w:bidi/>
        <w:spacing w:after="60"/>
        <w:ind w:right="283" w:hanging="255"/>
      </w:pPr>
      <w:r>
        <w:rPr>
          <w:rFonts w:ascii="Arial" w:hAnsi="Arial" w:cs="Arial" w:eastAsia="Arial"/>
          <w:b w:val="0"/>
          <w:bCs w:val="0"/>
          <w:sz w:val="21"/>
          <w:szCs w:val="21"/>
        </w:rPr>
        <w:t>• المتدرب الذي يحلل تحليلاً صحيحاً برقم ضابط خاطئ يمكن أن يحصل على 18 من 20.</w:t>
      </w:r>
    </w:p>
    <w:p>
      <w:pPr>
        <w:bidi/>
        <w:spacing w:after="60"/>
        <w:ind w:right="283" w:hanging="255"/>
      </w:pPr>
      <w:r>
        <w:rPr>
          <w:rFonts w:ascii="Arial" w:hAnsi="Arial" w:cs="Arial" w:eastAsia="Arial"/>
          <w:b w:val="0"/>
          <w:bCs w:val="0"/>
          <w:sz w:val="21"/>
          <w:szCs w:val="21"/>
        </w:rPr>
        <w:t>• الحكم المختلف عن المفتاح يأخذ درجة كاملة إذا اتسق مع ما كتبه المتدرب في «ما يثبته» و«ما لا يثبته».</w:t>
      </w:r>
    </w:p>
    <w:p>
      <w:pPr>
        <w:bidi/>
        <w:spacing w:after="60"/>
        <w:ind w:right="283" w:hanging="255"/>
      </w:pPr>
      <w:r>
        <w:rPr>
          <w:rFonts w:ascii="Arial" w:hAnsi="Arial" w:cs="Arial" w:eastAsia="Arial"/>
          <w:b w:val="0"/>
          <w:bCs w:val="0"/>
          <w:sz w:val="21"/>
          <w:szCs w:val="21"/>
        </w:rPr>
        <w:t>• لا تمنح درجة لعبارات عامة مثل «نحتاج أدلة إضافية» دون تحديد.</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اختبار الأداء النهائي — تقييم الأدلة — مفتاح الحل ومعيار التصحيح</w:t>
    </w:r>
  </w:p>
  <w:p>
    <w:pPr>
      <w:bidi/>
    </w:pPr>
    <w:r>
      <w:rPr>
        <w:rFonts w:ascii="Arial" w:hAnsi="Arial" w:cs="Arial" w:eastAsia="Arial"/>
        <w:b w:val="1"/>
        <w:bCs w:val="1"/>
        <w:color w:val="A61B1B"/>
        <w:sz w:val="17"/>
        <w:szCs w:val="17"/>
      </w:rPr>
      <w:t>للمدرب فقط — لا يوزَّع على المتدربين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مفتاح حل اختبار الأداء</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