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ملحق تسليم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معلومات بقيت دون تحقق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قائمة صريحة بما لم يُتحقق منه من المصادر، وسببه، وأثره على العرض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الكورس 3 · تطبيق الضوابط الأساسية للأمن السيبراني ECC-2:2024 — ملف للكورس</w:t>
      </w:r>
    </w:p>
    <w:tbl>
      <w:tblPr>
        <w:tblStyle w:val="TableGrid"/>
        <w:bidiVisual/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1530"/>
        <w:gridCol w:w="2948"/>
        <w:gridCol w:w="2948"/>
      </w:tblGrid>
      <w:tr>
        <w:trPr>
          <w:cantSplit/>
          <w:tblHeader/>
        </w:trPr>
        <w:tc>
          <w:tcPr>
            <w:tcW w:type="dxa" w:w="243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المعلومة</w:t>
            </w:r>
          </w:p>
        </w:tc>
        <w:tc>
          <w:tcPr>
            <w:tcW w:type="dxa" w:w="153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الإصدار</w:t>
            </w:r>
          </w:p>
        </w:tc>
        <w:tc>
          <w:tcPr>
            <w:tcW w:type="dxa" w:w="294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السبب</w:t>
            </w:r>
          </w:p>
        </w:tc>
        <w:tc>
          <w:tcPr>
            <w:tcW w:type="dxa" w:w="294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الأثر على العرض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مهلة الإبلاغ عن الحوادث للهيئة</w:t>
            </w:r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لا ترد في ECC ولم تُفتح تعليمات الهيئة الخاصة بالإبلاغ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العرض لا يذكر مهلة زمنية للإبلاغ؛ يكتفي بأن ‎2-13-3-3‎ متطلب وطني ويحيل إلى تعليمات الهيئة.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أداة ECC-2:2024 Assessment and Compliance Tool (وجودها وإصدارها)</w:t>
            </w:r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لم تُفتح صفحة الأداة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العرض يقول إن الهيئة تصدر أداة للتقييم كما ينص الإطار، ولا يذكر اسم الأداة أو إصدارها.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أعداد ومكونات ECC-1:2018</w:t>
            </w:r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ECC-1:2018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لم يُفتح نص ECC-1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العرض يذكر ECC-1:2018 بوصفه الإصدار الأول فقط، دون أعداد أو مقارنة تفصيلية.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وجود مدة 12 شهراً للاحتفاظ بالسجلات في أطر دولية أخرى</w:t>
            </w:r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خارج نطاق المصادر المفتوحة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مدة 12 شهراً في العرض منسوبة إلى ECC-2:2024 (‎2-12-3-5‎) فقط، لا إلى أطر أخرى.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المعايير الوطنية للتشفير NCS-1:2020 وخوارزمياتها (الشريحة 104)</w:t>
            </w:r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NCS-1:2020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لم تُفتح الوثيقة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العرض يحيل إلى المعايير الوطنية للتشفير كما يحيل إليها ‎2-8-3‎، ولا يسرد خوارزميات أو أطوال مفاتيح.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النص الإنجليزي لـ DCC-1:2022</w:t>
            </w:r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DCC-1:2022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نُزّل الملف لكن نصه غير قابل للاستخراج (صور)</w:t>
            </w:r>
          </w:p>
        </w:tc>
        <w:tc>
          <w:tcPr>
            <w:tcW w:type="dxa" w:w="294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غير مستخدم؛ الاعتماد على النص العربي لـ DCC-1:2022 (‎2-6-1-1‎ إلى ‎2-6-1-5‎).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افتراضات تدريبية (ليست متطلبات من الهيئة)</w:t>
      </w:r>
    </w:p>
    <w:tbl>
      <w:tblPr>
        <w:tblStyle w:val="TableGrid"/>
        <w:bidiVisual/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2607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الافتراض</w:t>
            </w:r>
          </w:p>
        </w:tc>
        <w:tc>
          <w:tcPr>
            <w:tcW w:type="dxa" w:w="4535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وضعه</w:t>
            </w:r>
          </w:p>
        </w:tc>
        <w:tc>
          <w:tcPr>
            <w:tcW w:type="dxa" w:w="272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أين يظهر (النسخة المصححة)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الجهة «هيئة المدار للخدمات الرقمية» وكل بياناتها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افتراضية بالكامل: الأسماء والأرقام والتواريخ في نماذج الأدلة والتطبيقات واختبار الأداء من إعداد الكورس.</w:t>
            </w:r>
          </w:p>
        </w:tc>
        <w:tc>
          <w:tcPr>
            <w:tcW w:type="dxa" w:w="272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الشريحة 68، الشريحة 85، الشريحة 169، الشريحة 174، الشريحة 180، الشريحة 185، المرفقات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تعريف «الإلغاء المباشر» بساعة واحدة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افتراض تدريبي من إجراء الجهة الافتراضية. الضابط ‎1-9-5‎ يقول «مباشرة» دون مدة؛ على كل جهة أن تحدد المعنى في إجرائها.</w:t>
            </w:r>
          </w:p>
        </w:tc>
        <w:tc>
          <w:tcPr>
            <w:tcW w:type="dxa" w:w="272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الشريحة 68، الشريحة 69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مدد خارطة الطريق (0–3، 3–9، 9–18 شهراً) ومدد التطبيق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مدد تخطيط افتراضية، وليست مهلة امتثال من الهيئة؛ الترتيب يتبع المخاطر والاعتماديات والتعليمات النافذة.</w:t>
            </w:r>
          </w:p>
        </w:tc>
        <w:tc>
          <w:tcPr>
            <w:tcW w:type="dxa" w:w="272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الشريحة 36، الشريحة 172، الشريحة 173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التكرارات في تقويم الاستدامة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مقترحة من الكورس، إلا ما نص عليه الإطار أو متطلبات أخرى نافذة على الجهة.</w:t>
            </w:r>
          </w:p>
        </w:tc>
        <w:tc>
          <w:tcPr>
            <w:tcW w:type="dxa" w:w="272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الشريحة 167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الأهداف الداخلية للمؤشرات (مثل 90% للسجلات، ونقر 5% أو أقل)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أهداف داخلية افتراضية؛ تحقيقها لا يعني اكتمال المتطلب التنظيمي.</w:t>
            </w:r>
          </w:p>
        </w:tc>
        <w:tc>
          <w:tcPr>
            <w:tcW w:type="dxa" w:w="272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الشريحة 168، الشريحة 169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ممارسات «كيف يُطبق» و«الدليل المقترح» في جداول الضوابط</w:t>
            </w:r>
          </w:p>
        </w:tc>
        <w:tc>
          <w:tcPr>
            <w:tcW w:type="dxa" w:w="453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ممارسات مقترحة للتطبيق، وليست متطلبات منسوبة إلى الهيئة؛ عمود «المطلوب» وحده يعيد صياغة النص الرسمي.</w:t>
            </w:r>
          </w:p>
        </w:tc>
        <w:tc>
          <w:tcPr>
            <w:tcW w:type="dxa" w:w="272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جداول الضوابط في الوحدات 04 إلى 07</w:t>
            </w:r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فحوص لم تُنفذ</w:t>
      </w:r>
    </w:p>
    <w:p>
      <w:pPr>
        <w:bidi/>
      </w:pPr>
      <w:r>
        <w:rPr>
          <w:rFonts w:ascii="Arial" w:hAnsi="Arial" w:cs="Arial" w:eastAsia="Arial"/>
          <w:b w:val="0"/>
          <w:bCs w:val="0"/>
        </w:rPr>
        <w:t>• لم يُفتح ملف العرض في Microsoft PowerPoint. الفحص البصري تم على تحويل LibreOffice للملف وعلى مرجع Chromium، وقد تختلف فواصل الأسطر قليلاً في PowerPoint.</w:t>
      </w:r>
    </w:p>
    <w:p>
      <w:pPr>
        <w:bidi/>
      </w:pPr>
      <w:r>
        <w:rPr>
          <w:rFonts w:ascii="Arial" w:hAnsi="Arial" w:cs="Arial" w:eastAsia="Arial"/>
          <w:b w:val="0"/>
          <w:bCs w:val="0"/>
        </w:rPr>
        <w:t>• الخطوط (Alexandria وIBM Plex Sans Arabic وIBM Plex Mono) غير مضمنة في ملف العرض؛ يلزم تثبيتها من مجلد الخطوط قبل الفتح، وإلا استبدلها البرنامج.</w:t>
      </w:r>
    </w:p>
    <w:p>
      <w:pPr>
        <w:bidi/>
      </w:pPr>
      <w:r>
        <w:rPr>
          <w:rFonts w:ascii="Arial" w:hAnsi="Arial" w:cs="Arial" w:eastAsia="Arial"/>
          <w:b w:val="0"/>
          <w:bCs w:val="0"/>
        </w:rPr>
        <w:t>• ملفات Word وExcel فُحصت بعد تحويلها إلى PDF في LibreOffice، لا في Microsoft Office.</w:t>
      </w:r>
    </w:p>
    <w:p>
      <w:pPr>
        <w:bidi/>
      </w:pPr>
      <w:r>
        <w:rPr>
          <w:rFonts w:ascii="Arial" w:hAnsi="Arial" w:cs="Arial" w:eastAsia="Arial"/>
          <w:b w:val="0"/>
          <w:bCs w:val="0"/>
        </w:rPr>
        <w:t>• الروابط اختُبرت باستجابة HTTP بتاريخ ‎2026-10-19‎؛ ومحتوى كل مصدر تحقق منه في التاريخ المذكور في سجل المصادر.</w:t>
      </w:r>
    </w:p>
    <w:p>
      <w:pPr>
        <w:bidi/>
      </w:pPr>
      <w:r>
        <w:rPr>
          <w:rFonts w:ascii="Arial" w:hAnsi="Arial" w:cs="Arial" w:eastAsia="Arial"/>
          <w:b w:val="0"/>
          <w:bCs w:val="0"/>
        </w:rPr>
        <w:t>• المراجعة تمت مقابل الوثائق الرسمية المنشورة فقط، ولم يراجع المحتوى خبير بشري أو الهيئة الوطنية للأمن السيبراني.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الكورس 3 · تطبيق الضوابط الأساسية للأمن السيبراني ECC-2:2024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نسخة مصححة · ECC-2:2024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معلومات لم يتم التحقق منها</dc:title>
  <dc:subject/>
  <dc:creator>فريق التدريب — بيانات افتراضية</dc:creator>
  <cp:keywords>ECC-2:2024; الكورس 3 · تطبيق الضوابط الأساسية للأمن السيبراني ECC-2:2024</cp:keywords>
  <dc:description>الكورس 3 · تطبيق الضوابط الأساسية للأمن السيبراني ECC-2:2024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