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eastAsia="Arial"/>
          <w:b w:val="0"/>
          <w:bCs w:val="0"/>
          <w:color w:val="555555"/>
          <w:sz w:val="20"/>
          <w:szCs w:val="20"/>
        </w:rPr>
        <w:t>للمؤلف</w:t>
      </w:r>
    </w:p>
    <w:p>
      <w:pPr>
        <w:bidi/>
        <w:spacing w:after="80"/>
        <w:jc w:val="center"/>
      </w:pPr>
      <w:r>
        <w:rPr>
          <w:rFonts w:ascii="Arial" w:hAnsi="Arial" w:cs="Arial" w:eastAsia="Arial"/>
          <w:b w:val="1"/>
          <w:bCs w:val="1"/>
          <w:color w:val="1F3A5F"/>
          <w:sz w:val="40"/>
          <w:szCs w:val="40"/>
        </w:rPr>
        <w:t>ملخص التغييرات والمعلومات الدورية</w:t>
      </w:r>
    </w:p>
    <w:p>
      <w:pPr>
        <w:bidi/>
        <w:spacing w:after="200"/>
        <w:jc w:val="center"/>
      </w:pPr>
      <w:r>
        <w:rPr>
          <w:rFonts w:ascii="Arial" w:hAnsi="Arial" w:cs="Arial" w:eastAsia="Arial"/>
          <w:b w:val="0"/>
          <w:bCs w:val="0"/>
          <w:color w:val="333333"/>
          <w:sz w:val="24"/>
          <w:szCs w:val="24"/>
        </w:rPr>
        <w:t>كيف تبدأ في GRC · النسخة 2 · 27 أكتوبر 2026</w:t>
      </w:r>
    </w:p>
    <w:p>
      <w:pPr>
        <w:bidi/>
        <w:spacing w:after="240"/>
        <w:jc w:val="center"/>
      </w:pPr>
      <w:r>
        <w:rPr>
          <w:rFonts w:ascii="Arial" w:hAnsi="Arial" w:cs="Arial" w:eastAsia="Arial"/>
          <w:b w:val="1"/>
          <w:bCs w:val="1"/>
          <w:color w:val="A61B1B"/>
          <w:sz w:val="19"/>
          <w:szCs w:val="19"/>
        </w:rPr>
        <w:t>بيانات تدريبية افتراضية — رُفاد للخدمات اللوجستية (شركة افتراضية لأغراض التدريب)</w:t>
      </w:r>
    </w:p>
    <w:p>
      <w:pPr>
        <w:pStyle w:val="Heading1"/>
        <w:bidi/>
      </w:pPr>
      <w:r>
        <w:rPr>
          <w:rFonts w:ascii="Arial" w:hAnsi="Arial" w:cs="Arial" w:eastAsia="Arial"/>
          <w:b w:val="0"/>
          <w:bCs w:val="0"/>
        </w:rPr>
        <w:t>أهم التغييرات</w:t>
      </w:r>
    </w:p>
    <w:p>
      <w:pPr>
        <w:pStyle w:val="Heading2"/>
        <w:bidi/>
      </w:pPr>
      <w:r>
        <w:rPr>
          <w:rFonts w:ascii="Arial" w:hAnsi="Arial" w:cs="Arial" w:eastAsia="Arial"/>
          <w:b w:val="0"/>
          <w:bCs w:val="0"/>
        </w:rPr>
        <w:t>البنية</w:t>
      </w:r>
    </w:p>
    <w:p>
      <w:pPr>
        <w:bidi/>
        <w:spacing w:after="60"/>
        <w:ind w:right="283" w:hanging="255"/>
      </w:pPr>
      <w:r>
        <w:rPr>
          <w:rFonts w:ascii="Arial" w:hAnsi="Arial" w:cs="Arial" w:eastAsia="Arial"/>
          <w:b w:val="0"/>
          <w:bCs w:val="0"/>
          <w:sz w:val="21"/>
          <w:szCs w:val="21"/>
        </w:rPr>
        <w:t>• من 59 شريحة إلى 165: الوحدات الثماني كما هي، وملحق مرجعي من 14 شريحة في آخر العرض.</w:t>
      </w:r>
    </w:p>
    <w:p>
      <w:pPr>
        <w:bidi/>
        <w:spacing w:after="60"/>
        <w:ind w:right="283" w:hanging="255"/>
      </w:pPr>
      <w:r>
        <w:rPr>
          <w:rFonts w:ascii="Arial" w:hAnsi="Arial" w:cs="Arial" w:eastAsia="Arial"/>
          <w:b w:val="0"/>
          <w:bCs w:val="0"/>
          <w:sz w:val="21"/>
          <w:szCs w:val="21"/>
        </w:rPr>
        <w:t>• كل موضوع يسير بالترتيب نفسه: شرح مبسط، ثم مثال محلول، ثم تمرين «توقف وطبّق»، ثم إجابة نموذجية مع سببها وأخطائها الشائعة.</w:t>
      </w:r>
    </w:p>
    <w:p>
      <w:pPr>
        <w:bidi/>
        <w:spacing w:after="60"/>
        <w:ind w:right="283" w:hanging="255"/>
      </w:pPr>
      <w:r>
        <w:rPr>
          <w:rFonts w:ascii="Arial" w:hAnsi="Arial" w:cs="Arial" w:eastAsia="Arial"/>
          <w:b w:val="0"/>
          <w:bCs w:val="0"/>
          <w:sz w:val="21"/>
          <w:szCs w:val="21"/>
        </w:rPr>
        <w:t>• شريحة النتائج تحدد ما يقدمه الكورس وما لا يقدمه: تأسيس لمهام أولى، لا تأهيل كامل لإدارة برنامج GRC ولا لتطبيق ECC كاملاً (الشريحة 2).</w:t>
      </w:r>
    </w:p>
    <w:p>
      <w:pPr>
        <w:pStyle w:val="Heading2"/>
        <w:bidi/>
      </w:pPr>
      <w:r>
        <w:rPr>
          <w:rFonts w:ascii="Arial" w:hAnsi="Arial" w:cs="Arial" w:eastAsia="Arial"/>
          <w:b w:val="0"/>
          <w:bCs w:val="0"/>
        </w:rPr>
        <w:t>الحالة العملية</w:t>
      </w:r>
    </w:p>
    <w:p>
      <w:pPr>
        <w:bidi/>
        <w:spacing w:after="60"/>
        <w:ind w:right="283" w:hanging="255"/>
      </w:pPr>
      <w:r>
        <w:rPr>
          <w:rFonts w:ascii="Arial" w:hAnsi="Arial" w:cs="Arial" w:eastAsia="Arial"/>
          <w:b w:val="0"/>
          <w:bCs w:val="0"/>
          <w:sz w:val="21"/>
          <w:szCs w:val="21"/>
        </w:rPr>
        <w:t>• «رُفاد للخدمات اللوجستية»: شركة افتراضية في الرياض، نحو 200 موظف، بنظام موارد بشرية ورواتب سحابي، وبريد وملفات سحابية، وتطبيق تتبع، ومورد دعم تقني (الشريحتين 6 و7).</w:t>
      </w:r>
    </w:p>
    <w:p>
      <w:pPr>
        <w:bidi/>
        <w:spacing w:after="60"/>
        <w:ind w:right="283" w:hanging="255"/>
      </w:pPr>
      <w:r>
        <w:rPr>
          <w:rFonts w:ascii="Arial" w:hAnsi="Arial" w:cs="Arial" w:eastAsia="Arial"/>
          <w:b w:val="0"/>
          <w:bCs w:val="0"/>
          <w:sz w:val="21"/>
          <w:szCs w:val="21"/>
        </w:rPr>
        <w:t>• مذكور صراحة أن بياناتها وأسماءها وأدلتها افتراضية، وأنها تتبنى ECC-2:2024 ومصفوفة NFCRM طوعاً للحالة التدريبية، لا إلزاماً.</w:t>
      </w:r>
    </w:p>
    <w:p>
      <w:pPr>
        <w:bidi/>
        <w:spacing w:after="60"/>
        <w:ind w:right="283" w:hanging="255"/>
      </w:pPr>
      <w:r>
        <w:rPr>
          <w:rFonts w:ascii="Arial" w:hAnsi="Arial" w:cs="Arial" w:eastAsia="Arial"/>
          <w:b w:val="0"/>
          <w:bCs w:val="0"/>
          <w:sz w:val="21"/>
          <w:szCs w:val="21"/>
        </w:rPr>
        <w:t>• الشركة نفسها في الأمثلة والتطبيقات الأربعة، ثم في ملف الأعمال والسيرة ولينكدإن والمقابلة، وتربطها شريحة السلسلة الكاملة (الشريحة 86).</w:t>
      </w:r>
    </w:p>
    <w:p>
      <w:pPr>
        <w:pStyle w:val="Heading2"/>
        <w:bidi/>
      </w:pPr>
      <w:r>
        <w:rPr>
          <w:rFonts w:ascii="Arial" w:hAnsi="Arial" w:cs="Arial" w:eastAsia="Arial"/>
          <w:b w:val="0"/>
          <w:bCs w:val="0"/>
        </w:rPr>
        <w:t>الحوكمة</w:t>
      </w:r>
    </w:p>
    <w:p>
      <w:pPr>
        <w:bidi/>
        <w:spacing w:after="60"/>
        <w:ind w:right="283" w:hanging="255"/>
      </w:pPr>
      <w:r>
        <w:rPr>
          <w:rFonts w:ascii="Arial" w:hAnsi="Arial" w:cs="Arial" w:eastAsia="Arial"/>
          <w:b w:val="0"/>
          <w:bCs w:val="0"/>
          <w:sz w:val="21"/>
          <w:szCs w:val="21"/>
        </w:rPr>
        <w:t>• حوكمة وإدارة وتشغيل بمثال واحد وتمرين (الشرائح 19 إلى 21)، والأدوار الستة (الشريحة 22)، وما لا يفعله GRC (الشريحة 23).</w:t>
      </w:r>
    </w:p>
    <w:p>
      <w:pPr>
        <w:bidi/>
        <w:spacing w:after="60"/>
        <w:ind w:right="283" w:hanging="255"/>
      </w:pPr>
      <w:r>
        <w:rPr>
          <w:rFonts w:ascii="Arial" w:hAnsi="Arial" w:cs="Arial" w:eastAsia="Arial"/>
          <w:b w:val="0"/>
          <w:bCs w:val="0"/>
          <w:sz w:val="21"/>
          <w:szCs w:val="21"/>
        </w:rPr>
        <w:t>• هرم الوثائق محدث (الشريحة 25)، ودورة حياة السياسة بسبع مراحل (الشريحة 26)، وحروف RACI قبل المصفوفة (الشريحة 27).</w:t>
      </w:r>
    </w:p>
    <w:p>
      <w:pPr>
        <w:pStyle w:val="Heading2"/>
        <w:bidi/>
      </w:pPr>
      <w:r>
        <w:rPr>
          <w:rFonts w:ascii="Arial" w:hAnsi="Arial" w:cs="Arial" w:eastAsia="Arial"/>
          <w:b w:val="0"/>
          <w:bCs w:val="0"/>
        </w:rPr>
        <w:t>المخاطر</w:t>
      </w:r>
    </w:p>
    <w:p>
      <w:pPr>
        <w:bidi/>
        <w:spacing w:after="60"/>
        <w:ind w:right="283" w:hanging="255"/>
      </w:pPr>
      <w:r>
        <w:rPr>
          <w:rFonts w:ascii="Arial" w:hAnsi="Arial" w:cs="Arial" w:eastAsia="Arial"/>
          <w:b w:val="0"/>
          <w:bCs w:val="0"/>
          <w:sz w:val="21"/>
          <w:szCs w:val="21"/>
        </w:rPr>
        <w:t>• مثال الحاسوب وملفات الرواتب محفوظ ومطور: صياغة الخطر، ومبرر كل درجة، وصف كامل في السجل، والمتأصل والمتبقي بافتراضات مكتوبة (الشرائح 40 إلى 50).</w:t>
      </w:r>
    </w:p>
    <w:p>
      <w:pPr>
        <w:bidi/>
        <w:spacing w:after="60"/>
        <w:ind w:right="283" w:hanging="255"/>
      </w:pPr>
      <w:r>
        <w:rPr>
          <w:rFonts w:ascii="Arial" w:hAnsi="Arial" w:cs="Arial" w:eastAsia="Arial"/>
          <w:b w:val="0"/>
          <w:bCs w:val="0"/>
          <w:sz w:val="21"/>
          <w:szCs w:val="21"/>
        </w:rPr>
        <w:t>• انخفاض الخطر بعد الضابط ليس تلقائياً: مربوط بفاعلية الضابط وتغطيته، والأثر لا ينخفض بضابط يقلل الاحتمال فقط.</w:t>
      </w:r>
    </w:p>
    <w:p>
      <w:pPr>
        <w:bidi/>
        <w:spacing w:after="60"/>
        <w:ind w:right="283" w:hanging="255"/>
      </w:pPr>
      <w:r>
        <w:rPr>
          <w:rFonts w:ascii="Arial" w:hAnsi="Arial" w:cs="Arial" w:eastAsia="Arial"/>
          <w:b w:val="0"/>
          <w:bCs w:val="0"/>
          <w:sz w:val="21"/>
          <w:szCs w:val="21"/>
        </w:rPr>
        <w:t>• الإطار الوطني لإدارة مخاطر الأمن السيبراني NFCRM-1:2025 بالاسم والإصدار من وثيقة الهيئة، والمصفوفة وأوصافها مأخوذة من الشكلين 4 و5 فيه (الشرائح 41 إلى 44).</w:t>
      </w:r>
    </w:p>
    <w:p>
      <w:pPr>
        <w:bidi/>
        <w:spacing w:after="60"/>
        <w:ind w:right="283" w:hanging="255"/>
      </w:pPr>
      <w:r>
        <w:rPr>
          <w:rFonts w:ascii="Arial" w:hAnsi="Arial" w:cs="Arial" w:eastAsia="Arial"/>
          <w:b w:val="0"/>
          <w:bCs w:val="0"/>
          <w:sz w:val="21"/>
          <w:szCs w:val="21"/>
        </w:rPr>
        <w:t>• شهية المخاطر وحدود التحمل بمثالين، وتنبيه أن قبول الخطر داخلياً لا يلغي التزاماً نظامياً (الشريحتين 47 و48).</w:t>
      </w:r>
    </w:p>
    <w:p>
      <w:pPr>
        <w:pStyle w:val="Heading2"/>
        <w:bidi/>
      </w:pPr>
      <w:r>
        <w:rPr>
          <w:rFonts w:ascii="Arial" w:hAnsi="Arial" w:cs="Arial" w:eastAsia="Arial"/>
          <w:b w:val="0"/>
          <w:bCs w:val="0"/>
        </w:rPr>
        <w:t>الامتثال</w:t>
      </w:r>
    </w:p>
    <w:p>
      <w:pPr>
        <w:bidi/>
        <w:spacing w:after="60"/>
        <w:ind w:right="283" w:hanging="255"/>
      </w:pPr>
      <w:r>
        <w:rPr>
          <w:rFonts w:ascii="Arial" w:hAnsi="Arial" w:cs="Arial" w:eastAsia="Arial"/>
          <w:b w:val="0"/>
          <w:bCs w:val="0"/>
          <w:sz w:val="21"/>
          <w:szCs w:val="21"/>
        </w:rPr>
        <w:t>• المتطلب والضابط والدليل والنتيجة (الشريحة 61)، والنطاق والانطباق قبل طلب الأدلة (الشريحة 62).</w:t>
      </w:r>
    </w:p>
    <w:p>
      <w:pPr>
        <w:bidi/>
        <w:spacing w:after="60"/>
        <w:ind w:right="283" w:hanging="255"/>
      </w:pPr>
      <w:r>
        <w:rPr>
          <w:rFonts w:ascii="Arial" w:hAnsi="Arial" w:cs="Arial" w:eastAsia="Arial"/>
          <w:b w:val="0"/>
          <w:bCs w:val="0"/>
          <w:sz w:val="21"/>
          <w:szCs w:val="21"/>
        </w:rPr>
        <w:t>• ثلاثة مستويات: سياسة موجودة، وإعداد تقني، وتشغيل مستمر خلال الفترة (الشريحة 63).</w:t>
      </w:r>
    </w:p>
    <w:p>
      <w:pPr>
        <w:bidi/>
        <w:spacing w:after="60"/>
        <w:ind w:right="283" w:hanging="255"/>
      </w:pPr>
      <w:r>
        <w:rPr>
          <w:rFonts w:ascii="Arial" w:hAnsi="Arial" w:cs="Arial" w:eastAsia="Arial"/>
          <w:b w:val="0"/>
          <w:bCs w:val="0"/>
          <w:sz w:val="21"/>
          <w:szCs w:val="21"/>
        </w:rPr>
        <w:t>• لا ترتيب ثابت لقوة الأدلة: الكفاية تعتمد على هدف الفحص والمصدر والتغطية، والعينة لا تُعمم بلا مبرر (الشريحتين 64 و65).</w:t>
      </w:r>
    </w:p>
    <w:p>
      <w:pPr>
        <w:bidi/>
        <w:spacing w:after="60"/>
        <w:ind w:right="283" w:hanging="255"/>
      </w:pPr>
      <w:r>
        <w:rPr>
          <w:rFonts w:ascii="Arial" w:hAnsi="Arial" w:cs="Arial" w:eastAsia="Arial"/>
          <w:b w:val="0"/>
          <w:bCs w:val="0"/>
          <w:sz w:val="21"/>
          <w:szCs w:val="21"/>
        </w:rPr>
        <w:t>• تقييم ضابط كامل بعناصره الثمانية ومقياس النتيجة (الشريحتين 66 و67)، والسبب لا يُكتب قبل التحقق منه.</w:t>
      </w:r>
    </w:p>
    <w:p>
      <w:pPr>
        <w:pStyle w:val="Heading2"/>
        <w:bidi/>
      </w:pPr>
      <w:r>
        <w:rPr>
          <w:rFonts w:ascii="Arial" w:hAnsi="Arial" w:cs="Arial" w:eastAsia="Arial"/>
          <w:b w:val="0"/>
          <w:bCs w:val="0"/>
        </w:rPr>
        <w:t>التطبيقات الأربعة (بدل الشريحة 41 القديمة)</w:t>
      </w:r>
    </w:p>
    <w:p>
      <w:pPr>
        <w:bidi/>
        <w:spacing w:after="60"/>
        <w:ind w:right="283" w:hanging="255"/>
      </w:pPr>
      <w:r>
        <w:rPr>
          <w:rFonts w:ascii="Arial" w:hAnsi="Arial" w:cs="Arial" w:eastAsia="Arial"/>
          <w:b w:val="0"/>
          <w:bCs w:val="0"/>
          <w:sz w:val="21"/>
          <w:szCs w:val="21"/>
        </w:rPr>
        <w:t>• التطبيق 1، المسؤوليات وبند السياسة: الشرائح 29 إلى 36.</w:t>
      </w:r>
    </w:p>
    <w:p>
      <w:pPr>
        <w:bidi/>
        <w:spacing w:after="60"/>
        <w:ind w:right="283" w:hanging="255"/>
      </w:pPr>
      <w:r>
        <w:rPr>
          <w:rFonts w:ascii="Arial" w:hAnsi="Arial" w:cs="Arial" w:eastAsia="Arial"/>
          <w:b w:val="0"/>
          <w:bCs w:val="0"/>
          <w:sz w:val="21"/>
          <w:szCs w:val="21"/>
        </w:rPr>
        <w:t>• التطبيق 2، كتابة خطر وتقييمه ومعالجته: المثال في الشرائح 40 إلى 50، والحالة في الشرائح 51 إلى 56.</w:t>
      </w:r>
    </w:p>
    <w:p>
      <w:pPr>
        <w:bidi/>
        <w:spacing w:after="60"/>
        <w:ind w:right="283" w:hanging="255"/>
      </w:pPr>
      <w:r>
        <w:rPr>
          <w:rFonts w:ascii="Arial" w:hAnsi="Arial" w:cs="Arial" w:eastAsia="Arial"/>
          <w:b w:val="0"/>
          <w:bCs w:val="0"/>
          <w:sz w:val="21"/>
          <w:szCs w:val="21"/>
        </w:rPr>
        <w:t>• التطبيق 3، فحص أدلة ضابط وتحديد النتيجة: الشرائح 68 إلى 76.</w:t>
      </w:r>
    </w:p>
    <w:p>
      <w:pPr>
        <w:bidi/>
        <w:spacing w:after="60"/>
        <w:ind w:right="283" w:hanging="255"/>
      </w:pPr>
      <w:r>
        <w:rPr>
          <w:rFonts w:ascii="Arial" w:hAnsi="Arial" w:cs="Arial" w:eastAsia="Arial"/>
          <w:b w:val="0"/>
          <w:bCs w:val="0"/>
          <w:sz w:val="21"/>
          <w:szCs w:val="21"/>
        </w:rPr>
        <w:t>• التطبيق 4، الملاحظة وخطة التصحيح: الشرائح 77 إلى 85.</w:t>
      </w:r>
    </w:p>
    <w:p>
      <w:pPr>
        <w:bidi/>
        <w:spacing w:after="60"/>
        <w:ind w:right="283" w:hanging="255"/>
      </w:pPr>
      <w:r>
        <w:rPr>
          <w:rFonts w:ascii="Arial" w:hAnsi="Arial" w:cs="Arial" w:eastAsia="Arial"/>
          <w:b w:val="0"/>
          <w:bCs w:val="0"/>
          <w:sz w:val="21"/>
          <w:szCs w:val="21"/>
        </w:rPr>
        <w:t>• لكل تطبيق: مثال محلول كامل، ثم حالة مشابهة ببياناتها، وتعليمات، ونموذج يعبأ، وإجابة بأسبابها، وأخطاء شائعة. والمشروع الأكبر في الوحدة 5 امتداد لها.</w:t>
      </w:r>
    </w:p>
    <w:p>
      <w:pPr>
        <w:pStyle w:val="Heading2"/>
        <w:bidi/>
      </w:pPr>
      <w:r>
        <w:rPr>
          <w:rFonts w:ascii="Arial" w:hAnsi="Arial" w:cs="Arial" w:eastAsia="Arial"/>
          <w:b w:val="0"/>
          <w:bCs w:val="0"/>
        </w:rPr>
        <w:t>الشهادات</w:t>
      </w:r>
    </w:p>
    <w:p>
      <w:pPr>
        <w:bidi/>
        <w:spacing w:after="60"/>
        <w:ind w:right="283" w:hanging="255"/>
      </w:pPr>
      <w:r>
        <w:rPr>
          <w:rFonts w:ascii="Arial" w:hAnsi="Arial" w:cs="Arial" w:eastAsia="Arial"/>
          <w:b w:val="0"/>
          <w:bCs w:val="0"/>
          <w:sz w:val="21"/>
          <w:szCs w:val="21"/>
        </w:rPr>
        <w:t>• كل شهادة تجيب عن أربعة أسئلة: لمن؟ ماذا تعلّم؟ هل تشترط خبرة؟ متى تدرسها؟ والرسوم والتجديد وأعداد الأسئلة في الملحق بمصادرها وتاريخ التحقق.</w:t>
      </w:r>
    </w:p>
    <w:p>
      <w:pPr>
        <w:bidi/>
        <w:spacing w:after="60"/>
        <w:ind w:right="283" w:hanging="255"/>
      </w:pPr>
      <w:r>
        <w:rPr>
          <w:rFonts w:ascii="Arial" w:hAnsi="Arial" w:cs="Arial" w:eastAsia="Arial"/>
          <w:b w:val="0"/>
          <w:bCs w:val="0"/>
          <w:sz w:val="21"/>
          <w:szCs w:val="21"/>
        </w:rPr>
        <w:t>• CIPP/E (التركيز الأوروبي) منفصلة عن CIPM (إدارة برنامج الخصوصية)، ولـ CIPP ستة تركيزات إقليمية (الشريحتين 112 و113).</w:t>
      </w:r>
    </w:p>
    <w:p>
      <w:pPr>
        <w:bidi/>
        <w:spacing w:after="60"/>
        <w:ind w:right="283" w:hanging="255"/>
      </w:pPr>
      <w:r>
        <w:rPr>
          <w:rFonts w:ascii="Arial" w:hAnsi="Arial" w:cs="Arial" w:eastAsia="Arial"/>
          <w:b w:val="0"/>
          <w:bCs w:val="0"/>
          <w:sz w:val="21"/>
          <w:szCs w:val="21"/>
        </w:rPr>
        <w:t>• CISM: المخطط الجديد من 3 نوفمبر 2026 بأوزان 18% و20% و33% و29% وفق إعلان ISACA (الشريحة 110).</w:t>
      </w:r>
    </w:p>
    <w:p>
      <w:pPr>
        <w:bidi/>
        <w:spacing w:after="60"/>
        <w:ind w:right="283" w:hanging="255"/>
      </w:pPr>
      <w:r>
        <w:rPr>
          <w:rFonts w:ascii="Arial" w:hAnsi="Arial" w:cs="Arial" w:eastAsia="Arial"/>
          <w:b w:val="0"/>
          <w:bCs w:val="0"/>
          <w:sz w:val="21"/>
          <w:szCs w:val="21"/>
        </w:rPr>
        <w:t>• NIST Tiers: صرامة ممارسات حوكمة المخاطر وإدارتها وفق SP ‏1302، لا درجة نضج لكل ضابط (الشريحة 94).</w:t>
      </w:r>
    </w:p>
    <w:p>
      <w:pPr>
        <w:bidi/>
        <w:spacing w:after="60"/>
        <w:ind w:right="283" w:hanging="255"/>
      </w:pPr>
      <w:r>
        <w:rPr>
          <w:rFonts w:ascii="Arial" w:hAnsi="Arial" w:cs="Arial" w:eastAsia="Arial"/>
          <w:b w:val="0"/>
          <w:bCs w:val="0"/>
          <w:sz w:val="21"/>
          <w:szCs w:val="21"/>
        </w:rPr>
        <w:t>• اللغات لكل اختبار على حدة، والفرق بين لغة التدريب ولغة الاختبار (الشريحة 116، والتفاصيل في الشريحتين 158 و159).</w:t>
      </w:r>
    </w:p>
    <w:p>
      <w:pPr>
        <w:bidi/>
        <w:spacing w:after="60"/>
        <w:ind w:right="283" w:hanging="255"/>
      </w:pPr>
      <w:r>
        <w:rPr>
          <w:rFonts w:ascii="Arial" w:hAnsi="Arial" w:cs="Arial" w:eastAsia="Arial"/>
          <w:b w:val="0"/>
          <w:bCs w:val="0"/>
          <w:sz w:val="21"/>
          <w:szCs w:val="21"/>
        </w:rPr>
        <w:t>• ISO ‏27001: منفذ أم مدقق، ثم إتمام التدريب والاختبار واللقب ومتطلبات الجهة المانحة (الشرائح 106 إلى 108).</w:t>
      </w:r>
    </w:p>
    <w:p>
      <w:pPr>
        <w:bidi/>
        <w:spacing w:after="60"/>
        <w:ind w:right="283" w:hanging="255"/>
      </w:pPr>
      <w:r>
        <w:rPr>
          <w:rFonts w:ascii="Arial" w:hAnsi="Arial" w:cs="Arial" w:eastAsia="Arial"/>
          <w:b w:val="0"/>
          <w:bCs w:val="0"/>
          <w:sz w:val="21"/>
          <w:szCs w:val="21"/>
        </w:rPr>
        <w:t>• نصائح ATS معدلة: الأنظمة تختلف، ولا يوجد تنسيق مرفوض حتماً (الشريحة 130).</w:t>
      </w:r>
    </w:p>
    <w:p>
      <w:pPr>
        <w:pStyle w:val="Heading2"/>
        <w:bidi/>
      </w:pPr>
      <w:r>
        <w:rPr>
          <w:rFonts w:ascii="Arial" w:hAnsi="Arial" w:cs="Arial" w:eastAsia="Arial"/>
          <w:b w:val="0"/>
          <w:bCs w:val="0"/>
        </w:rPr>
        <w:t>التصميم</w:t>
      </w:r>
    </w:p>
    <w:p>
      <w:pPr>
        <w:bidi/>
        <w:spacing w:after="60"/>
        <w:ind w:right="283" w:hanging="255"/>
      </w:pPr>
      <w:r>
        <w:rPr>
          <w:rFonts w:ascii="Arial" w:hAnsi="Arial" w:cs="Arial" w:eastAsia="Arial"/>
          <w:b w:val="0"/>
          <w:bCs w:val="0"/>
          <w:sz w:val="21"/>
          <w:szCs w:val="21"/>
        </w:rPr>
        <w:t>• الألوان الأساسية محفوظة (الكحلي والكريمي والأخضر المائل للزرقة والكهرماني)، مع خطّي Readex Pro للعناوين وIBM Plex Sans Arabic للنص.</w:t>
      </w:r>
    </w:p>
    <w:p>
      <w:pPr>
        <w:bidi/>
        <w:spacing w:after="60"/>
        <w:ind w:right="283" w:hanging="255"/>
      </w:pPr>
      <w:r>
        <w:rPr>
          <w:rFonts w:ascii="Arial" w:hAnsi="Arial" w:cs="Arial" w:eastAsia="Arial"/>
          <w:b w:val="0"/>
          <w:bCs w:val="0"/>
          <w:sz w:val="21"/>
          <w:szCs w:val="21"/>
        </w:rPr>
        <w:t>• النص الأساسي بوسيط 19 نقطة في ملف PowerPoint:‏ 68% منه 18 نقطة فأكثر، و41% منه 20 نقطة فأكثر. الأصغر من 16 نقطة 11% فقط، وأغلبه نماذج السيرة ولينكدإن والمصفوفة وحقول النماذج. والعناوين 30 نقطة.</w:t>
      </w:r>
    </w:p>
    <w:p>
      <w:pPr>
        <w:bidi/>
        <w:spacing w:after="60"/>
        <w:ind w:right="283" w:hanging="255"/>
      </w:pPr>
      <w:r>
        <w:rPr>
          <w:rFonts w:ascii="Arial" w:hAnsi="Arial" w:cs="Arial" w:eastAsia="Arial"/>
          <w:b w:val="0"/>
          <w:bCs w:val="0"/>
          <w:sz w:val="21"/>
          <w:szCs w:val="21"/>
        </w:rPr>
        <w:t>• الشرائح المزدحمة قُسّمت بدل تصغير الخط، وتنوعت القوالب: جداول، وخطوات، ومقارنات، ونماذج مكتملة، ونماذج سيرة ولينكدإن.</w:t>
      </w:r>
    </w:p>
    <w:p>
      <w:pPr>
        <w:bidi/>
        <w:spacing w:after="60"/>
        <w:ind w:right="283" w:hanging="255"/>
      </w:pPr>
      <w:r>
        <w:rPr>
          <w:rFonts w:ascii="Arial" w:hAnsi="Arial" w:cs="Arial" w:eastAsia="Arial"/>
          <w:b w:val="0"/>
          <w:bCs w:val="0"/>
          <w:sz w:val="21"/>
          <w:szCs w:val="21"/>
        </w:rPr>
        <w:t>• كل النصوص والجداول والنماذج قابلة للتحرير في PowerPoint، والروابط قابلة للنقر.</w:t>
      </w:r>
    </w:p>
    <w:p>
      <w:pPr>
        <w:bidi/>
        <w:spacing w:after="60"/>
        <w:ind w:right="283" w:hanging="255"/>
      </w:pPr>
      <w:r>
        <w:rPr>
          <w:rFonts w:ascii="Arial" w:hAnsi="Arial" w:cs="Arial" w:eastAsia="Arial"/>
          <w:b w:val="0"/>
          <w:bCs w:val="0"/>
          <w:sz w:val="21"/>
          <w:szCs w:val="21"/>
        </w:rPr>
        <w:t>• الشعارات الرسمية لم تُدرج، وأسماء الجهات والشهادات مكتوبة نصاً. السبب في قسم «قرار الشعارات» أدناه.</w:t>
      </w:r>
    </w:p>
    <w:p>
      <w:pPr>
        <w:pStyle w:val="Heading2"/>
        <w:bidi/>
      </w:pPr>
      <w:r>
        <w:rPr>
          <w:rFonts w:ascii="Arial" w:hAnsi="Arial" w:cs="Arial" w:eastAsia="Arial"/>
          <w:b w:val="0"/>
          <w:bCs w:val="0"/>
        </w:rPr>
        <w:t>ملاحظات المتحدث والمصادر</w:t>
      </w:r>
    </w:p>
    <w:p>
      <w:pPr>
        <w:bidi/>
        <w:spacing w:after="60"/>
        <w:ind w:right="283" w:hanging="255"/>
      </w:pPr>
      <w:r>
        <w:rPr>
          <w:rFonts w:ascii="Arial" w:hAnsi="Arial" w:cs="Arial" w:eastAsia="Arial"/>
          <w:b w:val="0"/>
          <w:bCs w:val="0"/>
          <w:sz w:val="21"/>
          <w:szCs w:val="21"/>
        </w:rPr>
        <w:t>• ملاحظات كل شريحة أعيدت كتابتها بعربية مناسبة للإلقاء والتحويل إلى صوت، مع انتقالات بين الأفكار.</w:t>
      </w:r>
    </w:p>
    <w:p>
      <w:pPr>
        <w:bidi/>
        <w:spacing w:after="60"/>
        <w:ind w:right="283" w:hanging="255"/>
      </w:pPr>
      <w:r>
        <w:rPr>
          <w:rFonts w:ascii="Arial" w:hAnsi="Arial" w:cs="Arial" w:eastAsia="Arial"/>
          <w:b w:val="0"/>
          <w:bCs w:val="0"/>
          <w:sz w:val="21"/>
          <w:szCs w:val="21"/>
        </w:rPr>
        <w:t>• شرائح التمارين تقول متى توقف الفيديو ومدة التمرين ومتى تكمل للإجابة.</w:t>
      </w:r>
    </w:p>
    <w:p>
      <w:pPr>
        <w:bidi/>
        <w:spacing w:after="60"/>
        <w:ind w:right="283" w:hanging="255"/>
      </w:pPr>
      <w:r>
        <w:rPr>
          <w:rFonts w:ascii="Arial" w:hAnsi="Arial" w:cs="Arial" w:eastAsia="Arial"/>
          <w:b w:val="0"/>
          <w:bCs w:val="0"/>
          <w:sz w:val="21"/>
          <w:szCs w:val="21"/>
        </w:rPr>
        <w:t>• مصادر كل شريحة فنية أو تنظيمية في ملاحظاتها، وصفحات موارد بروابط قابلة للنقر (الشرائح 162 إلى 164).</w:t>
      </w:r>
    </w:p>
    <w:p>
      <w:pPr>
        <w:pStyle w:val="Heading1"/>
        <w:bidi/>
      </w:pPr>
      <w:r>
        <w:rPr>
          <w:rFonts w:ascii="Arial" w:hAnsi="Arial" w:cs="Arial" w:eastAsia="Arial"/>
          <w:b w:val="0"/>
          <w:bCs w:val="0"/>
        </w:rPr>
        <w:t>قرار الشعارات</w:t>
      </w:r>
    </w:p>
    <w:p>
      <w:pPr>
        <w:bidi/>
      </w:pPr>
      <w:r>
        <w:rPr>
          <w:rFonts w:ascii="Arial" w:hAnsi="Arial" w:cs="Arial" w:eastAsia="Arial"/>
          <w:b w:val="0"/>
          <w:bCs w:val="0"/>
          <w:sz w:val="21"/>
          <w:szCs w:val="21"/>
        </w:rPr>
        <w:t>لم نُدرج الشعارات الرسمية في هذه النسخة، وكتبنا أسماء الجهات والشهادات نصاً. سياسات أصحابها تقيد استخدامها: ISO تمنع استخدام اسمها وشعارها خارج الحالات المرخصة، وعلامات ISC‏2 مخصصة للحاصلين على شهاداتها وتحتاج طلباً مكتوباً لغير ذلك، وأصول علامة ISACA تحتاج موافقة، وشعار NIST يتبع سياسة وزارة التجارة الأمريكية التي تشترط الإذن. والكورس منتج تجاري غير معتمد من أي منها. إن حصلت على إذن مكتوب من جهة ما، يمكن إضافة شعارها الأصلي من مصدرها الرسمي.</w:t>
      </w:r>
    </w:p>
    <w:p>
      <w:pPr>
        <w:pStyle w:val="Heading1"/>
        <w:bidi/>
      </w:pPr>
      <w:r>
        <w:rPr>
          <w:rFonts w:ascii="Arial" w:hAnsi="Arial" w:cs="Arial" w:eastAsia="Arial"/>
          <w:b w:val="0"/>
          <w:bCs w:val="0"/>
        </w:rPr>
        <w:t>معلومات تحتاج تحديثاً دورياً</w:t>
      </w:r>
    </w:p>
    <w:p>
      <w:pPr>
        <w:bidi/>
      </w:pPr>
      <w:r>
        <w:rPr>
          <w:rFonts w:ascii="Arial" w:hAnsi="Arial" w:cs="Arial" w:eastAsia="Arial"/>
          <w:b w:val="0"/>
          <w:bCs w:val="0"/>
          <w:sz w:val="21"/>
          <w:szCs w:val="21"/>
        </w:rPr>
        <w:t>كل المعلومات المتغيرة متحقق منها في 27 أكتوبر 2026، وتاريخ التحقق مكتوب في الملاحظات والملحق. حين تحدّث رقماً حدّث التاريخ معه.</w:t>
      </w:r>
    </w:p>
    <w:tbl>
      <w:tblPr>
        <w:tblStyle w:val="TableGrid"/>
        <w:bidiVisual/>
        <w:tblW w:type="dxa" w:w="9637"/>
        <w:jc w:val="center"/>
        <w:tblLayout w:type="fixed"/>
        <w:tblLook w:firstColumn="1" w:firstRow="1" w:lastColumn="0" w:lastRow="0" w:noHBand="0" w:noVBand="1" w:val="04A0"/>
      </w:tblPr>
      <w:tblGrid>
        <w:gridCol w:w="3968"/>
        <w:gridCol w:w="2381"/>
        <w:gridCol w:w="3288"/>
      </w:tblGrid>
      <w:tr>
        <w:trPr>
          <w:cantSplit/>
          <w:tblHeader/>
        </w:trPr>
        <w:tc>
          <w:tcPr>
            <w:tcW w:type="dxa" w:w="3969"/>
            <w:shd w:val="clear" w:color="auto" w:fill="D9E2F3"/>
          </w:tcPr>
          <w:p>
            <w:pPr>
              <w:bidi/>
              <w:spacing w:after="20" w:line="252" w:lineRule="auto"/>
            </w:pPr>
            <w:r/>
            <w:r>
              <w:rPr>
                <w:rFonts w:ascii="Arial" w:hAnsi="Arial" w:cs="Arial" w:eastAsia="Arial"/>
                <w:b w:val="1"/>
                <w:bCs w:val="1"/>
                <w:sz w:val="20"/>
                <w:szCs w:val="20"/>
              </w:rPr>
              <w:t>المعلومة</w:t>
            </w:r>
          </w:p>
        </w:tc>
        <w:tc>
          <w:tcPr>
            <w:tcW w:type="dxa" w:w="2381"/>
            <w:shd w:val="clear" w:color="auto" w:fill="D9E2F3"/>
          </w:tcPr>
          <w:p>
            <w:pPr>
              <w:bidi/>
              <w:spacing w:after="20" w:line="252" w:lineRule="auto"/>
            </w:pPr>
            <w:r/>
            <w:r>
              <w:rPr>
                <w:rFonts w:ascii="Arial" w:hAnsi="Arial" w:cs="Arial" w:eastAsia="Arial"/>
                <w:b w:val="1"/>
                <w:bCs w:val="1"/>
                <w:sz w:val="20"/>
                <w:szCs w:val="20"/>
              </w:rPr>
              <w:t>متى تراجعها</w:t>
            </w:r>
          </w:p>
        </w:tc>
        <w:tc>
          <w:tcPr>
            <w:tcW w:type="dxa" w:w="3288"/>
            <w:shd w:val="clear" w:color="auto" w:fill="D9E2F3"/>
          </w:tcPr>
          <w:p>
            <w:pPr>
              <w:bidi/>
              <w:spacing w:after="20" w:line="252" w:lineRule="auto"/>
            </w:pPr>
            <w:r/>
            <w:r>
              <w:rPr>
                <w:rFonts w:ascii="Arial" w:hAnsi="Arial" w:cs="Arial" w:eastAsia="Arial"/>
                <w:b w:val="1"/>
                <w:bCs w:val="1"/>
                <w:sz w:val="20"/>
                <w:szCs w:val="20"/>
              </w:rPr>
              <w:t>أين في العرض</w:t>
            </w:r>
          </w:p>
        </w:tc>
      </w:tr>
      <w:tr>
        <w:trPr>
          <w:cantSplit/>
        </w:trPr>
        <w:tc>
          <w:tcPr>
            <w:tcW w:type="dxa" w:w="3969"/>
          </w:tcPr>
          <w:p>
            <w:pPr>
              <w:bidi/>
              <w:spacing w:after="20" w:line="252" w:lineRule="auto"/>
            </w:pPr>
            <w:r/>
            <w:r>
              <w:rPr>
                <w:rFonts w:ascii="Arial" w:hAnsi="Arial" w:cs="Arial" w:eastAsia="Arial"/>
                <w:b w:val="0"/>
                <w:bCs w:val="0"/>
                <w:sz w:val="20"/>
                <w:szCs w:val="20"/>
              </w:rPr>
              <w:t>رسوم الشهادات وتجديدها</w:t>
            </w:r>
          </w:p>
        </w:tc>
        <w:tc>
          <w:tcPr>
            <w:tcW w:type="dxa" w:w="2381"/>
          </w:tcPr>
          <w:p>
            <w:pPr>
              <w:bidi/>
              <w:spacing w:after="20" w:line="252" w:lineRule="auto"/>
            </w:pPr>
            <w:r/>
            <w:r>
              <w:rPr>
                <w:rFonts w:ascii="Arial" w:hAnsi="Arial" w:cs="Arial" w:eastAsia="Arial"/>
                <w:b w:val="0"/>
                <w:bCs w:val="0"/>
                <w:sz w:val="20"/>
                <w:szCs w:val="20"/>
              </w:rPr>
              <w:t>كل 6 أشهر</w:t>
            </w:r>
          </w:p>
        </w:tc>
        <w:tc>
          <w:tcPr>
            <w:tcW w:type="dxa" w:w="3288"/>
          </w:tcPr>
          <w:p>
            <w:pPr>
              <w:bidi/>
              <w:spacing w:after="20" w:line="252" w:lineRule="auto"/>
            </w:pPr>
            <w:r/>
            <w:r>
              <w:rPr>
                <w:rFonts w:ascii="Arial" w:hAnsi="Arial" w:cs="Arial" w:eastAsia="Arial"/>
                <w:b w:val="0"/>
                <w:bCs w:val="0"/>
                <w:sz w:val="20"/>
                <w:szCs w:val="20"/>
              </w:rPr>
              <w:t>الشريحتين 155 و156</w:t>
            </w:r>
          </w:p>
        </w:tc>
      </w:tr>
      <w:tr>
        <w:trPr>
          <w:cantSplit/>
        </w:trPr>
        <w:tc>
          <w:tcPr>
            <w:tcW w:type="dxa" w:w="3969"/>
          </w:tcPr>
          <w:p>
            <w:pPr>
              <w:bidi/>
              <w:spacing w:after="20" w:line="252" w:lineRule="auto"/>
            </w:pPr>
            <w:r/>
            <w:r>
              <w:rPr>
                <w:rFonts w:ascii="Arial" w:hAnsi="Arial" w:cs="Arial" w:eastAsia="Arial"/>
                <w:b w:val="0"/>
                <w:bCs w:val="0"/>
                <w:sz w:val="20"/>
                <w:szCs w:val="20"/>
              </w:rPr>
              <w:t>مخطط CISM وأوزانه، ومخططات الاختبارات الأخرى</w:t>
            </w:r>
          </w:p>
        </w:tc>
        <w:tc>
          <w:tcPr>
            <w:tcW w:type="dxa" w:w="2381"/>
          </w:tcPr>
          <w:p>
            <w:pPr>
              <w:bidi/>
              <w:spacing w:after="20" w:line="252" w:lineRule="auto"/>
            </w:pPr>
            <w:r/>
            <w:r>
              <w:rPr>
                <w:rFonts w:ascii="Arial" w:hAnsi="Arial" w:cs="Arial" w:eastAsia="Arial"/>
                <w:b w:val="0"/>
                <w:bCs w:val="0"/>
                <w:sz w:val="20"/>
                <w:szCs w:val="20"/>
              </w:rPr>
              <w:t>كل 6 أشهر، وقبل كل تسجيل</w:t>
            </w:r>
          </w:p>
        </w:tc>
        <w:tc>
          <w:tcPr>
            <w:tcW w:type="dxa" w:w="3288"/>
          </w:tcPr>
          <w:p>
            <w:pPr>
              <w:bidi/>
              <w:spacing w:after="20" w:line="252" w:lineRule="auto"/>
            </w:pPr>
            <w:r/>
            <w:r>
              <w:rPr>
                <w:rFonts w:ascii="Arial" w:hAnsi="Arial" w:cs="Arial" w:eastAsia="Arial"/>
                <w:b w:val="0"/>
                <w:bCs w:val="0"/>
                <w:sz w:val="20"/>
                <w:szCs w:val="20"/>
              </w:rPr>
              <w:t>الشريحتين 110 و157</w:t>
            </w:r>
          </w:p>
        </w:tc>
      </w:tr>
      <w:tr>
        <w:trPr>
          <w:cantSplit/>
        </w:trPr>
        <w:tc>
          <w:tcPr>
            <w:tcW w:type="dxa" w:w="3969"/>
          </w:tcPr>
          <w:p>
            <w:pPr>
              <w:bidi/>
              <w:spacing w:after="20" w:line="252" w:lineRule="auto"/>
            </w:pPr>
            <w:r/>
            <w:r>
              <w:rPr>
                <w:rFonts w:ascii="Arial" w:hAnsi="Arial" w:cs="Arial" w:eastAsia="Arial"/>
                <w:b w:val="0"/>
                <w:bCs w:val="0"/>
                <w:sz w:val="20"/>
                <w:szCs w:val="20"/>
              </w:rPr>
              <w:t>لغات الاختبارات</w:t>
            </w:r>
          </w:p>
        </w:tc>
        <w:tc>
          <w:tcPr>
            <w:tcW w:type="dxa" w:w="2381"/>
          </w:tcPr>
          <w:p>
            <w:pPr>
              <w:bidi/>
              <w:spacing w:after="20" w:line="252" w:lineRule="auto"/>
            </w:pPr>
            <w:r/>
            <w:r>
              <w:rPr>
                <w:rFonts w:ascii="Arial" w:hAnsi="Arial" w:cs="Arial" w:eastAsia="Arial"/>
                <w:b w:val="0"/>
                <w:bCs w:val="0"/>
                <w:sz w:val="20"/>
                <w:szCs w:val="20"/>
              </w:rPr>
              <w:t>كل 6 أشهر</w:t>
            </w:r>
          </w:p>
        </w:tc>
        <w:tc>
          <w:tcPr>
            <w:tcW w:type="dxa" w:w="3288"/>
          </w:tcPr>
          <w:p>
            <w:pPr>
              <w:bidi/>
              <w:spacing w:after="20" w:line="252" w:lineRule="auto"/>
            </w:pPr>
            <w:r/>
            <w:r>
              <w:rPr>
                <w:rFonts w:ascii="Arial" w:hAnsi="Arial" w:cs="Arial" w:eastAsia="Arial"/>
                <w:b w:val="0"/>
                <w:bCs w:val="0"/>
                <w:sz w:val="20"/>
                <w:szCs w:val="20"/>
              </w:rPr>
              <w:t>الشرائح 116، 158، 159</w:t>
            </w:r>
          </w:p>
        </w:tc>
      </w:tr>
      <w:tr>
        <w:trPr>
          <w:cantSplit/>
        </w:trPr>
        <w:tc>
          <w:tcPr>
            <w:tcW w:type="dxa" w:w="3969"/>
          </w:tcPr>
          <w:p>
            <w:pPr>
              <w:bidi/>
              <w:spacing w:after="20" w:line="252" w:lineRule="auto"/>
            </w:pPr>
            <w:r/>
            <w:r>
              <w:rPr>
                <w:rFonts w:ascii="Arial" w:hAnsi="Arial" w:cs="Arial" w:eastAsia="Arial"/>
                <w:b w:val="0"/>
                <w:bCs w:val="0"/>
                <w:sz w:val="20"/>
                <w:szCs w:val="20"/>
              </w:rPr>
              <w:t>إصدارات ECC والأطر السعودية ونطاقها</w:t>
            </w:r>
          </w:p>
        </w:tc>
        <w:tc>
          <w:tcPr>
            <w:tcW w:type="dxa" w:w="2381"/>
          </w:tcPr>
          <w:p>
            <w:pPr>
              <w:bidi/>
              <w:spacing w:after="20" w:line="252" w:lineRule="auto"/>
            </w:pPr>
            <w:r/>
            <w:r>
              <w:rPr>
                <w:rFonts w:ascii="Arial" w:hAnsi="Arial" w:cs="Arial" w:eastAsia="Arial"/>
                <w:b w:val="0"/>
                <w:bCs w:val="0"/>
                <w:sz w:val="20"/>
                <w:szCs w:val="20"/>
              </w:rPr>
              <w:t>كل 6 أشهر</w:t>
            </w:r>
          </w:p>
        </w:tc>
        <w:tc>
          <w:tcPr>
            <w:tcW w:type="dxa" w:w="3288"/>
          </w:tcPr>
          <w:p>
            <w:pPr>
              <w:bidi/>
              <w:spacing w:after="20" w:line="252" w:lineRule="auto"/>
            </w:pPr>
            <w:r/>
            <w:r>
              <w:rPr>
                <w:rFonts w:ascii="Arial" w:hAnsi="Arial" w:cs="Arial" w:eastAsia="Arial"/>
                <w:b w:val="0"/>
                <w:bCs w:val="0"/>
                <w:sz w:val="20"/>
                <w:szCs w:val="20"/>
              </w:rPr>
              <w:t>الشرائح 95، 96، 160، 161</w:t>
            </w:r>
          </w:p>
        </w:tc>
      </w:tr>
      <w:tr>
        <w:trPr>
          <w:cantSplit/>
        </w:trPr>
        <w:tc>
          <w:tcPr>
            <w:tcW w:type="dxa" w:w="3969"/>
          </w:tcPr>
          <w:p>
            <w:pPr>
              <w:bidi/>
              <w:spacing w:after="20" w:line="252" w:lineRule="auto"/>
            </w:pPr>
            <w:r/>
            <w:r>
              <w:rPr>
                <w:rFonts w:ascii="Arial" w:hAnsi="Arial" w:cs="Arial" w:eastAsia="Arial"/>
                <w:b w:val="0"/>
                <w:bCs w:val="0"/>
                <w:sz w:val="20"/>
                <w:szCs w:val="20"/>
              </w:rPr>
              <w:t>الإطار الوطني لإدارة المخاطر NFCRM</w:t>
            </w:r>
          </w:p>
        </w:tc>
        <w:tc>
          <w:tcPr>
            <w:tcW w:type="dxa" w:w="2381"/>
          </w:tcPr>
          <w:p>
            <w:pPr>
              <w:bidi/>
              <w:spacing w:after="20" w:line="252" w:lineRule="auto"/>
            </w:pPr>
            <w:r/>
            <w:r>
              <w:rPr>
                <w:rFonts w:ascii="Arial" w:hAnsi="Arial" w:cs="Arial" w:eastAsia="Arial"/>
                <w:b w:val="0"/>
                <w:bCs w:val="0"/>
                <w:sz w:val="20"/>
                <w:szCs w:val="20"/>
              </w:rPr>
              <w:t>عند أي تحديث من الهيئة</w:t>
            </w:r>
          </w:p>
        </w:tc>
        <w:tc>
          <w:tcPr>
            <w:tcW w:type="dxa" w:w="3288"/>
          </w:tcPr>
          <w:p>
            <w:pPr>
              <w:bidi/>
              <w:spacing w:after="20" w:line="252" w:lineRule="auto"/>
            </w:pPr>
            <w:r/>
            <w:r>
              <w:rPr>
                <w:rFonts w:ascii="Arial" w:hAnsi="Arial" w:cs="Arial" w:eastAsia="Arial"/>
                <w:b w:val="0"/>
                <w:bCs w:val="0"/>
                <w:sz w:val="20"/>
                <w:szCs w:val="20"/>
              </w:rPr>
              <w:t>الشرائح 41 إلى 44</w:t>
            </w:r>
          </w:p>
        </w:tc>
      </w:tr>
      <w:tr>
        <w:trPr>
          <w:cantSplit/>
        </w:trPr>
        <w:tc>
          <w:tcPr>
            <w:tcW w:type="dxa" w:w="3969"/>
          </w:tcPr>
          <w:p>
            <w:pPr>
              <w:bidi/>
              <w:spacing w:after="20" w:line="252" w:lineRule="auto"/>
            </w:pPr>
            <w:r/>
            <w:r>
              <w:rPr>
                <w:rFonts w:ascii="Arial" w:hAnsi="Arial" w:cs="Arial" w:eastAsia="Arial"/>
                <w:b w:val="0"/>
                <w:bCs w:val="0"/>
                <w:sz w:val="20"/>
                <w:szCs w:val="20"/>
              </w:rPr>
              <w:t>إصدارات ISO وNIST وPCI DSS</w:t>
            </w:r>
          </w:p>
        </w:tc>
        <w:tc>
          <w:tcPr>
            <w:tcW w:type="dxa" w:w="2381"/>
          </w:tcPr>
          <w:p>
            <w:pPr>
              <w:bidi/>
              <w:spacing w:after="20" w:line="252" w:lineRule="auto"/>
            </w:pPr>
            <w:r/>
            <w:r>
              <w:rPr>
                <w:rFonts w:ascii="Arial" w:hAnsi="Arial" w:cs="Arial" w:eastAsia="Arial"/>
                <w:b w:val="0"/>
                <w:bCs w:val="0"/>
                <w:sz w:val="20"/>
                <w:szCs w:val="20"/>
              </w:rPr>
              <w:t>سنوياً</w:t>
            </w:r>
          </w:p>
        </w:tc>
        <w:tc>
          <w:tcPr>
            <w:tcW w:type="dxa" w:w="3288"/>
          </w:tcPr>
          <w:p>
            <w:pPr>
              <w:bidi/>
              <w:spacing w:after="20" w:line="252" w:lineRule="auto"/>
            </w:pPr>
            <w:r/>
            <w:r>
              <w:rPr>
                <w:rFonts w:ascii="Arial" w:hAnsi="Arial" w:cs="Arial" w:eastAsia="Arial"/>
                <w:b w:val="0"/>
                <w:bCs w:val="0"/>
                <w:sz w:val="20"/>
                <w:szCs w:val="20"/>
              </w:rPr>
              <w:t>الشرائح 89 إلى 94</w:t>
            </w:r>
          </w:p>
        </w:tc>
      </w:tr>
      <w:tr>
        <w:trPr>
          <w:cantSplit/>
        </w:trPr>
        <w:tc>
          <w:tcPr>
            <w:tcW w:type="dxa" w:w="3969"/>
          </w:tcPr>
          <w:p>
            <w:pPr>
              <w:bidi/>
              <w:spacing w:after="20" w:line="252" w:lineRule="auto"/>
            </w:pPr>
            <w:r/>
            <w:r>
              <w:rPr>
                <w:rFonts w:ascii="Arial" w:hAnsi="Arial" w:cs="Arial" w:eastAsia="Arial"/>
                <w:b w:val="0"/>
                <w:bCs w:val="0"/>
                <w:sz w:val="20"/>
                <w:szCs w:val="20"/>
              </w:rPr>
              <w:t>جهة الإشراف على نظام حماية البيانات الشخصية</w:t>
            </w:r>
          </w:p>
        </w:tc>
        <w:tc>
          <w:tcPr>
            <w:tcW w:type="dxa" w:w="2381"/>
          </w:tcPr>
          <w:p>
            <w:pPr>
              <w:bidi/>
              <w:spacing w:after="20" w:line="252" w:lineRule="auto"/>
            </w:pPr>
            <w:r/>
            <w:r>
              <w:rPr>
                <w:rFonts w:ascii="Arial" w:hAnsi="Arial" w:cs="Arial" w:eastAsia="Arial"/>
                <w:b w:val="0"/>
                <w:bCs w:val="0"/>
                <w:sz w:val="20"/>
                <w:szCs w:val="20"/>
              </w:rPr>
              <w:t>كل 6 أشهر</w:t>
            </w:r>
          </w:p>
        </w:tc>
        <w:tc>
          <w:tcPr>
            <w:tcW w:type="dxa" w:w="3288"/>
          </w:tcPr>
          <w:p>
            <w:pPr>
              <w:bidi/>
              <w:spacing w:after="20" w:line="252" w:lineRule="auto"/>
            </w:pPr>
            <w:r/>
            <w:r>
              <w:rPr>
                <w:rFonts w:ascii="Arial" w:hAnsi="Arial" w:cs="Arial" w:eastAsia="Arial"/>
                <w:b w:val="0"/>
                <w:bCs w:val="0"/>
                <w:sz w:val="20"/>
                <w:szCs w:val="20"/>
              </w:rPr>
              <w:t>الشريحة 59</w:t>
            </w:r>
          </w:p>
        </w:tc>
      </w:tr>
      <w:tr>
        <w:trPr>
          <w:cantSplit/>
        </w:trPr>
        <w:tc>
          <w:tcPr>
            <w:tcW w:type="dxa" w:w="3969"/>
          </w:tcPr>
          <w:p>
            <w:pPr>
              <w:bidi/>
              <w:spacing w:after="20" w:line="252" w:lineRule="auto"/>
            </w:pPr>
            <w:r/>
            <w:r>
              <w:rPr>
                <w:rFonts w:ascii="Arial" w:hAnsi="Arial" w:cs="Arial" w:eastAsia="Arial"/>
                <w:b w:val="0"/>
                <w:bCs w:val="0"/>
                <w:sz w:val="20"/>
                <w:szCs w:val="20"/>
              </w:rPr>
              <w:t>حدود لينكدإن ومقاساته</w:t>
            </w:r>
          </w:p>
        </w:tc>
        <w:tc>
          <w:tcPr>
            <w:tcW w:type="dxa" w:w="2381"/>
          </w:tcPr>
          <w:p>
            <w:pPr>
              <w:bidi/>
              <w:spacing w:after="20" w:line="252" w:lineRule="auto"/>
            </w:pPr>
            <w:r/>
            <w:r>
              <w:rPr>
                <w:rFonts w:ascii="Arial" w:hAnsi="Arial" w:cs="Arial" w:eastAsia="Arial"/>
                <w:b w:val="0"/>
                <w:bCs w:val="0"/>
                <w:sz w:val="20"/>
                <w:szCs w:val="20"/>
              </w:rPr>
              <w:t>سنوياً</w:t>
            </w:r>
          </w:p>
        </w:tc>
        <w:tc>
          <w:tcPr>
            <w:tcW w:type="dxa" w:w="3288"/>
          </w:tcPr>
          <w:p>
            <w:pPr>
              <w:bidi/>
              <w:spacing w:after="20" w:line="252" w:lineRule="auto"/>
            </w:pPr>
            <w:r/>
            <w:r>
              <w:rPr>
                <w:rFonts w:ascii="Arial" w:hAnsi="Arial" w:cs="Arial" w:eastAsia="Arial"/>
                <w:b w:val="0"/>
                <w:bCs w:val="0"/>
                <w:sz w:val="20"/>
                <w:szCs w:val="20"/>
              </w:rPr>
              <w:t>الشريحتين 137 و141</w:t>
            </w:r>
          </w:p>
        </w:tc>
      </w:tr>
    </w:tbl>
    <w:p>
      <w:pPr>
        <w:spacing w:after="40"/>
      </w:pPr>
    </w:p>
    <w:p>
      <w:pPr>
        <w:pStyle w:val="Heading2"/>
        <w:bidi/>
      </w:pPr>
      <w:r>
        <w:rPr>
          <w:rFonts w:ascii="Arial" w:hAnsi="Arial" w:cs="Arial" w:eastAsia="Arial"/>
          <w:b w:val="0"/>
          <w:bCs w:val="0"/>
        </w:rPr>
        <w:t>ما لم نتمكن من التحقق منه</w:t>
      </w:r>
    </w:p>
    <w:p>
      <w:pPr>
        <w:bidi/>
        <w:spacing w:after="60"/>
        <w:ind w:right="283" w:hanging="255"/>
      </w:pPr>
      <w:r>
        <w:rPr>
          <w:rFonts w:ascii="Arial" w:hAnsi="Arial" w:cs="Arial" w:eastAsia="Arial"/>
          <w:b w:val="0"/>
          <w:bCs w:val="0"/>
          <w:sz w:val="21"/>
          <w:szCs w:val="21"/>
        </w:rPr>
        <w:t>• سعر اختبار Security+: يعرضه موقع CompTIA حسب الدولة ولم نتمكن من قراءته. الملحق يقول ذلك ولا يذكر رقماً.</w:t>
      </w:r>
    </w:p>
    <w:p>
      <w:pPr>
        <w:bidi/>
        <w:spacing w:after="60"/>
        <w:ind w:right="283" w:hanging="255"/>
      </w:pPr>
      <w:r>
        <w:rPr>
          <w:rFonts w:ascii="Arial" w:hAnsi="Arial" w:cs="Arial" w:eastAsia="Arial"/>
          <w:b w:val="0"/>
          <w:bCs w:val="0"/>
          <w:sz w:val="21"/>
          <w:szCs w:val="21"/>
        </w:rPr>
        <w:t>• رسم إعادة اختبار IAPP: آخر رقم موثق 375 دولاراً في دليل 2022، ومذكور بهذه الصفة.</w:t>
      </w:r>
    </w:p>
    <w:p>
      <w:pPr>
        <w:bidi/>
        <w:spacing w:after="60"/>
        <w:ind w:right="283" w:hanging="255"/>
      </w:pPr>
      <w:r>
        <w:rPr>
          <w:rFonts w:ascii="Arial" w:hAnsi="Arial" w:cs="Arial" w:eastAsia="Arial"/>
          <w:b w:val="0"/>
          <w:bCs w:val="0"/>
          <w:sz w:val="21"/>
          <w:szCs w:val="21"/>
        </w:rPr>
        <w:t>• تجديد GRCP: صفحة OCEG تذكر قاعدتين متعارضتين، ومذكور ذلك في الملحق.</w:t>
      </w:r>
    </w:p>
    <w:p>
      <w:pPr>
        <w:bidi/>
        <w:spacing w:after="60"/>
        <w:ind w:right="283" w:hanging="255"/>
      </w:pPr>
      <w:r>
        <w:rPr>
          <w:rFonts w:ascii="Arial" w:hAnsi="Arial" w:cs="Arial" w:eastAsia="Arial"/>
          <w:b w:val="0"/>
          <w:bCs w:val="0"/>
          <w:sz w:val="21"/>
          <w:szCs w:val="21"/>
        </w:rPr>
        <w:t>• رسم PECB السنوي ولغة اختبارها، ولغات اختبارات OCEG وIT Risk Fundamentals: لم نتمكن من تأكيدها، والعرض يحيل إلى الصفحة الرسمية.</w:t>
      </w:r>
    </w:p>
    <w:p>
      <w:pPr>
        <w:bidi/>
        <w:spacing w:after="60"/>
        <w:ind w:right="283" w:hanging="255"/>
      </w:pPr>
      <w:r>
        <w:rPr>
          <w:rFonts w:ascii="Arial" w:hAnsi="Arial" w:cs="Arial" w:eastAsia="Arial"/>
          <w:b w:val="0"/>
          <w:bCs w:val="0"/>
          <w:sz w:val="21"/>
          <w:szCs w:val="21"/>
        </w:rPr>
        <w:t>• الحد الرسمي لعدد حروف عنوان لينكدإن: لم نجده في صفحات المساعدة، والعرض لا يذكر رقماً له.</w:t>
      </w:r>
    </w:p>
    <w:p>
      <w:pPr>
        <w:bidi/>
        <w:spacing w:after="60"/>
        <w:ind w:right="283" w:hanging="255"/>
      </w:pPr>
      <w:r>
        <w:rPr>
          <w:rFonts w:ascii="Arial" w:hAnsi="Arial" w:cs="Arial" w:eastAsia="Arial"/>
          <w:b w:val="0"/>
          <w:bCs w:val="0"/>
          <w:sz w:val="21"/>
          <w:szCs w:val="21"/>
        </w:rPr>
        <w:t>• انتقال الإشراف على نظام حماية البيانات الشخصية من سدايا: لم نتمكن من تأكيده، والملاحظات تحيل إلى الموقع الرسمي.</w:t>
      </w:r>
    </w:p>
    <w:p>
      <w:pPr>
        <w:pStyle w:val="Heading1"/>
        <w:bidi/>
      </w:pPr>
      <w:r>
        <w:rPr>
          <w:rFonts w:ascii="Arial" w:hAnsi="Arial" w:cs="Arial" w:eastAsia="Arial"/>
          <w:b w:val="0"/>
          <w:bCs w:val="0"/>
        </w:rPr>
        <w:t>ملفات التسليم</w:t>
      </w:r>
    </w:p>
    <w:p>
      <w:pPr>
        <w:bidi/>
        <w:spacing w:after="60"/>
        <w:ind w:right="283" w:hanging="255"/>
      </w:pPr>
      <w:r>
        <w:rPr>
          <w:rFonts w:ascii="Arial" w:hAnsi="Arial" w:cs="Arial" w:eastAsia="Arial"/>
          <w:b w:val="0"/>
          <w:bCs w:val="0"/>
          <w:sz w:val="21"/>
          <w:szCs w:val="21"/>
        </w:rPr>
        <w:t>• كيف_تبدأ_في_GRC.pptx: العرض القابل للتحرير مع ملاحظات المتحدث. يحتاج الخطين في مجلد fonts مثبتين على الجهاز.</w:t>
      </w:r>
    </w:p>
    <w:p>
      <w:pPr>
        <w:bidi/>
        <w:spacing w:after="60"/>
        <w:ind w:right="283" w:hanging="255"/>
      </w:pPr>
      <w:r>
        <w:rPr>
          <w:rFonts w:ascii="Arial" w:hAnsi="Arial" w:cs="Arial" w:eastAsia="Arial"/>
          <w:b w:val="0"/>
          <w:bCs w:val="0"/>
          <w:sz w:val="21"/>
          <w:szCs w:val="21"/>
        </w:rPr>
        <w:t>• كيف_تبدأ_في_GRC.pdf: نسخة PDF للمراجعة.</w:t>
      </w:r>
    </w:p>
    <w:p>
      <w:pPr>
        <w:bidi/>
        <w:spacing w:after="60"/>
        <w:ind w:right="283" w:hanging="255"/>
      </w:pPr>
      <w:r>
        <w:rPr>
          <w:rFonts w:ascii="Arial" w:hAnsi="Arial" w:cs="Arial" w:eastAsia="Arial"/>
          <w:b w:val="0"/>
          <w:bCs w:val="0"/>
          <w:sz w:val="21"/>
          <w:szCs w:val="21"/>
        </w:rPr>
        <w:t>• كراسة_التمارين_كيف_تبدأ_في_GRC.docx:‏ 12 تمريناً بترتيب العرض، منها التطبيقات الأربعة بنماذج تعبأ.</w:t>
      </w:r>
    </w:p>
    <w:p>
      <w:pPr>
        <w:bidi/>
        <w:spacing w:after="60"/>
        <w:ind w:right="283" w:hanging="255"/>
      </w:pPr>
      <w:r>
        <w:rPr>
          <w:rFonts w:ascii="Arial" w:hAnsi="Arial" w:cs="Arial" w:eastAsia="Arial"/>
          <w:b w:val="0"/>
          <w:bCs w:val="0"/>
          <w:sz w:val="21"/>
          <w:szCs w:val="21"/>
        </w:rPr>
        <w:t>• الإجابات_النموذجية_وطريقة_الحل.docx: لكل تمرين الطريقة والإجابة والسبب والأخطاء الشائعة وما يُقبل من اختلاف.</w:t>
      </w:r>
    </w:p>
    <w:sectPr w:rsidR="00FC693F" w:rsidRPr="0006063C" w:rsidSect="00034616">
      <w:headerReference w:type="default" r:id="rId9"/>
      <w:footerReference w:type="default" r:id="rId10"/>
      <w:pgSz w:w="11906" w:h="16838"/>
      <w:pgMar w:top="1134" w:right="1134" w:bottom="1134" w:left="1134" w:header="567"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
      <w:rPr>
        <w:rFonts w:ascii="Arial" w:hAnsi="Arial" w:cs="Arial" w:eastAsia="Arial"/>
        <w:color w:val="555555"/>
        <w:sz w:val="17"/>
        <w:szCs w:val="17"/>
      </w:rPr>
      <w:t xml:space="preserve">كيف تبدأ في GRC — بيانات تدريبية افتراضية — صفحة </w:t>
    </w:r>
    <w:r>
      <w:rPr>
        <w:rFonts w:ascii="Arial" w:hAnsi="Arial" w:cs="Arial" w:eastAsia="Arial"/>
        <w:color w:val="555555"/>
        <w:sz w:val="17"/>
        <w:szCs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r>
      <w:rPr>
        <w:rFonts w:ascii="Arial" w:hAnsi="Arial" w:cs="Arial" w:eastAsia="Arial"/>
        <w:color w:val="555555"/>
        <w:sz w:val="17"/>
        <w:szCs w:val="17"/>
      </w:rPr>
      <w:t>كيف تبدأ في GRC · ملخص التغييرات</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before="0" w:after="100" w:line="276" w:lineRule="auto"/>
    </w:pPr>
    <w:rPr>
      <w:rFonts w:ascii="Arial" w:hAnsi="Arial" w:cs="Arial" w:eastAsia="Arial"/>
      <w:sz w:val="22"/>
      <w:szCs w:val="22"/>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00"/>
      <w:outlineLvl w:val="0"/>
    </w:pPr>
    <w:rPr>
      <w:rFonts w:ascii="Arial" w:hAnsi="Arial" w:cs="Arial" w:eastAsia="Arial"/>
      <w:b w:val="1"/>
      <w:bCs w:val="1"/>
      <w:i w:val="0"/>
      <w:iCs w:val="0"/>
      <w:color w:val="1F3A5F" w:themeColor="accent1" w:themeShade="BF"/>
      <w:sz w:val="32"/>
      <w:szCs w:val="32"/>
    </w:rPr>
  </w:style>
  <w:style w:type="paragraph" w:styleId="Heading2">
    <w:name w:val="heading 2"/>
    <w:basedOn w:val="Normal"/>
    <w:next w:val="Normal"/>
    <w:link w:val="Heading2Char"/>
    <w:uiPriority w:val="9"/>
    <w:unhideWhenUsed/>
    <w:qFormat/>
    <w:rsid w:val="00FC693F"/>
    <w:pPr>
      <w:keepNext/>
      <w:keepLines/>
      <w:bidi/>
      <w:spacing w:before="180" w:after="100"/>
      <w:outlineLvl w:val="1"/>
    </w:pPr>
    <w:rPr>
      <w:rFonts w:ascii="Arial" w:hAnsi="Arial" w:cs="Arial" w:eastAsia="Arial"/>
      <w:b w:val="1"/>
      <w:bCs w:val="1"/>
      <w:i w:val="0"/>
      <w:iCs w:val="0"/>
      <w:color w:val="1F3A5F" w:themeColor="accent1"/>
      <w:sz w:val="27"/>
      <w:szCs w:val="27"/>
    </w:rPr>
  </w:style>
  <w:style w:type="paragraph" w:styleId="Heading3">
    <w:name w:val="heading 3"/>
    <w:basedOn w:val="Normal"/>
    <w:next w:val="Normal"/>
    <w:link w:val="Heading3Char"/>
    <w:uiPriority w:val="9"/>
    <w:unhideWhenUsed/>
    <w:qFormat/>
    <w:rsid w:val="00FC693F"/>
    <w:pPr>
      <w:keepNext/>
      <w:keepLines/>
      <w:bidi/>
      <w:spacing w:before="180" w:after="100"/>
      <w:outlineLvl w:val="2"/>
    </w:pPr>
    <w:rPr>
      <w:rFonts w:ascii="Arial" w:hAnsi="Arial" w:cs="Arial" w:eastAsia="Arial"/>
      <w:b w:val="1"/>
      <w:bCs w:val="1"/>
      <w:i w:val="0"/>
      <w:iCs w:val="0"/>
      <w:color w:val="1F3A5F"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bidi/>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s="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ملخص التغييرات والمعلومات الدورية</dc:title>
  <dc:subject/>
  <dc:creator>كيف تبدأ في GRC</dc:creator>
  <cp:keywords>GRC; بيانات تدريبية افتراضية</cp:keywords>
  <dc:description>بيانات تدريبية افتراضية</dc:description>
  <cp:lastModifiedBy/>
  <cp:revision>1</cp:revision>
  <dcterms:created xsi:type="dcterms:W3CDTF">2013-12-23T23:15:00Z</dcterms:created>
  <dcterms:modified xsi:type="dcterms:W3CDTF">2013-12-23T23:15:00Z</dcterms:modified>
  <cp:category/>
</cp:coreProperties>
</file>