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للمؤلف</w:t>
      </w:r>
    </w:p>
    <w:p>
      <w:pPr>
        <w:bidi/>
        <w:spacing w:after="80"/>
        <w:jc w:val="center"/>
      </w:pPr>
      <w:r>
        <w:rPr>
          <w:rFonts w:ascii="Arial" w:hAnsi="Arial" w:cs="Arial" w:eastAsia="Arial"/>
          <w:b w:val="1"/>
          <w:bCs w:val="1"/>
          <w:color w:val="1F3A5F"/>
          <w:sz w:val="40"/>
          <w:szCs w:val="40"/>
        </w:rPr>
        <w:t>ملخص التغييرات والمعلومات الدورية</w:t>
      </w:r>
    </w:p>
    <w:p>
      <w:pPr>
        <w:bidi/>
        <w:spacing w:after="200"/>
        <w:jc w:val="center"/>
      </w:pPr>
      <w:r>
        <w:rPr>
          <w:rFonts w:ascii="Arial" w:hAnsi="Arial" w:cs="Arial" w:eastAsia="Arial"/>
          <w:b w:val="0"/>
          <w:bCs w:val="0"/>
          <w:color w:val="333333"/>
          <w:sz w:val="24"/>
          <w:szCs w:val="24"/>
        </w:rPr>
        <w:t>كيف تبدأ في GRC · النسخة 3: التصميم البصري · 27 أكتوبر 2026</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أهم التغييرات في هذه النسخة</w:t>
      </w:r>
    </w:p>
    <w:p>
      <w:pPr>
        <w:pStyle w:val="Heading2"/>
        <w:bidi/>
      </w:pPr>
      <w:r>
        <w:rPr>
          <w:rFonts w:ascii="Arial" w:hAnsi="Arial" w:cs="Arial" w:eastAsia="Arial"/>
          <w:b w:val="0"/>
          <w:bCs w:val="0"/>
        </w:rPr>
        <w:t>توازن الخط</w:t>
      </w:r>
    </w:p>
    <w:p>
      <w:pPr>
        <w:bidi/>
        <w:spacing w:after="60"/>
        <w:ind w:right="283" w:hanging="255"/>
      </w:pPr>
      <w:r>
        <w:rPr>
          <w:rFonts w:ascii="Arial" w:hAnsi="Arial" w:cs="Arial" w:eastAsia="Arial"/>
          <w:b w:val="0"/>
          <w:bCs w:val="0"/>
          <w:sz w:val="21"/>
          <w:szCs w:val="21"/>
        </w:rPr>
        <w:t>• مقياس خط واحد للعرض كله: العناوين 30 نقطة، والنص الأساسي 18 إلى 20 نقطة، والجداول والنماذج 16 نقطة فأكثر، والمصادر والتذييلات وتسميات النماذج 12 نقطة. والعبارة المفتاحية القصيرة وحدها قد تكبر.</w:t>
      </w:r>
    </w:p>
    <w:p>
      <w:pPr>
        <w:bidi/>
        <w:spacing w:after="60"/>
        <w:ind w:right="283" w:hanging="255"/>
      </w:pPr>
      <w:r>
        <w:rPr>
          <w:rFonts w:ascii="Arial" w:hAnsi="Arial" w:cs="Arial" w:eastAsia="Arial"/>
          <w:b w:val="0"/>
          <w:bCs w:val="0"/>
          <w:sz w:val="21"/>
          <w:szCs w:val="21"/>
        </w:rPr>
        <w:t>• نص القراءة (المتن والجداول والنماذج) بوسيط 18 نقطة في PowerPoint:‏ 66% منه 18 نقطة فأكثر، و96% منه 16 نقطة فأكثر، و4% أصغر من 16 نقطة. والمصادر والتذييلات وتسميات النماذج 12 إلى 13 نقطة، والعناوين 30 نقطة.</w:t>
      </w:r>
    </w:p>
    <w:p>
      <w:pPr>
        <w:bidi/>
        <w:spacing w:after="60"/>
        <w:ind w:right="283" w:hanging="255"/>
      </w:pPr>
      <w:r>
        <w:rPr>
          <w:rFonts w:ascii="Arial" w:hAnsi="Arial" w:cs="Arial" w:eastAsia="Arial"/>
          <w:b w:val="0"/>
          <w:bCs w:val="0"/>
          <w:sz w:val="21"/>
          <w:szCs w:val="21"/>
        </w:rPr>
        <w:t>• لم يُصغَّر نص لحشر محتوى. ما طال قُسّم أو نُقلت تفاصيله إلى ملاحظات المتحدث: الملاحظة في التطبيق 4 صارت شريحتين في المثال وفي الإجابة، وإجابات الأسئلة الأربعة على الأدلة اختُصرت على الشريحة وبقيت كاملة في الملاحظات والكراسة.</w:t>
      </w:r>
    </w:p>
    <w:p>
      <w:pPr>
        <w:bidi/>
        <w:spacing w:after="60"/>
        <w:ind w:right="283" w:hanging="255"/>
      </w:pPr>
      <w:r>
        <w:rPr>
          <w:rFonts w:ascii="Arial" w:hAnsi="Arial" w:cs="Arial" w:eastAsia="Arial"/>
          <w:b w:val="0"/>
          <w:bCs w:val="0"/>
          <w:sz w:val="21"/>
          <w:szCs w:val="21"/>
        </w:rPr>
        <w:t>• ما بقي أصغر من 16 نقطة: تسميات المخططات (خلايا المصفوفة، وأوصاف المخطط التنظيمي، وأنظمة الحالة)، ونماذج السيرة ولينكدإن التي تحاكي حجم النص الحقيقي، والنظرة العامة على سجل المخاطر بأعمدته الثلاثة عشر (الشريحة 53)، وتليها ثلاث شرائح تكبّر أعمدته (الشرائح 54 إلى 56).</w:t>
      </w:r>
    </w:p>
    <w:p>
      <w:pPr>
        <w:bidi/>
        <w:spacing w:after="60"/>
        <w:ind w:right="283" w:hanging="255"/>
      </w:pPr>
      <w:r>
        <w:rPr>
          <w:rFonts w:ascii="Arial" w:hAnsi="Arial" w:cs="Arial" w:eastAsia="Arial"/>
          <w:b w:val="0"/>
          <w:bCs w:val="0"/>
          <w:sz w:val="21"/>
          <w:szCs w:val="21"/>
        </w:rPr>
        <w:t>• في نافذة فيديو بعرض ثلث الشاشة يصبح نص 16 نقطة بارتفاع نحو 11 بكسل، فيُقرأ بصعوبة. لذلك تطلب ملاحظات المتحدث إيقاف الفيديو في التمارين، والكراسة فيها الأدلة كاملة جداول قابلة للقراءة.</w:t>
      </w:r>
    </w:p>
    <w:p>
      <w:pPr>
        <w:pStyle w:val="Heading2"/>
        <w:bidi/>
      </w:pPr>
      <w:r>
        <w:rPr>
          <w:rFonts w:ascii="Arial" w:hAnsi="Arial" w:cs="Arial" w:eastAsia="Arial"/>
          <w:b w:val="0"/>
          <w:bCs w:val="0"/>
        </w:rPr>
        <w:t>صناديق أقل وتكوين أوضح</w:t>
      </w:r>
    </w:p>
    <w:p>
      <w:pPr>
        <w:bidi/>
        <w:spacing w:after="60"/>
        <w:ind w:right="283" w:hanging="255"/>
      </w:pPr>
      <w:r>
        <w:rPr>
          <w:rFonts w:ascii="Arial" w:hAnsi="Arial" w:cs="Arial" w:eastAsia="Arial"/>
          <w:b w:val="0"/>
          <w:bCs w:val="0"/>
          <w:sz w:val="21"/>
          <w:szCs w:val="21"/>
        </w:rPr>
        <w:t>• البطاقات النصية المتكررة استُبدلت بتخطيطات تناسب الفكرة: تدفق للمستويات الثلاثة، ومخطط تنظيمي للأدوار، وخطوات مرقمة، ومقارنات بخط علوي ملون بدل صندوق كامل، ونماذج عليها تعليقات مرقمة.</w:t>
      </w:r>
    </w:p>
    <w:p>
      <w:pPr>
        <w:bidi/>
        <w:spacing w:after="60"/>
        <w:ind w:right="283" w:hanging="255"/>
      </w:pPr>
      <w:r>
        <w:rPr>
          <w:rFonts w:ascii="Arial" w:hAnsi="Arial" w:cs="Arial" w:eastAsia="Arial"/>
          <w:b w:val="0"/>
          <w:bCs w:val="0"/>
          <w:sz w:val="21"/>
          <w:szCs w:val="21"/>
        </w:rPr>
        <w:t>• لكل شريحة نقطة تركيز واحدة. والشارات ثابتة: الوحدة، و«التطبيق N من 4»، ونوع الشريحة (مثال محلول، تمرين، إجابة نموذجية).</w:t>
      </w:r>
    </w:p>
    <w:p>
      <w:pPr>
        <w:pStyle w:val="Heading2"/>
        <w:bidi/>
      </w:pPr>
      <w:r>
        <w:rPr>
          <w:rFonts w:ascii="Arial" w:hAnsi="Arial" w:cs="Arial" w:eastAsia="Arial"/>
          <w:b w:val="0"/>
          <w:bCs w:val="0"/>
        </w:rPr>
        <w:t>نماذج بصرية تعليمية</w:t>
      </w:r>
    </w:p>
    <w:p>
      <w:pPr>
        <w:bidi/>
        <w:spacing w:after="60"/>
        <w:ind w:right="283" w:hanging="255"/>
      </w:pPr>
      <w:r>
        <w:rPr>
          <w:rFonts w:ascii="Arial" w:hAnsi="Arial" w:cs="Arial" w:eastAsia="Arial"/>
          <w:b w:val="0"/>
          <w:bCs w:val="0"/>
          <w:sz w:val="21"/>
          <w:szCs w:val="21"/>
        </w:rPr>
        <w:t>• الحوكمة: بند السياسة في صفحة وثيقة بتعليقات على المتطلب والمسؤول والتكرار والدليل (الشريحة 31)، والمعيار والإجراء للموضوع نفسه (الشريحتين 32 و33)، ومخطط المسؤوليات (الشريحة 22)، ومصفوفة RACI بحروف ملونة (الشريحة 30).</w:t>
      </w:r>
    </w:p>
    <w:p>
      <w:pPr>
        <w:bidi/>
        <w:spacing w:after="60"/>
        <w:ind w:right="283" w:hanging="255"/>
      </w:pPr>
      <w:r>
        <w:rPr>
          <w:rFonts w:ascii="Arial" w:hAnsi="Arial" w:cs="Arial" w:eastAsia="Arial"/>
          <w:b w:val="0"/>
          <w:bCs w:val="0"/>
          <w:sz w:val="21"/>
          <w:szCs w:val="21"/>
        </w:rPr>
        <w:t>• المخاطر: سجل مخاطر بشكل جدول بيانات ببيانات رُفاد، صف مكتمل ثم ثلاث شرائح تشرح أعمدته: الأصل ووصف الخطر، والضوابط والتقييم والمالك، والمعالجة والمتبقي والمتابعة (الشرائح 53 إلى 56). والمصفوفة بمحورين وعناوين أوضح (الشريحة 47).</w:t>
      </w:r>
    </w:p>
    <w:p>
      <w:pPr>
        <w:bidi/>
        <w:spacing w:after="60"/>
        <w:ind w:right="283" w:hanging="255"/>
      </w:pPr>
      <w:r>
        <w:rPr>
          <w:rFonts w:ascii="Arial" w:hAnsi="Arial" w:cs="Arial" w:eastAsia="Arial"/>
          <w:b w:val="0"/>
          <w:bCs w:val="0"/>
          <w:sz w:val="21"/>
          <w:szCs w:val="21"/>
        </w:rPr>
        <w:t>• الأدلة: لقطة إعداد التحقق، وسجل التغييرات، ومطابقة المعرّفات، وسجل الاتصالات بطريقة التحقق وتاريخ كل اتصال (الشرائح 76 إلى 79)، ولكل دليل الأسئلة الأربعة: ما الذي نراه؟ ماذا يثبت؟ ماذا لا يثبت؟ ما المطلوب إضافةً؟</w:t>
      </w:r>
    </w:p>
    <w:p>
      <w:pPr>
        <w:bidi/>
        <w:spacing w:after="60"/>
        <w:ind w:right="283" w:hanging="255"/>
      </w:pPr>
      <w:r>
        <w:rPr>
          <w:rFonts w:ascii="Arial" w:hAnsi="Arial" w:cs="Arial" w:eastAsia="Arial"/>
          <w:b w:val="0"/>
          <w:bCs w:val="0"/>
          <w:sz w:val="21"/>
          <w:szCs w:val="21"/>
        </w:rPr>
        <w:t>• وفي حالة المتدرب: ملف مراجعة الصلاحيات واعتماده، وتذكرة الإزالة، وتصدير الحسابات النشطة مع قائمة المغادرين (الشرائح 83 إلى 85)، ثم الإجابة بالأسئلة الأربعة (الشرائح 88 إلى 90).</w:t>
      </w:r>
    </w:p>
    <w:p>
      <w:pPr>
        <w:bidi/>
        <w:spacing w:after="60"/>
        <w:ind w:right="283" w:hanging="255"/>
      </w:pPr>
      <w:r>
        <w:rPr>
          <w:rFonts w:ascii="Arial" w:hAnsi="Arial" w:cs="Arial" w:eastAsia="Arial"/>
          <w:b w:val="0"/>
          <w:bCs w:val="0"/>
          <w:sz w:val="21"/>
          <w:szCs w:val="21"/>
        </w:rPr>
        <w:t>• الملاحظة وخطة التصحيح: ملاحظة مكتملة في نموذج وثيقة (الشريحتين 95 و96)، ومتتبع إجراءات بالإجراء والمالك والموعد والحالة ودليل الإغلاق، والإجراءات مجموعة تحت شريطين ملونين: «معالجة الحالة» و«منع التكرار» (الشريحتين 94 و97).</w:t>
      </w:r>
    </w:p>
    <w:p>
      <w:pPr>
        <w:bidi/>
        <w:spacing w:after="60"/>
        <w:ind w:right="283" w:hanging="255"/>
      </w:pPr>
      <w:r>
        <w:rPr>
          <w:rFonts w:ascii="Arial" w:hAnsi="Arial" w:cs="Arial" w:eastAsia="Arial"/>
          <w:b w:val="0"/>
          <w:bCs w:val="0"/>
          <w:sz w:val="21"/>
          <w:szCs w:val="21"/>
        </w:rPr>
        <w:t>• السيرة ولينكدإن: كل نموذج على شريحتين، وكل جزء مشروح بحجم مقروء (الشريحتين 146 و147، والشريحتين 155 و156).</w:t>
      </w:r>
    </w:p>
    <w:p>
      <w:pPr>
        <w:bidi/>
        <w:spacing w:after="60"/>
        <w:ind w:right="283" w:hanging="255"/>
      </w:pPr>
      <w:r>
        <w:rPr>
          <w:rFonts w:ascii="Arial" w:hAnsi="Arial" w:cs="Arial" w:eastAsia="Arial"/>
          <w:b w:val="0"/>
          <w:bCs w:val="0"/>
          <w:sz w:val="21"/>
          <w:szCs w:val="21"/>
        </w:rPr>
        <w:t>• أضيفت 19 شريحة، فصار العرض 184 شريحة بدل 165. المحتوى والتسلسل والتطبيقات كما هي.</w:t>
      </w:r>
    </w:p>
    <w:p>
      <w:pPr>
        <w:pStyle w:val="Heading2"/>
        <w:bidi/>
      </w:pPr>
      <w:r>
        <w:rPr>
          <w:rFonts w:ascii="Arial" w:hAnsi="Arial" w:cs="Arial" w:eastAsia="Arial"/>
          <w:b w:val="0"/>
          <w:bCs w:val="0"/>
        </w:rPr>
        <w:t>قواعد النماذج والصور</w:t>
      </w:r>
    </w:p>
    <w:p>
      <w:pPr>
        <w:bidi/>
        <w:spacing w:after="60"/>
        <w:ind w:right="283" w:hanging="255"/>
      </w:pPr>
      <w:r>
        <w:rPr>
          <w:rFonts w:ascii="Arial" w:hAnsi="Arial" w:cs="Arial" w:eastAsia="Arial"/>
          <w:b w:val="0"/>
          <w:bCs w:val="0"/>
          <w:sz w:val="21"/>
          <w:szCs w:val="21"/>
        </w:rPr>
        <w:t>• كل نموذج يحمل عبارة «نموذج تعليمي · بيانات افتراضية»، وواجهات الأنظمة عامة بلا اسم منتج ولا شعار، فلا يبدو أي منها لقطة من منصة تجارية.</w:t>
      </w:r>
    </w:p>
    <w:p>
      <w:pPr>
        <w:bidi/>
        <w:spacing w:after="60"/>
        <w:ind w:right="283" w:hanging="255"/>
      </w:pPr>
      <w:r>
        <w:rPr>
          <w:rFonts w:ascii="Arial" w:hAnsi="Arial" w:cs="Arial" w:eastAsia="Arial"/>
          <w:b w:val="0"/>
          <w:bCs w:val="0"/>
          <w:sz w:val="21"/>
          <w:szCs w:val="21"/>
        </w:rPr>
        <w:t>• لا صور مولدة ولا لقطات شاشة خارجية: كل النماذج والجداول والمخططات عناصر قابلة للتحرير في PowerPoint، لذلك لا توجد صور خارجية تحتاج روابط مصدر.</w:t>
      </w:r>
    </w:p>
    <w:p>
      <w:pPr>
        <w:pStyle w:val="Heading2"/>
        <w:bidi/>
      </w:pPr>
      <w:r>
        <w:rPr>
          <w:rFonts w:ascii="Arial" w:hAnsi="Arial" w:cs="Arial" w:eastAsia="Arial"/>
          <w:b w:val="0"/>
          <w:bCs w:val="0"/>
        </w:rPr>
        <w:t>تصحيح مثال التحقق متعدد العوامل (التطبيق 3)</w:t>
      </w:r>
    </w:p>
    <w:p>
      <w:pPr>
        <w:bidi/>
        <w:spacing w:after="60"/>
        <w:ind w:right="283" w:hanging="255"/>
      </w:pPr>
      <w:r>
        <w:rPr>
          <w:rFonts w:ascii="Arial" w:hAnsi="Arial" w:cs="Arial" w:eastAsia="Arial"/>
          <w:b w:val="0"/>
          <w:bCs w:val="0"/>
          <w:sz w:val="21"/>
          <w:szCs w:val="21"/>
        </w:rPr>
        <w:t>• لم يعد المثال يستنتج من فرق العدد بين 41 و38. الدليل د4 صار قائمتين بالمعرّفات مطابقتين حساباً حساباً (الشريحة 78)، والدليل د6 الجديد مستخرج من سجل الاتصالات يبين طريقة التحقق وتاريخ كل اتصال للحسابات الثلاثة (الشريحة 79).</w:t>
      </w:r>
    </w:p>
    <w:p>
      <w:pPr>
        <w:bidi/>
        <w:spacing w:after="60"/>
        <w:ind w:right="283" w:hanging="255"/>
      </w:pPr>
      <w:r>
        <w:rPr>
          <w:rFonts w:ascii="Arial" w:hAnsi="Arial" w:cs="Arial" w:eastAsia="Arial"/>
          <w:b w:val="0"/>
          <w:bCs w:val="0"/>
          <w:sz w:val="21"/>
          <w:szCs w:val="21"/>
        </w:rPr>
        <w:t>• سجل التغييرات (د3) يبين تفعيل الإلزام في 10 مارس الساعة 09:42، وإنشاء سياسة استثناء VPN-Legacy بعده بدقائق لثلاثة حسابات (الشريحة 77).</w:t>
      </w:r>
    </w:p>
    <w:p>
      <w:pPr>
        <w:bidi/>
        <w:spacing w:after="60"/>
        <w:ind w:right="283" w:hanging="255"/>
      </w:pPr>
      <w:r>
        <w:rPr>
          <w:rFonts w:ascii="Arial" w:hAnsi="Arial" w:cs="Arial" w:eastAsia="Arial"/>
          <w:b w:val="0"/>
          <w:bCs w:val="0"/>
          <w:sz w:val="21"/>
          <w:szCs w:val="21"/>
        </w:rPr>
        <w:t>• حُدّثت الشرائح المتأثرة: أسئلة الفحص والنتيجة (الشريحة 80)، والملاحظة F-03 وسببها (الشريحتين 95 و96)، وخطة التصحيح، وملاحظات المتحدث، والكراسة والإجابات.</w:t>
      </w:r>
    </w:p>
    <w:p>
      <w:pPr>
        <w:bidi/>
        <w:spacing w:after="60"/>
        <w:ind w:right="283" w:hanging="255"/>
      </w:pPr>
      <w:r>
        <w:rPr>
          <w:rFonts w:ascii="Arial" w:hAnsi="Arial" w:cs="Arial" w:eastAsia="Arial"/>
          <w:b w:val="0"/>
          <w:bCs w:val="0"/>
          <w:sz w:val="21"/>
          <w:szCs w:val="21"/>
        </w:rPr>
        <w:t>• وصُحح استنتاج مشابه في إجابة الدليل د5: غياب موظف من مقتطف من 5 صفوف لا يعني أن حسابه أُلغي (الشريحة 90).</w:t>
      </w:r>
    </w:p>
    <w:p>
      <w:pPr>
        <w:pStyle w:val="Heading2"/>
        <w:bidi/>
      </w:pPr>
      <w:r>
        <w:rPr>
          <w:rFonts w:ascii="Arial" w:hAnsi="Arial" w:cs="Arial" w:eastAsia="Arial"/>
          <w:b w:val="0"/>
          <w:bCs w:val="0"/>
        </w:rPr>
        <w:t>بيانات تدريبية أضيفت (كلها افتراضية)</w:t>
      </w:r>
    </w:p>
    <w:p>
      <w:pPr>
        <w:bidi/>
        <w:spacing w:after="60"/>
        <w:ind w:right="283" w:hanging="255"/>
      </w:pPr>
      <w:r>
        <w:rPr>
          <w:rFonts w:ascii="Arial" w:hAnsi="Arial" w:cs="Arial" w:eastAsia="Arial"/>
          <w:b w:val="0"/>
          <w:bCs w:val="0"/>
          <w:sz w:val="21"/>
          <w:szCs w:val="21"/>
        </w:rPr>
        <w:t>• التحقق متعدد العوامل: شاشة السياسة بتاريخ 5 يوليو، وسجل تغييرات من 4 أسطر (18 فبراير و10 مارس)، ومطابقة المعرّفات، وسجل اتصالات من 6 أسطر، وعدد اتصالات الحسابات الثلاثة: 9 و6 و14، أي 29.</w:t>
      </w:r>
    </w:p>
    <w:p>
      <w:pPr>
        <w:bidi/>
        <w:spacing w:after="60"/>
        <w:ind w:right="283" w:hanging="255"/>
      </w:pPr>
      <w:r>
        <w:rPr>
          <w:rFonts w:ascii="Arial" w:hAnsi="Arial" w:cs="Arial" w:eastAsia="Arial"/>
          <w:b w:val="0"/>
          <w:bCs w:val="0"/>
          <w:sz w:val="21"/>
          <w:szCs w:val="21"/>
        </w:rPr>
        <w:t>• صلاحيات نظام الرواتب: مقتطف من ملف المراجعة (6 من 214، واعتماد 8 أبريل)، والتذكرة REQ-2026-0418 (فُتحت 8 أبريل وأُغلقت 20 مايو)، ومقتطف تصدير 2 يوليو (5 من 221)، والمغادرون الثلاثة في مايو بتواريخهم.</w:t>
      </w:r>
    </w:p>
    <w:p>
      <w:pPr>
        <w:bidi/>
        <w:spacing w:after="60"/>
        <w:ind w:right="283" w:hanging="255"/>
      </w:pPr>
      <w:r>
        <w:rPr>
          <w:rFonts w:ascii="Arial" w:hAnsi="Arial" w:cs="Arial" w:eastAsia="Arial"/>
          <w:b w:val="0"/>
          <w:bCs w:val="0"/>
          <w:sz w:val="21"/>
          <w:szCs w:val="21"/>
        </w:rPr>
        <w:t>• رموز الوثائق POL-AC-01 وSTD-AC-01 وPRC-AC-03، ورقما الملاحظتين F-03 وF-04.</w:t>
      </w:r>
    </w:p>
    <w:p>
      <w:pPr>
        <w:bidi/>
        <w:spacing w:after="60"/>
        <w:ind w:right="283" w:hanging="255"/>
      </w:pPr>
      <w:r>
        <w:rPr>
          <w:rFonts w:ascii="Arial" w:hAnsi="Arial" w:cs="Arial" w:eastAsia="Arial"/>
          <w:b w:val="0"/>
          <w:bCs w:val="0"/>
          <w:sz w:val="21"/>
          <w:szCs w:val="21"/>
        </w:rPr>
        <w:t>• كلها متسقة مع أرقام الحالة السابقة: 214 حساباً، و12 للإزالة، و9 أزيلت حتى 12 أبريل و3 في 20 مايو، و221 حساباً نشطاً في 2 يوليو، و38 عضواً و41 متصلاً.</w:t>
      </w:r>
    </w:p>
    <w:p>
      <w:pPr>
        <w:pStyle w:val="Heading2"/>
        <w:bidi/>
      </w:pPr>
      <w:r>
        <w:rPr>
          <w:rFonts w:ascii="Arial" w:hAnsi="Arial" w:cs="Arial" w:eastAsia="Arial"/>
          <w:b w:val="0"/>
          <w:bCs w:val="0"/>
        </w:rPr>
        <w:t>الشرائح 69 و70 و72 و108 وصفحات الروابط</w:t>
      </w:r>
    </w:p>
    <w:p>
      <w:pPr>
        <w:bidi/>
        <w:spacing w:after="60"/>
        <w:ind w:right="283" w:hanging="255"/>
      </w:pPr>
      <w:r>
        <w:rPr>
          <w:rFonts w:ascii="Arial" w:hAnsi="Arial" w:cs="Arial" w:eastAsia="Arial"/>
          <w:b w:val="0"/>
          <w:bCs w:val="0"/>
          <w:sz w:val="21"/>
          <w:szCs w:val="21"/>
        </w:rPr>
        <w:t>• أرقامها تغيرت بعد الإضافات. هي الآن: الأدلة المستلمة في المثال (الشريحة 75)، والفحص والنتيجة (الشريحة 80)، وأدلة المتدرب (الشريحة 82)، وشهادات ISO من الاختبار إلى اللقب (الشريحة 126)، وصفحات الروابط (الشرائح 181 إلى 183).</w:t>
      </w:r>
    </w:p>
    <w:p>
      <w:pPr>
        <w:bidi/>
        <w:spacing w:after="60"/>
        <w:ind w:right="283" w:hanging="255"/>
      </w:pPr>
      <w:r>
        <w:rPr>
          <w:rFonts w:ascii="Arial" w:hAnsi="Arial" w:cs="Arial" w:eastAsia="Arial"/>
          <w:b w:val="0"/>
          <w:bCs w:val="0"/>
          <w:sz w:val="21"/>
          <w:szCs w:val="21"/>
        </w:rPr>
        <w:t>• لم يظهر فيها تداخل حين عُرضت في مشغّل العرض نفسه ولا في Chromium. السبب الأرجح لما ظهر عندك: خط بديل حين لا يكون الخطان مثبتين، أو نص يلتف سطراً إضافياً في PowerPoint فيدخل في ما تحته، لأن مربعات النص في PowerPoint لا تدفع ما بعدها كما في المتصفح.</w:t>
      </w:r>
    </w:p>
    <w:p>
      <w:pPr>
        <w:bidi/>
        <w:spacing w:after="60"/>
        <w:ind w:right="283" w:hanging="255"/>
      </w:pPr>
      <w:r>
        <w:rPr>
          <w:rFonts w:ascii="Arial" w:hAnsi="Arial" w:cs="Arial" w:eastAsia="Arial"/>
          <w:b w:val="0"/>
          <w:bCs w:val="0"/>
          <w:sz w:val="21"/>
          <w:szCs w:val="21"/>
        </w:rPr>
        <w:t>• فحصنا ملف PowerPoint نفسه بعد تحويله إلى PDF، مقارنة مربعاً مربعاً بالعرض الأصلي، فوجد تداخلين من هذا النوع وأصلحناهما: سؤالا الحوكمة والمخاطر (الشريحة 9)، وسؤال «مطبق» (الشريحة 69). وبقي فرق صغير في ارتفاع صفوف بعض الجداول (9 إلى 27 بكسل في الشرائح 15 و20 و30 و37 و86 و136) لا يسبب تداخلاً.</w:t>
      </w:r>
    </w:p>
    <w:p>
      <w:pPr>
        <w:bidi/>
        <w:spacing w:after="60"/>
        <w:ind w:right="283" w:hanging="255"/>
      </w:pPr>
      <w:r>
        <w:rPr>
          <w:rFonts w:ascii="Arial" w:hAnsi="Arial" w:cs="Arial" w:eastAsia="Arial"/>
          <w:b w:val="0"/>
          <w:bCs w:val="0"/>
          <w:sz w:val="21"/>
          <w:szCs w:val="21"/>
        </w:rPr>
        <w:t>• وفحصناه مرة ثانية بعد إخفاء الخطين عن الجهاز، فاستبدل بهما LibreOffice خطوطاً أعرض. ظهرت عندها تداخلات في عناصر قصيرة: أسماء الوظائف في لينكدإن (الشريحة 160)، والمهارات (الشريحة 156)، والأرقام في الشريحة 110 والشريحة 164. فاستبدلنا بالأزرار الصغيرة نصاً يلتف بحرية، وأعطينا الأرقام خانات أعرض. وبقي رأس ملف لينكدإن (الشريحة 155) يتزاحم مع الخط البديل لأنه يحاكي مقاس الصفحة الحقيقية. الخلاصة: ثبّت الخطين قبل فتح الملف أو عرضه.</w:t>
      </w:r>
    </w:p>
    <w:p>
      <w:pPr>
        <w:bidi/>
        <w:spacing w:after="60"/>
        <w:ind w:right="283" w:hanging="255"/>
      </w:pPr>
      <w:r>
        <w:rPr>
          <w:rFonts w:ascii="Arial" w:hAnsi="Arial" w:cs="Arial" w:eastAsia="Arial"/>
          <w:b w:val="0"/>
          <w:bCs w:val="0"/>
          <w:sz w:val="21"/>
          <w:szCs w:val="21"/>
        </w:rPr>
        <w:t>• عُرضت كل الشرائح في مشغّل العرض بدقة 1920×1080 وروجعت بصرياً. وما أصلحناه: كلمات انكسرت في منتصفها (R-07، والاحتمال، وISACA، ومفتوح)، وأعمدة فارغة في نماذج الجداول، وأسهم وأشرطة في غير موضعها، واتجاه «Security+» و«IT Audit Fund.» داخل النص العربي.</w:t>
      </w:r>
    </w:p>
    <w:p>
      <w:pPr>
        <w:pStyle w:val="Heading2"/>
        <w:bidi/>
      </w:pPr>
      <w:r>
        <w:rPr>
          <w:rFonts w:ascii="Arial" w:hAnsi="Arial" w:cs="Arial" w:eastAsia="Arial"/>
          <w:b w:val="0"/>
          <w:bCs w:val="0"/>
        </w:rPr>
        <w:t>ملاحظات المتحدث</w:t>
      </w:r>
    </w:p>
    <w:p>
      <w:pPr>
        <w:bidi/>
        <w:spacing w:after="60"/>
        <w:ind w:right="283" w:hanging="255"/>
      </w:pPr>
      <w:r>
        <w:rPr>
          <w:rFonts w:ascii="Arial" w:hAnsi="Arial" w:cs="Arial" w:eastAsia="Arial"/>
          <w:b w:val="0"/>
          <w:bCs w:val="0"/>
          <w:sz w:val="21"/>
          <w:szCs w:val="21"/>
        </w:rPr>
        <w:t>• كُتبت من جديد لكل شريحة تغير شكلها، وتشرح ما يظهر عليها بالترتيب نفسه: من أي جزء يبدأ النظر، وماذا يعني كل تعليق مرقم.</w:t>
      </w:r>
    </w:p>
    <w:p>
      <w:pPr>
        <w:bidi/>
        <w:spacing w:after="60"/>
        <w:ind w:right="283" w:hanging="255"/>
      </w:pPr>
      <w:r>
        <w:rPr>
          <w:rFonts w:ascii="Arial" w:hAnsi="Arial" w:cs="Arial" w:eastAsia="Arial"/>
          <w:b w:val="0"/>
          <w:bCs w:val="0"/>
          <w:sz w:val="21"/>
          <w:szCs w:val="21"/>
        </w:rPr>
        <w:t>• ملاحظات شرائح الأدلة تقول صراحة إن الواجهة نموذج تعليمي، لا لقطة من منتج حقيقي.</w:t>
      </w:r>
    </w:p>
    <w:p>
      <w:pPr>
        <w:pStyle w:val="Heading1"/>
        <w:bidi/>
      </w:pPr>
      <w:r>
        <w:rPr>
          <w:rFonts w:ascii="Arial" w:hAnsi="Arial" w:cs="Arial" w:eastAsia="Arial"/>
          <w:b w:val="0"/>
          <w:bCs w:val="0"/>
        </w:rPr>
        <w:t>قرار الشعارات</w:t>
      </w:r>
    </w:p>
    <w:p>
      <w:pPr>
        <w:bidi/>
      </w:pPr>
      <w:r>
        <w:rPr>
          <w:rFonts w:ascii="Arial" w:hAnsi="Arial" w:cs="Arial" w:eastAsia="Arial"/>
          <w:b w:val="0"/>
          <w:bCs w:val="0"/>
          <w:sz w:val="21"/>
          <w:szCs w:val="21"/>
        </w:rPr>
        <w:t>لم نُدرج الشعارات في هذه النسخة أيضاً، ولم نولّد أي شعار. الشعارات الأصلية لا تُستخدم إلا بإذن أصحابها: ISO تمنع استخدام اسمها وشعارها خارج الحالات المرخصة، وعلامات ISC‏2 مخصصة للحاصلين على شهاداتها وتحتاج طلباً مكتوباً لغير ذلك، وأصول علامة ISACA تحتاج موافقة، وشعار NIST يتبع سياسة وزارة التجارة الأمريكية التي تشترط الإذن. والكورس منتج تجاري غير معتمد من أي منها، والشعار على شريحة قد يوحي باعتماد غير موجود. إن كان لديك إذن مكتوب من جهة ما، تضاف شعاراتها الأصلية من مصدرها الرسمي ويوثق المصدر في الملاحظات.</w:t>
      </w:r>
    </w:p>
    <w:p>
      <w:pPr>
        <w:pStyle w:val="Heading1"/>
        <w:bidi/>
      </w:pPr>
      <w:r>
        <w:rPr>
          <w:rFonts w:ascii="Arial" w:hAnsi="Arial" w:cs="Arial" w:eastAsia="Arial"/>
          <w:b w:val="0"/>
          <w:bCs w:val="0"/>
        </w:rPr>
        <w:t>معلومات تحتاج تحديثاً دورياً</w:t>
      </w:r>
    </w:p>
    <w:p>
      <w:pPr>
        <w:bidi/>
      </w:pPr>
      <w:r>
        <w:rPr>
          <w:rFonts w:ascii="Arial" w:hAnsi="Arial" w:cs="Arial" w:eastAsia="Arial"/>
          <w:b w:val="0"/>
          <w:bCs w:val="0"/>
          <w:sz w:val="21"/>
          <w:szCs w:val="21"/>
        </w:rPr>
        <w:t>كل المعلومات المتغيرة متحقق منها في 27 أكتوبر 2026، وتاريخ التحقق مكتوب في الملاحظات والملحق. هذه النسخة لم تغير أي رقم منها. حين تحدّث رقماً حدّث التاريخ معه.</w:t>
      </w:r>
    </w:p>
    <w:tbl>
      <w:tblPr>
        <w:tblStyle w:val="TableGrid"/>
        <w:bidiVisual/>
        <w:tblW w:type="dxa" w:w="9637"/>
        <w:jc w:val="center"/>
        <w:tblLayout w:type="fixed"/>
        <w:tblLook w:firstColumn="1" w:firstRow="1" w:lastColumn="0" w:lastRow="0" w:noHBand="0" w:noVBand="1" w:val="04A0"/>
      </w:tblPr>
      <w:tblGrid>
        <w:gridCol w:w="3968"/>
        <w:gridCol w:w="2381"/>
        <w:gridCol w:w="3288"/>
      </w:tblGrid>
      <w:tr>
        <w:trPr>
          <w:cantSplit/>
          <w:tblHeader/>
        </w:trPr>
        <w:tc>
          <w:tcPr>
            <w:tcW w:type="dxa" w:w="3969"/>
            <w:shd w:val="clear" w:color="auto" w:fill="D9E2F3"/>
          </w:tcPr>
          <w:p>
            <w:pPr>
              <w:bidi/>
              <w:spacing w:after="20" w:line="252" w:lineRule="auto"/>
            </w:pPr>
            <w:r/>
            <w:r>
              <w:rPr>
                <w:rFonts w:ascii="Arial" w:hAnsi="Arial" w:cs="Arial" w:eastAsia="Arial"/>
                <w:b w:val="1"/>
                <w:bCs w:val="1"/>
                <w:sz w:val="20"/>
                <w:szCs w:val="20"/>
              </w:rPr>
              <w:t>المعلومة</w:t>
            </w:r>
          </w:p>
        </w:tc>
        <w:tc>
          <w:tcPr>
            <w:tcW w:type="dxa" w:w="2381"/>
            <w:shd w:val="clear" w:color="auto" w:fill="D9E2F3"/>
          </w:tcPr>
          <w:p>
            <w:pPr>
              <w:bidi/>
              <w:spacing w:after="20" w:line="252" w:lineRule="auto"/>
            </w:pPr>
            <w:r/>
            <w:r>
              <w:rPr>
                <w:rFonts w:ascii="Arial" w:hAnsi="Arial" w:cs="Arial" w:eastAsia="Arial"/>
                <w:b w:val="1"/>
                <w:bCs w:val="1"/>
                <w:sz w:val="20"/>
                <w:szCs w:val="20"/>
              </w:rPr>
              <w:t>متى تراجعها</w:t>
            </w:r>
          </w:p>
        </w:tc>
        <w:tc>
          <w:tcPr>
            <w:tcW w:type="dxa" w:w="3288"/>
            <w:shd w:val="clear" w:color="auto" w:fill="D9E2F3"/>
          </w:tcPr>
          <w:p>
            <w:pPr>
              <w:bidi/>
              <w:spacing w:after="20" w:line="252" w:lineRule="auto"/>
            </w:pPr>
            <w:r/>
            <w:r>
              <w:rPr>
                <w:rFonts w:ascii="Arial" w:hAnsi="Arial" w:cs="Arial" w:eastAsia="Arial"/>
                <w:b w:val="1"/>
                <w:bCs w:val="1"/>
                <w:sz w:val="20"/>
                <w:szCs w:val="20"/>
              </w:rPr>
              <w:t>أين في العرض</w:t>
            </w:r>
          </w:p>
        </w:tc>
      </w:tr>
      <w:tr>
        <w:trPr>
          <w:cantSplit/>
        </w:trPr>
        <w:tc>
          <w:tcPr>
            <w:tcW w:type="dxa" w:w="3969"/>
          </w:tcPr>
          <w:p>
            <w:pPr>
              <w:bidi/>
              <w:spacing w:after="20" w:line="252" w:lineRule="auto"/>
            </w:pPr>
            <w:r/>
            <w:r>
              <w:rPr>
                <w:rFonts w:ascii="Arial" w:hAnsi="Arial" w:cs="Arial" w:eastAsia="Arial"/>
                <w:b w:val="0"/>
                <w:bCs w:val="0"/>
                <w:sz w:val="20"/>
                <w:szCs w:val="20"/>
              </w:rPr>
              <w:t>رسوم الشهادات وتجديدها</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الشريحتين 174 و175</w:t>
            </w:r>
          </w:p>
        </w:tc>
      </w:tr>
      <w:tr>
        <w:trPr>
          <w:cantSplit/>
        </w:trPr>
        <w:tc>
          <w:tcPr>
            <w:tcW w:type="dxa" w:w="3969"/>
          </w:tcPr>
          <w:p>
            <w:pPr>
              <w:bidi/>
              <w:spacing w:after="20" w:line="252" w:lineRule="auto"/>
            </w:pPr>
            <w:r/>
            <w:r>
              <w:rPr>
                <w:rFonts w:ascii="Arial" w:hAnsi="Arial" w:cs="Arial" w:eastAsia="Arial"/>
                <w:b w:val="0"/>
                <w:bCs w:val="0"/>
                <w:sz w:val="20"/>
                <w:szCs w:val="20"/>
              </w:rPr>
              <w:t>مخطط CISM وأوزانه، ومخططات الاختبارات الأخرى</w:t>
            </w:r>
          </w:p>
        </w:tc>
        <w:tc>
          <w:tcPr>
            <w:tcW w:type="dxa" w:w="2381"/>
          </w:tcPr>
          <w:p>
            <w:pPr>
              <w:bidi/>
              <w:spacing w:after="20" w:line="252" w:lineRule="auto"/>
            </w:pPr>
            <w:r/>
            <w:r>
              <w:rPr>
                <w:rFonts w:ascii="Arial" w:hAnsi="Arial" w:cs="Arial" w:eastAsia="Arial"/>
                <w:b w:val="0"/>
                <w:bCs w:val="0"/>
                <w:sz w:val="20"/>
                <w:szCs w:val="20"/>
              </w:rPr>
              <w:t>كل 6 أشهر، وقبل كل تسجيل</w:t>
            </w:r>
          </w:p>
        </w:tc>
        <w:tc>
          <w:tcPr>
            <w:tcW w:type="dxa" w:w="3288"/>
          </w:tcPr>
          <w:p>
            <w:pPr>
              <w:bidi/>
              <w:spacing w:after="20" w:line="252" w:lineRule="auto"/>
            </w:pPr>
            <w:r/>
            <w:r>
              <w:rPr>
                <w:rFonts w:ascii="Arial" w:hAnsi="Arial" w:cs="Arial" w:eastAsia="Arial"/>
                <w:b w:val="0"/>
                <w:bCs w:val="0"/>
                <w:sz w:val="20"/>
                <w:szCs w:val="20"/>
              </w:rPr>
              <w:t>الشريحتين 128 و176</w:t>
            </w:r>
          </w:p>
        </w:tc>
      </w:tr>
      <w:tr>
        <w:trPr>
          <w:cantSplit/>
        </w:trPr>
        <w:tc>
          <w:tcPr>
            <w:tcW w:type="dxa" w:w="3969"/>
          </w:tcPr>
          <w:p>
            <w:pPr>
              <w:bidi/>
              <w:spacing w:after="20" w:line="252" w:lineRule="auto"/>
            </w:pPr>
            <w:r/>
            <w:r>
              <w:rPr>
                <w:rFonts w:ascii="Arial" w:hAnsi="Arial" w:cs="Arial" w:eastAsia="Arial"/>
                <w:b w:val="0"/>
                <w:bCs w:val="0"/>
                <w:sz w:val="20"/>
                <w:szCs w:val="20"/>
              </w:rPr>
              <w:t>لغات الاختبارات</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الشرائح 134، 177، 178</w:t>
            </w:r>
          </w:p>
        </w:tc>
      </w:tr>
      <w:tr>
        <w:trPr>
          <w:cantSplit/>
        </w:trPr>
        <w:tc>
          <w:tcPr>
            <w:tcW w:type="dxa" w:w="3969"/>
          </w:tcPr>
          <w:p>
            <w:pPr>
              <w:bidi/>
              <w:spacing w:after="20" w:line="252" w:lineRule="auto"/>
            </w:pPr>
            <w:r/>
            <w:r>
              <w:rPr>
                <w:rFonts w:ascii="Arial" w:hAnsi="Arial" w:cs="Arial" w:eastAsia="Arial"/>
                <w:b w:val="0"/>
                <w:bCs w:val="0"/>
                <w:sz w:val="20"/>
                <w:szCs w:val="20"/>
              </w:rPr>
              <w:t>إصدارات ECC والأطر السعودية ونطاقها</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الشرائح 113، 114، 179، 180</w:t>
            </w:r>
          </w:p>
        </w:tc>
      </w:tr>
      <w:tr>
        <w:trPr>
          <w:cantSplit/>
        </w:trPr>
        <w:tc>
          <w:tcPr>
            <w:tcW w:type="dxa" w:w="3969"/>
          </w:tcPr>
          <w:p>
            <w:pPr>
              <w:bidi/>
              <w:spacing w:after="20" w:line="252" w:lineRule="auto"/>
            </w:pPr>
            <w:r/>
            <w:r>
              <w:rPr>
                <w:rFonts w:ascii="Arial" w:hAnsi="Arial" w:cs="Arial" w:eastAsia="Arial"/>
                <w:b w:val="0"/>
                <w:bCs w:val="0"/>
                <w:sz w:val="20"/>
                <w:szCs w:val="20"/>
              </w:rPr>
              <w:t>الإطار الوطني لإدارة المخاطر NFCRM</w:t>
            </w:r>
          </w:p>
        </w:tc>
        <w:tc>
          <w:tcPr>
            <w:tcW w:type="dxa" w:w="2381"/>
          </w:tcPr>
          <w:p>
            <w:pPr>
              <w:bidi/>
              <w:spacing w:after="20" w:line="252" w:lineRule="auto"/>
            </w:pPr>
            <w:r/>
            <w:r>
              <w:rPr>
                <w:rFonts w:ascii="Arial" w:hAnsi="Arial" w:cs="Arial" w:eastAsia="Arial"/>
                <w:b w:val="0"/>
                <w:bCs w:val="0"/>
                <w:sz w:val="20"/>
                <w:szCs w:val="20"/>
              </w:rPr>
              <w:t>عند أي تحديث من الهيئة</w:t>
            </w:r>
          </w:p>
        </w:tc>
        <w:tc>
          <w:tcPr>
            <w:tcW w:type="dxa" w:w="3288"/>
          </w:tcPr>
          <w:p>
            <w:pPr>
              <w:bidi/>
              <w:spacing w:after="20" w:line="252" w:lineRule="auto"/>
            </w:pPr>
            <w:r/>
            <w:r>
              <w:rPr>
                <w:rFonts w:ascii="Arial" w:hAnsi="Arial" w:cs="Arial" w:eastAsia="Arial"/>
                <w:b w:val="0"/>
                <w:bCs w:val="0"/>
                <w:sz w:val="20"/>
                <w:szCs w:val="20"/>
              </w:rPr>
              <w:t>الشرائح 44 إلى 47</w:t>
            </w:r>
          </w:p>
        </w:tc>
      </w:tr>
      <w:tr>
        <w:trPr>
          <w:cantSplit/>
        </w:trPr>
        <w:tc>
          <w:tcPr>
            <w:tcW w:type="dxa" w:w="3969"/>
          </w:tcPr>
          <w:p>
            <w:pPr>
              <w:bidi/>
              <w:spacing w:after="20" w:line="252" w:lineRule="auto"/>
            </w:pPr>
            <w:r/>
            <w:r>
              <w:rPr>
                <w:rFonts w:ascii="Arial" w:hAnsi="Arial" w:cs="Arial" w:eastAsia="Arial"/>
                <w:b w:val="0"/>
                <w:bCs w:val="0"/>
                <w:sz w:val="20"/>
                <w:szCs w:val="20"/>
              </w:rPr>
              <w:t>إصدارات ISO وNIST وPCI DSS</w:t>
            </w:r>
          </w:p>
        </w:tc>
        <w:tc>
          <w:tcPr>
            <w:tcW w:type="dxa" w:w="2381"/>
          </w:tcPr>
          <w:p>
            <w:pPr>
              <w:bidi/>
              <w:spacing w:after="20" w:line="252" w:lineRule="auto"/>
            </w:pPr>
            <w:r/>
            <w:r>
              <w:rPr>
                <w:rFonts w:ascii="Arial" w:hAnsi="Arial" w:cs="Arial" w:eastAsia="Arial"/>
                <w:b w:val="0"/>
                <w:bCs w:val="0"/>
                <w:sz w:val="20"/>
                <w:szCs w:val="20"/>
              </w:rPr>
              <w:t>سنوياً</w:t>
            </w:r>
          </w:p>
        </w:tc>
        <w:tc>
          <w:tcPr>
            <w:tcW w:type="dxa" w:w="3288"/>
          </w:tcPr>
          <w:p>
            <w:pPr>
              <w:bidi/>
              <w:spacing w:after="20" w:line="252" w:lineRule="auto"/>
            </w:pPr>
            <w:r/>
            <w:r>
              <w:rPr>
                <w:rFonts w:ascii="Arial" w:hAnsi="Arial" w:cs="Arial" w:eastAsia="Arial"/>
                <w:b w:val="0"/>
                <w:bCs w:val="0"/>
                <w:sz w:val="20"/>
                <w:szCs w:val="20"/>
              </w:rPr>
              <w:t>الشرائح 107 إلى 112</w:t>
            </w:r>
          </w:p>
        </w:tc>
      </w:tr>
      <w:tr>
        <w:trPr>
          <w:cantSplit/>
        </w:trPr>
        <w:tc>
          <w:tcPr>
            <w:tcW w:type="dxa" w:w="3969"/>
          </w:tcPr>
          <w:p>
            <w:pPr>
              <w:bidi/>
              <w:spacing w:after="20" w:line="252" w:lineRule="auto"/>
            </w:pPr>
            <w:r/>
            <w:r>
              <w:rPr>
                <w:rFonts w:ascii="Arial" w:hAnsi="Arial" w:cs="Arial" w:eastAsia="Arial"/>
                <w:b w:val="0"/>
                <w:bCs w:val="0"/>
                <w:sz w:val="20"/>
                <w:szCs w:val="20"/>
              </w:rPr>
              <w:t>جهة الإشراف على نظام حماية البيانات الشخصية</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الشريحة 65</w:t>
            </w:r>
          </w:p>
        </w:tc>
      </w:tr>
      <w:tr>
        <w:trPr>
          <w:cantSplit/>
        </w:trPr>
        <w:tc>
          <w:tcPr>
            <w:tcW w:type="dxa" w:w="3969"/>
          </w:tcPr>
          <w:p>
            <w:pPr>
              <w:bidi/>
              <w:spacing w:after="20" w:line="252" w:lineRule="auto"/>
            </w:pPr>
            <w:r/>
            <w:r>
              <w:rPr>
                <w:rFonts w:ascii="Arial" w:hAnsi="Arial" w:cs="Arial" w:eastAsia="Arial"/>
                <w:b w:val="0"/>
                <w:bCs w:val="0"/>
                <w:sz w:val="20"/>
                <w:szCs w:val="20"/>
              </w:rPr>
              <w:t>حدود لينكدإن ومقاساته</w:t>
            </w:r>
          </w:p>
        </w:tc>
        <w:tc>
          <w:tcPr>
            <w:tcW w:type="dxa" w:w="2381"/>
          </w:tcPr>
          <w:p>
            <w:pPr>
              <w:bidi/>
              <w:spacing w:after="20" w:line="252" w:lineRule="auto"/>
            </w:pPr>
            <w:r/>
            <w:r>
              <w:rPr>
                <w:rFonts w:ascii="Arial" w:hAnsi="Arial" w:cs="Arial" w:eastAsia="Arial"/>
                <w:b w:val="0"/>
                <w:bCs w:val="0"/>
                <w:sz w:val="20"/>
                <w:szCs w:val="20"/>
              </w:rPr>
              <w:t>سنوياً</w:t>
            </w:r>
          </w:p>
        </w:tc>
        <w:tc>
          <w:tcPr>
            <w:tcW w:type="dxa" w:w="3288"/>
          </w:tcPr>
          <w:p>
            <w:pPr>
              <w:bidi/>
              <w:spacing w:after="20" w:line="252" w:lineRule="auto"/>
            </w:pPr>
            <w:r/>
            <w:r>
              <w:rPr>
                <w:rFonts w:ascii="Arial" w:hAnsi="Arial" w:cs="Arial" w:eastAsia="Arial"/>
                <w:b w:val="0"/>
                <w:bCs w:val="0"/>
                <w:sz w:val="20"/>
                <w:szCs w:val="20"/>
              </w:rPr>
              <w:t>الشريحتين 155 و160</w:t>
            </w:r>
          </w:p>
        </w:tc>
      </w:tr>
    </w:tbl>
    <w:p>
      <w:pPr>
        <w:spacing w:after="40"/>
      </w:pPr>
    </w:p>
    <w:p>
      <w:pPr>
        <w:pStyle w:val="Heading2"/>
        <w:bidi/>
      </w:pPr>
      <w:r>
        <w:rPr>
          <w:rFonts w:ascii="Arial" w:hAnsi="Arial" w:cs="Arial" w:eastAsia="Arial"/>
          <w:b w:val="0"/>
          <w:bCs w:val="0"/>
        </w:rPr>
        <w:t>ما لم نتمكن من التحقق منه</w:t>
      </w:r>
    </w:p>
    <w:p>
      <w:pPr>
        <w:bidi/>
        <w:spacing w:after="60"/>
        <w:ind w:right="283" w:hanging="255"/>
      </w:pPr>
      <w:r>
        <w:rPr>
          <w:rFonts w:ascii="Arial" w:hAnsi="Arial" w:cs="Arial" w:eastAsia="Arial"/>
          <w:b w:val="0"/>
          <w:bCs w:val="0"/>
          <w:sz w:val="21"/>
          <w:szCs w:val="21"/>
        </w:rPr>
        <w:t>• سعر اختبار Security+: يعرضه موقع CompTIA حسب الدولة ولم نتمكن من قراءته. الملحق يقول ذلك ولا يذكر رقماً.</w:t>
      </w:r>
    </w:p>
    <w:p>
      <w:pPr>
        <w:bidi/>
        <w:spacing w:after="60"/>
        <w:ind w:right="283" w:hanging="255"/>
      </w:pPr>
      <w:r>
        <w:rPr>
          <w:rFonts w:ascii="Arial" w:hAnsi="Arial" w:cs="Arial" w:eastAsia="Arial"/>
          <w:b w:val="0"/>
          <w:bCs w:val="0"/>
          <w:sz w:val="21"/>
          <w:szCs w:val="21"/>
        </w:rPr>
        <w:t>• رسم إعادة اختبار IAPP: آخر رقم موثق 375 دولاراً في دليل 2022، ومذكور بهذه الصفة.</w:t>
      </w:r>
    </w:p>
    <w:p>
      <w:pPr>
        <w:bidi/>
        <w:spacing w:after="60"/>
        <w:ind w:right="283" w:hanging="255"/>
      </w:pPr>
      <w:r>
        <w:rPr>
          <w:rFonts w:ascii="Arial" w:hAnsi="Arial" w:cs="Arial" w:eastAsia="Arial"/>
          <w:b w:val="0"/>
          <w:bCs w:val="0"/>
          <w:sz w:val="21"/>
          <w:szCs w:val="21"/>
        </w:rPr>
        <w:t>• تجديد GRCP: صفحة OCEG تذكر قاعدتين متعارضتين، ومذكور ذلك في الملحق.</w:t>
      </w:r>
    </w:p>
    <w:p>
      <w:pPr>
        <w:bidi/>
        <w:spacing w:after="60"/>
        <w:ind w:right="283" w:hanging="255"/>
      </w:pPr>
      <w:r>
        <w:rPr>
          <w:rFonts w:ascii="Arial" w:hAnsi="Arial" w:cs="Arial" w:eastAsia="Arial"/>
          <w:b w:val="0"/>
          <w:bCs w:val="0"/>
          <w:sz w:val="21"/>
          <w:szCs w:val="21"/>
        </w:rPr>
        <w:t>• رسم PECB السنوي ولغة اختبارها، ولغات اختبارات OCEG وIT Risk Fundamentals: لم نتمكن من تأكيدها، والعرض يحيل إلى الصفحة الرسمية.</w:t>
      </w:r>
    </w:p>
    <w:p>
      <w:pPr>
        <w:bidi/>
        <w:spacing w:after="60"/>
        <w:ind w:right="283" w:hanging="255"/>
      </w:pPr>
      <w:r>
        <w:rPr>
          <w:rFonts w:ascii="Arial" w:hAnsi="Arial" w:cs="Arial" w:eastAsia="Arial"/>
          <w:b w:val="0"/>
          <w:bCs w:val="0"/>
          <w:sz w:val="21"/>
          <w:szCs w:val="21"/>
        </w:rPr>
        <w:t>• الحد الرسمي لعدد حروف عنوان لينكدإن: لم نجده في صفحات المساعدة، والعرض لا يذكر رقماً له.</w:t>
      </w:r>
    </w:p>
    <w:p>
      <w:pPr>
        <w:bidi/>
        <w:spacing w:after="60"/>
        <w:ind w:right="283" w:hanging="255"/>
      </w:pPr>
      <w:r>
        <w:rPr>
          <w:rFonts w:ascii="Arial" w:hAnsi="Arial" w:cs="Arial" w:eastAsia="Arial"/>
          <w:b w:val="0"/>
          <w:bCs w:val="0"/>
          <w:sz w:val="21"/>
          <w:szCs w:val="21"/>
        </w:rPr>
        <w:t>• انتقال الإشراف على نظام حماية البيانات الشخصية من سدايا: لم نتمكن من تأكيده، والملاحظات تحيل إلى الموقع الرسمي.</w:t>
      </w:r>
    </w:p>
    <w:p>
      <w:pPr>
        <w:pStyle w:val="Heading1"/>
        <w:bidi/>
      </w:pPr>
      <w:r>
        <w:rPr>
          <w:rFonts w:ascii="Arial" w:hAnsi="Arial" w:cs="Arial" w:eastAsia="Arial"/>
          <w:b w:val="0"/>
          <w:bCs w:val="0"/>
        </w:rPr>
        <w:t>ملفات التسليم</w:t>
      </w:r>
    </w:p>
    <w:p>
      <w:pPr>
        <w:bidi/>
        <w:spacing w:after="60"/>
        <w:ind w:right="283" w:hanging="255"/>
      </w:pPr>
      <w:r>
        <w:rPr>
          <w:rFonts w:ascii="Arial" w:hAnsi="Arial" w:cs="Arial" w:eastAsia="Arial"/>
          <w:b w:val="0"/>
          <w:bCs w:val="0"/>
          <w:sz w:val="21"/>
          <w:szCs w:val="21"/>
        </w:rPr>
        <w:t>• 01_العرض/كيف_تبدأ_في_GRC.pptx: العرض القابل للتحرير، 184 شريحة، مع ملاحظات المتحدث والمصادر. يحتاج الخطين في 03_الخطوط مثبتين على الجهاز.</w:t>
      </w:r>
    </w:p>
    <w:p>
      <w:pPr>
        <w:bidi/>
        <w:spacing w:after="60"/>
        <w:ind w:right="283" w:hanging="255"/>
      </w:pPr>
      <w:r>
        <w:rPr>
          <w:rFonts w:ascii="Arial" w:hAnsi="Arial" w:cs="Arial" w:eastAsia="Arial"/>
          <w:b w:val="0"/>
          <w:bCs w:val="0"/>
          <w:sz w:val="21"/>
          <w:szCs w:val="21"/>
        </w:rPr>
        <w:t>• 01_العرض/كيف_تبدأ_في_GRC.pdf: نسخة PDF للمراجعة.</w:t>
      </w:r>
    </w:p>
    <w:p>
      <w:pPr>
        <w:bidi/>
        <w:spacing w:after="60"/>
        <w:ind w:right="283" w:hanging="255"/>
      </w:pPr>
      <w:r>
        <w:rPr>
          <w:rFonts w:ascii="Arial" w:hAnsi="Arial" w:cs="Arial" w:eastAsia="Arial"/>
          <w:b w:val="0"/>
          <w:bCs w:val="0"/>
          <w:sz w:val="21"/>
          <w:szCs w:val="21"/>
        </w:rPr>
        <w:t>• 02_الكراسة_والإجابات: كراسة التمارين (12 تمريناً، منها التطبيقات الأربعة بنماذج تعبأ ومقتطفات الأدلة جداول)، والإجابات النموذجية وطريقة الحل (ومنها جدول الأسئلة الأربعة للأدلة)، بصيغتي Word وPDF.</w:t>
      </w:r>
    </w:p>
    <w:p>
      <w:pPr>
        <w:bidi/>
        <w:spacing w:after="60"/>
        <w:ind w:right="283" w:hanging="255"/>
      </w:pPr>
      <w:r>
        <w:rPr>
          <w:rFonts w:ascii="Arial" w:hAnsi="Arial" w:cs="Arial" w:eastAsia="Arial"/>
          <w:b w:val="0"/>
          <w:bCs w:val="0"/>
          <w:sz w:val="21"/>
          <w:szCs w:val="21"/>
        </w:rPr>
        <w:t>• ملخص_التغييرات_والتحديث_الدوري.docx: هذا الملخص.</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ملخص التغييرات</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ملخص التغييرات والمعلومات الدورية</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