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443.0" w:type="dxa"/>
        <w:jc w:val="left"/>
        <w:tblLayout w:type="fixed"/>
        <w:tblLook w:val="0400"/>
      </w:tblPr>
      <w:tblGrid>
        <w:gridCol w:w="5443"/>
        <w:tblGridChange w:id="0">
          <w:tblGrid>
            <w:gridCol w:w="54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5" w:right="0" w:firstLine="0"/>
        <w:jc w:val="center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b w:val="1"/>
          <w:bCs w:val="1"/>
          <w:smallCaps w:val="1"/>
          <w:sz w:val="34"/>
          <w:szCs w:val="34"/>
          <w:rtl w:val="0"/>
        </w:rPr>
        <w:t xml:space="preserve">Resumo unidade 3 e 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5" w:right="0" w:firstLine="0"/>
        <w:rPr>
          <w:b w:val="1"/>
          <w:bCs w:val="1"/>
          <w:smallCap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5" w:right="0" w:firstLine="0"/>
        <w:rPr>
          <w:b w:val="1"/>
          <w:bCs w:val="1"/>
          <w:smallCap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5" w:right="0" w:firstLine="0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Luka Mraczansky Correa Dias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5" w:right="0" w:firstLine="0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Ciências da Computação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5" w:right="0" w:firstLine="0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UNIC Beira Rio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5" w:right="0" w:firstLine="0"/>
        <w:rPr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otij0nla0jf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ezt03inpu80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  <w:rtl w:val="0"/>
        </w:rPr>
        <w:t xml:space="preserve">Os dados na nuvem e a IoT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A Internet das Coisas gera grandes volumes de dados provenientes de sensores, dispositivos e sistemas conectados. A nuvem funciona como o ambiente ideal para armazenar, processar e gerenciar essas informações, oferecendo escalabilidade, segurança e disponibilidade. Com ela, é possível armazenar dados remotamente e acessá-los de qualquer lugar, possibilitando análises avançadas, visualização em tempo real e integração com serviços inteligentes.</w:t>
      </w:r>
    </w:p>
    <w:p w:rsidR="00000000" w:rsidDel="00000000" w:rsidP="00000000" w:rsidRDefault="00000000" w:rsidRPr="00000000" w14:paraId="0000000D">
      <w:pPr>
        <w:widowControl w:val="0"/>
        <w:ind w:left="-566.9291338582675" w:firstLine="0"/>
        <w:rPr>
          <w:smallCap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1v0k10s2mad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  <w:rtl w:val="0"/>
        </w:rPr>
        <w:t xml:space="preserve">O Raspberry Pi e a IoT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O Raspberry Pi é um microcomputador portátil de baixo custo usado para desenvolver protótipos e projetos de IoT. Ele possui poder de processamento suficiente para executar sistemas operacionais completos, conectar sensores, controlar dispositivos e rodar serviços na nuvem. Sua versatilidade permite criar aplicações como automação residencial, estações meteorológicas, gateways IoT e sistemas de vigilância, tornando-o uma das plataformas mais populares no desenvolvimento de soluções IoT educacionais e profissionais.</w:t>
      </w:r>
    </w:p>
    <w:p w:rsidR="00000000" w:rsidDel="00000000" w:rsidP="00000000" w:rsidRDefault="00000000" w:rsidRPr="00000000" w14:paraId="00000010">
      <w:pPr>
        <w:widowControl w:val="0"/>
        <w:ind w:left="-566.9291338582675" w:firstLine="0"/>
        <w:rPr>
          <w:smallCap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uanv76egwwk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  <w:rtl w:val="0"/>
        </w:rPr>
        <w:t xml:space="preserve">Computação em nuvem e a IoT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A computação em nuvem fornece infraestrutura sob demanda — servidores, armazenamento, bancos de dados e serviços de IA — essenciais para lidar com o grande volume de dados da IoT. Ela permite que dispositivos enviem informações para plataformas como AWS IoT, Azure IoT, Google Cloud IoT, entre outras. A nuvem também facilita a escalabilidade, atualizações automáticas, análises avançadas e integração com aplicações web e mobile, tornando a IoT mais robusta e eficiente.</w:t>
      </w:r>
    </w:p>
    <w:p w:rsidR="00000000" w:rsidDel="00000000" w:rsidP="00000000" w:rsidRDefault="00000000" w:rsidRPr="00000000" w14:paraId="00000013">
      <w:pPr>
        <w:widowControl w:val="0"/>
        <w:ind w:left="-566.9291338582675" w:firstLine="0"/>
        <w:rPr>
          <w:smallCap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7euxofzjo2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  <w:rtl w:val="0"/>
        </w:rPr>
        <w:t xml:space="preserve">Manipulação e análise de dados na IoT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Os dados coletados por sensores precisam ser filtrados, organizados, pré-processados e analisados para gerar conhecimento útil. Técnicas de </w:t>
      </w:r>
      <w:r w:rsidDel="00000000" w:rsidR="00000000" w:rsidRPr="00000000">
        <w:rPr>
          <w:i w:val="1"/>
          <w:iCs w:val="1"/>
          <w:smallCaps w:val="1"/>
          <w:sz w:val="26"/>
          <w:szCs w:val="26"/>
          <w:rtl w:val="0"/>
        </w:rPr>
        <w:t xml:space="preserve">data analytics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1"/>
          <w:sz w:val="26"/>
          <w:szCs w:val="26"/>
          <w:rtl w:val="0"/>
        </w:rPr>
        <w:t xml:space="preserve">machine learning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 são utilizadas para identificar padrões, detectar anomalias, prever eventos e tomar decisões automáticas. Ferramentas como Python, bancos de dados NoSQL e plataformas analíticas permitem desde a limpeza até a visualização dos dados, ajudando empresas e desenvolvedores a interpretar os resultados e melhorar processos.</w:t>
      </w:r>
    </w:p>
    <w:p w:rsidR="00000000" w:rsidDel="00000000" w:rsidP="00000000" w:rsidRDefault="00000000" w:rsidRPr="00000000" w14:paraId="00000016">
      <w:pPr>
        <w:widowControl w:val="0"/>
        <w:ind w:left="-566.9291338582675" w:firstLine="0"/>
        <w:rPr>
          <w:smallCap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nj6vec9hmcc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  <w:rtl w:val="0"/>
        </w:rPr>
        <w:t xml:space="preserve">Novos desenvolvimentos em IoT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A IoT evolui constantemente, impulsionada por inovações como 5G, sensores mais eficientes, chips de baixo consumo, redes LPWAN (LoRaWAN, Sigfox), IA embarcada e segurança aprimorada. Surgem também novos padrões de interoperabilidade, como Matter, para facilitar a comunicação entre dispositivos domésticos inteligentes. Além disso, a integração entre IoT, computação em borda e inteligência artificial está permitindo soluções mais rápidas, autônomas e confiáveis.</w:t>
      </w:r>
    </w:p>
    <w:p w:rsidR="00000000" w:rsidDel="00000000" w:rsidP="00000000" w:rsidRDefault="00000000" w:rsidRPr="00000000" w14:paraId="00000019">
      <w:pPr>
        <w:widowControl w:val="0"/>
        <w:ind w:left="-566.9291338582675" w:firstLine="0"/>
        <w:rPr>
          <w:smallCap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3vpe1l7c9rs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  <w:rtl w:val="0"/>
        </w:rPr>
        <w:t xml:space="preserve">Computação em neblina e computação de borda (nuvens locais)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A computação em borda (</w:t>
      </w:r>
      <w:r w:rsidDel="00000000" w:rsidR="00000000" w:rsidRPr="00000000">
        <w:rPr>
          <w:i w:val="1"/>
          <w:iCs w:val="1"/>
          <w:smallCaps w:val="1"/>
          <w:sz w:val="26"/>
          <w:szCs w:val="26"/>
          <w:rtl w:val="0"/>
        </w:rPr>
        <w:t xml:space="preserve">edge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) e a computação em neblina (</w:t>
      </w:r>
      <w:r w:rsidDel="00000000" w:rsidR="00000000" w:rsidRPr="00000000">
        <w:rPr>
          <w:i w:val="1"/>
          <w:iCs w:val="1"/>
          <w:smallCaps w:val="1"/>
          <w:sz w:val="26"/>
          <w:szCs w:val="26"/>
          <w:rtl w:val="0"/>
        </w:rPr>
        <w:t xml:space="preserve">fog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) aproximam o processamento dos dados dos próprios dispositivos IoT. Em vez de enviar tudo para a nuvem, parte do processamento acontece localmente — em gateways, roteadores ou microservidores. Isso reduz latência, economiza banda, aumenta a privacidade e torna o sistema mais resiliente. Essa abordagem é essencial para aplicações sensíveis ao tempo, como carros autônomos, cidades inteligentes e monitoramento industrial.</w:t>
      </w:r>
    </w:p>
    <w:p w:rsidR="00000000" w:rsidDel="00000000" w:rsidP="00000000" w:rsidRDefault="00000000" w:rsidRPr="00000000" w14:paraId="0000001C">
      <w:pPr>
        <w:widowControl w:val="0"/>
        <w:ind w:left="-566.9291338582675" w:firstLine="0"/>
        <w:rPr>
          <w:smallCap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tc0fvcu0st6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  <w:rtl w:val="0"/>
        </w:rPr>
        <w:t xml:space="preserve">Veículos conectados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Os veículos conectados utilizam sensores, GPS, redes 4G/5G e sistemas embarcados para se comunicar entre si, com a infraestrutura urbana e com serviços na nuvem. Eles permitem funções avançadas como monitoramento em tempo real, diagnóstico remoto, navegação inteligente, prevenção de acidentes e suporte a sistemas autônomos. A IoT no setor automotivo é uma das áreas que mais cresce, impulsionando inovações em segurança, conforto e eficiência.</w:t>
      </w:r>
    </w:p>
    <w:p w:rsidR="00000000" w:rsidDel="00000000" w:rsidP="00000000" w:rsidRDefault="00000000" w:rsidRPr="00000000" w14:paraId="0000001F">
      <w:pPr>
        <w:widowControl w:val="0"/>
        <w:ind w:left="-566.9291338582675" w:firstLine="0"/>
        <w:rPr>
          <w:smallCap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after="80" w:before="360" w:lineRule="auto"/>
        <w:ind w:left="-566.9291338582675" w:firstLine="0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</w:rPr>
      </w:pPr>
      <w:bookmarkStart w:colFirst="0" w:colLast="0" w:name="_4y8z2fkgnk6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4"/>
          <w:szCs w:val="34"/>
          <w:rtl w:val="0"/>
        </w:rPr>
        <w:t xml:space="preserve">IoT na prática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Na prática, a IoT aparece em soluções do dia a dia, como casas inteligentes, automação industrial, saúde conectada, agricultura de precisão, monitoramento ambiental e logística. Projetos IoT incluem sensores para captar dados, microcontroladores como Arduino ou Raspberry Pi para controlar dispositivos, comunicação via Wi-Fi, Bluetooth ou LoRa, e integração com plataformas na nuvem para armazenar e analisar informações. A aplicação prática enfatiza a combinação de hardware, software, conectividade e análise de dados para solucionar problemas reais.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rPr>
          <w:b w:val="1"/>
          <w:bCs w:val="1"/>
          <w:smallCaps w:val="1"/>
          <w:sz w:val="34"/>
          <w:szCs w:val="34"/>
        </w:rPr>
      </w:pPr>
      <w:r w:rsidDel="00000000" w:rsidR="00000000" w:rsidRPr="00000000">
        <w:rPr>
          <w:b w:val="1"/>
          <w:bCs w:val="1"/>
          <w:smallCaps w:val="1"/>
          <w:sz w:val="34"/>
          <w:szCs w:val="34"/>
          <w:rtl w:val="0"/>
        </w:rPr>
        <w:t xml:space="preserve">Referências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UNIC - Ambiente Virtual de Aprendizagem (AVA) - Internet das Coisas - Livros didáticos Unidade 3 e 4.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5" w:right="0" w:firstLine="0"/>
        <w:rPr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even"/>
      <w:footerReference r:id="rId8" w:type="default"/>
      <w:footerReference r:id="rId9" w:type="first"/>
      <w:footerReference r:id="rId10" w:type="even"/>
      <w:pgSz w:h="16840" w:w="11907" w:orient="portrait"/>
      <w:pgMar w:bottom="1134" w:top="1701" w:left="1701" w:right="1134" w:header="1134" w:footer="709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641985" cy="354965"/>
              <wp:effectExtent b="0" l="0" r="0" t="0"/>
              <wp:wrapNone/>
              <wp:docPr descr="Público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641985" cy="354965"/>
              <wp:effectExtent b="0" l="0" r="0" t="0"/>
              <wp:wrapNone/>
              <wp:docPr descr="Público" id="1" name="image1.png"/>
              <a:graphic>
                <a:graphicData uri="http://schemas.openxmlformats.org/drawingml/2006/picture">
                  <pic:pic>
                    <pic:nvPicPr>
                      <pic:cNvPr descr="Público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641985" cy="354965"/>
              <wp:effectExtent b="0" l="0" r="0" t="0"/>
              <wp:wrapNone/>
              <wp:docPr descr="Público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641985" cy="354965"/>
              <wp:effectExtent b="0" l="0" r="0" t="0"/>
              <wp:wrapNone/>
              <wp:docPr descr="Público" id="3" name="image3.png"/>
              <a:graphic>
                <a:graphicData uri="http://schemas.openxmlformats.org/drawingml/2006/picture">
                  <pic:pic>
                    <pic:nvPicPr>
                      <pic:cNvPr descr="Públic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641985" cy="354965"/>
              <wp:effectExtent b="0" l="0" r="0" t="0"/>
              <wp:wrapNone/>
              <wp:docPr descr="Público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-4761</wp:posOffset>
              </wp:positionV>
              <wp:extent cx="641985" cy="354965"/>
              <wp:effectExtent b="0" l="0" r="0" t="0"/>
              <wp:wrapNone/>
              <wp:docPr descr="Público" id="2" name="image2.png"/>
              <a:graphic>
                <a:graphicData uri="http://schemas.openxmlformats.org/drawingml/2006/picture">
                  <pic:pic>
                    <pic:nvPicPr>
                      <pic:cNvPr descr="Público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5b9bd5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1e4d78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="259" w:lineRule="auto"/>
    </w:pPr>
    <w:rPr>
      <w:rFonts w:ascii="Calibri" w:cs="Calibri" w:eastAsia="Calibri" w:hAnsi="Calibri"/>
      <w:i w:val="1"/>
      <w:iCs w:val="1"/>
      <w:color w:val="1e4d78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 Black" w:cs="Arial Black" w:eastAsia="Arial Black" w:hAnsi="Arial Black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0x01010066B2C54CA6B62E43BA9DDB887104CCEA</vt:lpwstr>
  </property>
  <property fmtid="{D5CDD505-2E9C-101B-9397-08002B2CF9AE}" pid="3" name="ClassificationContentMarkingFooterShapeIds">
    <vt:lpwstr>23ff864a,39048de,3a51bee5,63a63a83,4738c9bd,32978ef8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Público</vt:lpwstr>
  </property>
  <property fmtid="{D5CDD505-2E9C-101B-9397-08002B2CF9AE}" pid="6" name="MediaServiceImageTags">
    <vt:lpwstr>MediaServiceImageTags</vt:lpwstr>
  </property>
</Properties>
</file>