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ADR-001 — Sistema Fale Conosco</w:t>
      </w:r>
    </w:p>
    <w:p>
      <w:pPr>
        <w:jc w:val="center"/>
      </w:pPr>
      <w:r>
        <w:rPr>
          <w:i/>
        </w:rPr>
        <w:t>Registro de Decisões Arquiteturais, Restrições e Contexto Técnico</w:t>
      </w:r>
    </w:p>
    <w:p>
      <w:r>
        <w:rPr>
          <w:b/>
        </w:rPr>
        <w:t xml:space="preserve">Status: </w:t>
      </w:r>
      <w:r>
        <w:t>Aceita</w:t>
      </w:r>
    </w:p>
    <w:p>
      <w:r>
        <w:rPr>
          <w:b/>
        </w:rPr>
        <w:t xml:space="preserve">Sistema: </w:t>
      </w:r>
      <w:r>
        <w:t>Fale Conosco — CFM/CRMs</w:t>
      </w:r>
    </w:p>
    <w:p>
      <w:r>
        <w:rPr>
          <w:b/>
        </w:rPr>
        <w:t xml:space="preserve">Framework: </w:t>
      </w:r>
      <w:r>
        <w:t>CodeIgniter 4.1.9</w:t>
      </w:r>
    </w:p>
    <w:p>
      <w:r>
        <w:rPr>
          <w:b/>
        </w:rPr>
        <w:t xml:space="preserve">Linguagem: </w:t>
      </w:r>
      <w:r>
        <w:t>PHP &gt;= 7.3</w:t>
      </w:r>
    </w:p>
    <w:p>
      <w:r>
        <w:rPr>
          <w:b/>
        </w:rPr>
        <w:t xml:space="preserve">Arquitetura de dados: </w:t>
      </w:r>
      <w:r>
        <w:t>Stateless / sem banco de dados de aplicação</w:t>
      </w:r>
    </w:p>
    <w:p>
      <w:pPr>
        <w:pStyle w:val="Heading1"/>
      </w:pPr>
      <w:r>
        <w:t>1. Objetivo</w:t>
      </w:r>
    </w:p>
    <w:p>
      <w:r>
        <w:t>Esta ADR registra as decisões arquiteturais e técnicas que explicam o funcionamento do Sistema Fale Conosco e, principalmente, o motivo de determinadas tecnologias, estruturas e comportamentos terem sido adotados.</w:t>
      </w:r>
    </w:p>
    <w:p>
      <w:r>
        <w:t>O documento deve servir como memória técnica para futuros desenvolvedores. Antes de substituir uma tecnologia, remover um componente, alterar uma integração ou modificar uma regra de negócio, o contexto registrado nesta ADR deve ser considerado.</w:t>
      </w:r>
    </w:p>
    <w:p>
      <w:r>
        <w:t>Nem todo comportamento existente é uma boa prática universal. Alguns elementos são decisões arquiteturais; outros são legados ou dívidas técnicas que devem ser substituídos de forma controlada.</w:t>
      </w:r>
    </w:p>
    <w:p>
      <w:pPr>
        <w:pStyle w:val="Heading1"/>
      </w:pPr>
      <w:r>
        <w:t>2. Contexto</w:t>
      </w:r>
    </w:p>
    <w:p>
      <w:r>
        <w:t>O Sistema Fale Conosco pertence ao ecossistema do Conselho Federal de Medicina (CFM) e dos Conselhos Regionais de Medicina (CRMs). É uma aplicação web pública utilizada por cidadãos, médicos e pessoas jurídicas como canal parametrizado de contato.</w:t>
      </w:r>
    </w:p>
    <w:p>
      <w:r>
        <w:t>A mesma aplicação atende o CFM e diferentes CRMs, utilizando a UF para determinar o contexto do formulário, áreas de atendimento, destinatários e possíveis redirecionamentos.</w:t>
      </w:r>
    </w:p>
    <w:p>
      <w:pPr>
        <w:pStyle w:val="Heading1"/>
      </w:pPr>
      <w:r>
        <w:t>3. Arquitetura atual</w:t>
      </w:r>
    </w:p>
    <w:p>
      <w:pPr>
        <w:pStyle w:val="ListBullet"/>
      </w:pPr>
      <w:r>
        <w:t>Aplicação web pública, stateless e orientada a requisições.</w:t>
      </w:r>
    </w:p>
    <w:p>
      <w:pPr>
        <w:pStyle w:val="ListBullet"/>
      </w:pPr>
      <w:r>
        <w:t>CodeIgniter 4.1.9 sobre PHP &gt;= 7.3.</w:t>
      </w:r>
    </w:p>
    <w:p>
      <w:pPr>
        <w:pStyle w:val="ListBullet"/>
      </w:pPr>
      <w:r>
        <w:t>Rotas explícitas em app/Config/Routes.php, sem Auto-Route.</w:t>
      </w:r>
    </w:p>
    <w:p>
      <w:pPr>
        <w:pStyle w:val="ListBullet"/>
      </w:pPr>
      <w:r>
        <w:t>Views PHP com Bootstrap e JavaScript/jQuery.</w:t>
      </w:r>
    </w:p>
    <w:p>
      <w:pPr>
        <w:pStyle w:val="ListBullet"/>
      </w:pPr>
      <w:r>
        <w:t>Controllers responsáveis pelo processamento da requisição.</w:t>
      </w:r>
    </w:p>
    <w:p>
      <w:pPr>
        <w:pStyle w:val="ListBullet"/>
      </w:pPr>
      <w:r>
        <w:t>Matriz de regionais mantida em app/Helpers/regional_helper.php.</w:t>
      </w:r>
    </w:p>
    <w:p>
      <w:pPr>
        <w:pStyle w:val="ListBullet"/>
      </w:pPr>
      <w:r>
        <w:t>Anexos armazenados temporariamente em writable/uploads/temp/.</w:t>
      </w:r>
    </w:p>
    <w:p>
      <w:pPr>
        <w:pStyle w:val="ListBullet"/>
      </w:pPr>
      <w:r>
        <w:t>Envio de mensagens por SMTP institucional, atualmente via Mailgrid.</w:t>
      </w:r>
    </w:p>
    <w:p>
      <w:pPr>
        <w:pStyle w:val="ListBullet"/>
      </w:pPr>
      <w:r>
        <w:t>Sem banco de dados de aplicação, Models ativos ou histórico persistente de envios.</w:t>
      </w:r>
    </w:p>
    <w:p>
      <w:pPr>
        <w:pStyle w:val="Heading1"/>
      </w:pPr>
      <w:r>
        <w:t>4. Fluxo principal</w:t>
      </w:r>
    </w:p>
    <w:p>
      <w:pPr>
        <w:pStyle w:val="ListBullet"/>
      </w:pPr>
      <w:r>
        <w:t>Navegador → Routes.php</w:t>
      </w:r>
    </w:p>
    <w:p>
      <w:pPr>
        <w:pStyle w:val="ListBullet"/>
      </w:pPr>
      <w:r>
        <w:t>Routes.php → Controller</w:t>
      </w:r>
    </w:p>
    <w:p>
      <w:pPr>
        <w:pStyle w:val="ListBullet"/>
      </w:pPr>
      <w:r>
        <w:t>Controller → validação, resolução da regional e reCAPTCHA</w:t>
      </w:r>
    </w:p>
    <w:p>
      <w:pPr>
        <w:pStyle w:val="ListBullet"/>
      </w:pPr>
      <w:r>
        <w:t>Controller → armazenamento temporário do anexo, quando houver</w:t>
      </w:r>
    </w:p>
    <w:p>
      <w:pPr>
        <w:pStyle w:val="ListBullet"/>
      </w:pPr>
      <w:r>
        <w:t>Controller → SMTP institucional</w:t>
      </w:r>
    </w:p>
    <w:p>
      <w:pPr>
        <w:pStyle w:val="ListBullet"/>
      </w:pPr>
      <w:r>
        <w:t>SMTP → destinatário institucional</w:t>
      </w:r>
    </w:p>
    <w:p>
      <w:pPr>
        <w:pStyle w:val="ListBullet"/>
      </w:pPr>
      <w:r>
        <w:t>Aplicação → limpeza do arquivo temporário</w:t>
      </w:r>
    </w:p>
    <w:p>
      <w:pPr>
        <w:pStyle w:val="Heading2"/>
      </w:pPr>
      <w:r>
        <w:t>DEC-001 — Arquitetura Stateless e ausência de banco de dados</w:t>
      </w:r>
    </w:p>
    <w:p>
      <w:r>
        <w:rPr>
          <w:b/>
        </w:rPr>
        <w:t xml:space="preserve">Decisão: </w:t>
      </w:r>
      <w:r>
        <w:t>O sistema não utiliza banco de dados para persistir submissões, destinatários ou histórico de envios.</w:t>
      </w:r>
    </w:p>
    <w:p>
      <w:r>
        <w:rPr>
          <w:b/>
        </w:rPr>
        <w:t xml:space="preserve">Por que: </w:t>
      </w:r>
      <w:r>
        <w:t>O Fale Conosco foi concebido como canal de encaminhamento, e não como sistema de protocolo. A ausência de persistência reduz complexidade operacional, evita manter uma segunda fonte de verdade e reduz a quantidade de dados pessoais armazenados pela aplicação.</w:t>
      </w:r>
    </w:p>
    <w:p>
      <w:r>
        <w:rPr>
          <w:b/>
        </w:rPr>
        <w:t xml:space="preserve">Impacto de alteração: </w:t>
      </w:r>
      <w:r>
        <w:t>Se futuramente houver requisito de protocolo, histórico, consulta de solicitações ou auditoria persistente, a introdução de banco deverá ser tratada como nova decisão arquitetural, e não como simples melhoria.</w:t>
      </w:r>
    </w:p>
    <w:p>
      <w:pPr>
        <w:pStyle w:val="Heading2"/>
      </w:pPr>
      <w:r>
        <w:t>DEC-002 — Envio SMTP síncrono</w:t>
      </w:r>
    </w:p>
    <w:p>
      <w:r>
        <w:rPr>
          <w:b/>
        </w:rPr>
        <w:t xml:space="preserve">Decisão: </w:t>
      </w:r>
      <w:r>
        <w:t>A mensagem é enviada durante a própria requisição HTTP, por SMTP, atualmente via Mailgrid na porta 587 com TLS.</w:t>
      </w:r>
    </w:p>
    <w:p>
      <w:r>
        <w:rPr>
          <w:b/>
        </w:rPr>
        <w:t xml:space="preserve">Por que: </w:t>
      </w:r>
      <w:r>
        <w:t>O fluxo precisa informar imediatamente ao usuário se a operação foi processada. A abordagem síncrona mantém o sistema simples e evita workers, filas e infraestrutura adicional.</w:t>
      </w:r>
    </w:p>
    <w:p>
      <w:r>
        <w:rPr>
          <w:b/>
        </w:rPr>
        <w:t xml:space="preserve">Impacto de alteração: </w:t>
      </w:r>
      <w:r>
        <w:t>Transformar o envio em assíncrono exigirá novo modelo de processamento, armazenamento da fila e tratamento de estados da mensagem.</w:t>
      </w:r>
    </w:p>
    <w:p>
      <w:pPr>
        <w:pStyle w:val="Heading2"/>
      </w:pPr>
      <w:r>
        <w:t>DEC-003 — Parametrização das regionais em helper PHP</w:t>
      </w:r>
    </w:p>
    <w:p>
      <w:r>
        <w:rPr>
          <w:b/>
        </w:rPr>
        <w:t xml:space="preserve">Decisão: </w:t>
      </w:r>
      <w:r>
        <w:t>A configuração de regionais, áreas, e-mails e parâmetros relacionados permanece centralizada em app/Helpers/regional_helper.php.</w:t>
      </w:r>
    </w:p>
    <w:p>
      <w:r>
        <w:rPr>
          <w:b/>
        </w:rPr>
        <w:t xml:space="preserve">Por que: </w:t>
      </w:r>
      <w:r>
        <w:t>O sistema precisa atender múltiplas UFs sem banco. A configuração em memória mantém a arquitetura stateless e oferece acesso simples e rápido.</w:t>
      </w:r>
    </w:p>
    <w:p>
      <w:r>
        <w:rPr>
          <w:b/>
        </w:rPr>
        <w:t xml:space="preserve">Impacto de alteração: </w:t>
      </w:r>
      <w:r>
        <w:t>O helper é uma decisão de configuração legada, não uma recomendação geral. Pode ser migrado para configuração estruturada desde que seu contrato seja preservado.</w:t>
      </w:r>
    </w:p>
    <w:p>
      <w:pPr>
        <w:pStyle w:val="Heading2"/>
      </w:pPr>
      <w:r>
        <w:t>DEC-004 — Roteamento explícito</w:t>
      </w:r>
    </w:p>
    <w:p>
      <w:r>
        <w:rPr>
          <w:b/>
        </w:rPr>
        <w:t xml:space="preserve">Decisão: </w:t>
      </w:r>
      <w:r>
        <w:t>As rotas são declaradas explicitamente em app/Config/Routes.php e o Auto-Route não é utilizado.</w:t>
      </w:r>
    </w:p>
    <w:p>
      <w:r>
        <w:rPr>
          <w:b/>
        </w:rPr>
        <w:t xml:space="preserve">Por que: </w:t>
      </w:r>
      <w:r>
        <w:t>O sistema possui poucos endpoints públicos e o roteamento explícito permite controlar exatamente quais entradas HTTP estão disponíveis, reduzindo exposição acidental.</w:t>
      </w:r>
    </w:p>
    <w:p>
      <w:r>
        <w:rPr>
          <w:b/>
        </w:rPr>
        <w:t xml:space="preserve">Impacto de alteração: </w:t>
      </w:r>
      <w:r>
        <w:t>Não habilitar Auto-Route apenas para resolver uma rota inexistente. O destino correto deve ser explicitamente definido.</w:t>
      </w:r>
    </w:p>
    <w:p>
      <w:pPr>
        <w:pStyle w:val="Heading2"/>
      </w:pPr>
      <w:r>
        <w:t>DEC-005 — Armazenamento temporário de anexos</w:t>
      </w:r>
    </w:p>
    <w:p>
      <w:r>
        <w:rPr>
          <w:b/>
        </w:rPr>
        <w:t xml:space="preserve">Decisão: </w:t>
      </w:r>
      <w:r>
        <w:t>Anexos são gravados em writable/uploads/temp/ durante o processamento do envio.</w:t>
      </w:r>
    </w:p>
    <w:p>
      <w:r>
        <w:rPr>
          <w:b/>
        </w:rPr>
        <w:t xml:space="preserve">Por que: </w:t>
      </w:r>
      <w:r>
        <w:t>O mecanismo SMTP precisa acessar o arquivo como anexo. O armazenamento temporário em disco é simples, compatível com a infraestrutura atual e evita transformar o sistema em repositório permanente.</w:t>
      </w:r>
    </w:p>
    <w:p>
      <w:r>
        <w:rPr>
          <w:b/>
        </w:rPr>
        <w:t xml:space="preserve">Impacto de alteração: </w:t>
      </w:r>
      <w:r>
        <w:t>A pasta não deve ser usada como armazenamento permanente de documentos.</w:t>
      </w:r>
    </w:p>
    <w:p>
      <w:pPr>
        <w:pStyle w:val="Heading2"/>
      </w:pPr>
      <w:r>
        <w:t>DEC-006 — Limpeza automática de anexos</w:t>
      </w:r>
    </w:p>
    <w:p>
      <w:r>
        <w:rPr>
          <w:b/>
        </w:rPr>
        <w:t xml:space="preserve">Decisão: </w:t>
      </w:r>
      <w:r>
        <w:t>Os arquivos temporários são removidos após o processamento e arquivos antigos são eliminados por uma rotina de limpeza, com TTL atual de aproximadamente uma hora.</w:t>
      </w:r>
    </w:p>
    <w:p>
      <w:r>
        <w:rPr>
          <w:b/>
        </w:rPr>
        <w:t xml:space="preserve">Por que: </w:t>
      </w:r>
      <w:r>
        <w:t>Sem limpeza, uploads sucessivos poderiam consumir o espaço em disco do servidor.</w:t>
      </w:r>
    </w:p>
    <w:p>
      <w:r>
        <w:rPr>
          <w:b/>
        </w:rPr>
        <w:t xml:space="preserve">Impacto de alteração: </w:t>
      </w:r>
      <w:r>
        <w:t>Remover a rotina sem substituí-la por outro mecanismo de retenção pode causar esgotamento do armazenamento.</w:t>
      </w:r>
    </w:p>
    <w:p>
      <w:pPr>
        <w:pStyle w:val="Heading2"/>
      </w:pPr>
      <w:r>
        <w:t>DEC-007 — UF do CRM determinada pelo contexto regional</w:t>
      </w:r>
    </w:p>
    <w:p>
      <w:r>
        <w:rPr>
          <w:b/>
        </w:rPr>
        <w:t xml:space="preserve">Decisão: </w:t>
      </w:r>
      <w:r>
        <w:t>Quando o formulário está em uma URL regional, a UF da rota é utilizada como fonte autoritativa quando o navegador não envia o campo UF do CRM.</w:t>
      </w:r>
    </w:p>
    <w:p>
      <w:r>
        <w:rPr>
          <w:b/>
        </w:rPr>
        <w:t xml:space="preserve">Por que: </w:t>
      </w:r>
      <w:r>
        <w:t>Campos HTML disabled não são enviados em POST. Sem essa regra, o backend poderia receber o CRM sem sua UF e produzir uma mensagem incorreta. O frontend também utiliza hidden input para transportar a informação.</w:t>
      </w:r>
    </w:p>
    <w:p>
      <w:r>
        <w:rPr>
          <w:b/>
        </w:rPr>
        <w:t xml:space="preserve">Impacto de alteração: </w:t>
      </w:r>
      <w:r>
        <w:t>Não depender exclusivamente do estado visual de campos HTML para dados necessários ao processamento.</w:t>
      </w:r>
    </w:p>
    <w:p>
      <w:pPr>
        <w:pStyle w:val="Heading2"/>
      </w:pPr>
      <w:r>
        <w:t>DEC-008 — Contextos BR e regionais</w:t>
      </w:r>
    </w:p>
    <w:p>
      <w:r>
        <w:rPr>
          <w:b/>
        </w:rPr>
        <w:t xml:space="preserve">Decisão: </w:t>
      </w:r>
      <w:r>
        <w:t>A mesma aplicação atende o CFM pelo contexto BR e os CRMs por suas respectivas UFs.</w:t>
      </w:r>
    </w:p>
    <w:p>
      <w:r>
        <w:rPr>
          <w:b/>
        </w:rPr>
        <w:t xml:space="preserve">Por que: </w:t>
      </w:r>
      <w:r>
        <w:t>A parametrização por contexto permite uma única aplicação atender múltiplos Conselhos sem duplicar código.</w:t>
      </w:r>
    </w:p>
    <w:p>
      <w:r>
        <w:rPr>
          <w:b/>
        </w:rPr>
        <w:t xml:space="preserve">Impacto de alteração: </w:t>
      </w:r>
      <w:r>
        <w:t>Alterar a semântica de BR ou a resolução por UF pode afetar todos os fluxos de atendimento.</w:t>
      </w:r>
    </w:p>
    <w:p>
      <w:pPr>
        <w:pStyle w:val="Heading2"/>
      </w:pPr>
      <w:r>
        <w:t>DEC-009 — Redirecionamento para sistemas especialistas</w:t>
      </w:r>
    </w:p>
    <w:p>
      <w:r>
        <w:rPr>
          <w:b/>
        </w:rPr>
        <w:t xml:space="preserve">Decisão: </w:t>
      </w:r>
      <w:r>
        <w:t>Quando uma área é configurada como URL, o frontend redireciona o usuário para o sistema especialista correspondente.</w:t>
      </w:r>
    </w:p>
    <w:p>
      <w:r>
        <w:rPr>
          <w:b/>
        </w:rPr>
        <w:t xml:space="preserve">Por que: </w:t>
      </w:r>
      <w:r>
        <w:t>Nem todo assunto pertence ao fluxo de e-mail. Alguns serviços já possuem sistemas próprios, e o Fale Conosco atua como ponto de entrada e triagem.</w:t>
      </w:r>
    </w:p>
    <w:p>
      <w:r>
        <w:rPr>
          <w:b/>
        </w:rPr>
        <w:t xml:space="preserve">Impacto de alteração: </w:t>
      </w:r>
      <w:r>
        <w:t>Não substituir automaticamente um redirecionamento por envio de e-mail sem verificar o sistema especialista.</w:t>
      </w:r>
    </w:p>
    <w:p>
      <w:pPr>
        <w:pStyle w:val="Heading2"/>
      </w:pPr>
      <w:r>
        <w:t>DEC-010 — Bootstrap, jQuery e JavaScript</w:t>
      </w:r>
    </w:p>
    <w:p>
      <w:r>
        <w:rPr>
          <w:b/>
        </w:rPr>
        <w:t xml:space="preserve">Decisão: </w:t>
      </w:r>
      <w:r>
        <w:t>Manter os componentes de frontend atuais enquanto atenderem aos fluxos do sistema.</w:t>
      </w:r>
    </w:p>
    <w:p>
      <w:r>
        <w:rPr>
          <w:b/>
        </w:rPr>
        <w:t xml:space="preserve">Por que: </w:t>
      </w:r>
      <w:r>
        <w:t>O formulário possui interações consolidadas, incluindo máscaras, ViaCEP, municípios por UF e manipulação de campos. Uma reescrita completa aumenta o risco sem benefício funcional equivalente.</w:t>
      </w:r>
    </w:p>
    <w:p>
      <w:r>
        <w:rPr>
          <w:b/>
        </w:rPr>
        <w:t xml:space="preserve">Impacto de alteração: </w:t>
      </w:r>
      <w:r>
        <w:t>Modernizações devem preservar o comportamento e os dados enviados pelo formulário.</w:t>
      </w:r>
    </w:p>
    <w:p>
      <w:pPr>
        <w:pStyle w:val="Heading2"/>
      </w:pPr>
      <w:r>
        <w:t>DEC-011 — ViaCEP</w:t>
      </w:r>
    </w:p>
    <w:p>
      <w:r>
        <w:rPr>
          <w:b/>
        </w:rPr>
        <w:t xml:space="preserve">Decisão: </w:t>
      </w:r>
      <w:r>
        <w:t>Utilizar ViaCEP para preenchimento automático de endereço.</w:t>
      </w:r>
    </w:p>
    <w:p>
      <w:r>
        <w:rPr>
          <w:b/>
        </w:rPr>
        <w:t xml:space="preserve">Por que: </w:t>
      </w:r>
      <w:r>
        <w:t>Evita manter uma base própria de CEPs e é coerente com a arquitetura sem banco.</w:t>
      </w:r>
    </w:p>
    <w:p>
      <w:r>
        <w:rPr>
          <w:b/>
        </w:rPr>
        <w:t xml:space="preserve">Impacto de alteração: </w:t>
      </w:r>
      <w:r>
        <w:t>A API é auxiliar; sua indisponibilidade não deve corromper os dados enviados pelo usuário.</w:t>
      </w:r>
    </w:p>
    <w:p>
      <w:pPr>
        <w:pStyle w:val="Heading2"/>
      </w:pPr>
      <w:r>
        <w:t>DEC-012 — IBGE Localidades</w:t>
      </w:r>
    </w:p>
    <w:p>
      <w:r>
        <w:rPr>
          <w:b/>
        </w:rPr>
        <w:t xml:space="preserve">Decisão: </w:t>
      </w:r>
      <w:r>
        <w:t>Utilizar a API de Localidades do IBGE para carregar municípios por UF.</w:t>
      </w:r>
    </w:p>
    <w:p>
      <w:r>
        <w:rPr>
          <w:b/>
        </w:rPr>
        <w:t xml:space="preserve">Por que: </w:t>
      </w:r>
      <w:r>
        <w:t>Evita manter uma tabela local de municípios e reduz manutenção de dados geográficos.</w:t>
      </w:r>
    </w:p>
    <w:p>
      <w:r>
        <w:rPr>
          <w:b/>
        </w:rPr>
        <w:t xml:space="preserve">Impacto de alteração: </w:t>
      </w:r>
      <w:r>
        <w:t>Uma eventual substituição deve preservar o contrato de dados utilizado pelo formulário.</w:t>
      </w:r>
    </w:p>
    <w:p>
      <w:pPr>
        <w:pStyle w:val="Heading2"/>
      </w:pPr>
      <w:r>
        <w:t>DEC-013 — Google reCAPTCHA</w:t>
      </w:r>
    </w:p>
    <w:p>
      <w:r>
        <w:rPr>
          <w:b/>
        </w:rPr>
        <w:t xml:space="preserve">Decisão: </w:t>
      </w:r>
      <w:r>
        <w:t>Manter reCAPTCHA como proteção anti-bot do endpoint público.</w:t>
      </w:r>
    </w:p>
    <w:p>
      <w:r>
        <w:rPr>
          <w:b/>
        </w:rPr>
        <w:t xml:space="preserve">Por que: </w:t>
      </w:r>
      <w:r>
        <w:t>O sistema não possui autenticação e recebe requisições externas. O reCAPTCHA reduz submissões automatizadas e SPAM direcionado aos e-mails institucionais.</w:t>
      </w:r>
    </w:p>
    <w:p>
      <w:r>
        <w:rPr>
          <w:b/>
        </w:rPr>
        <w:t xml:space="preserve">Impacto de alteração: </w:t>
      </w:r>
      <w:r>
        <w:t>reCAPTCHA não substitui validação de entrada nem outras medidas de segurança.</w:t>
      </w:r>
    </w:p>
    <w:p>
      <w:pPr>
        <w:pStyle w:val="Heading2"/>
      </w:pPr>
      <w:r>
        <w:t>DEC-014 — Segredos fora do código</w:t>
      </w:r>
    </w:p>
    <w:p>
      <w:r>
        <w:rPr>
          <w:b/>
        </w:rPr>
        <w:t xml:space="preserve">Decisão: </w:t>
      </w:r>
      <w:r>
        <w:t>Credenciais SMTP e chaves do reCAPTCHA devem ser fornecidas por configuração de ambiente, e não hardcoded.</w:t>
      </w:r>
    </w:p>
    <w:p>
      <w:r>
        <w:rPr>
          <w:b/>
        </w:rPr>
        <w:t xml:space="preserve">Por que: </w:t>
      </w:r>
      <w:r>
        <w:t>A configuração atual possui histórico de segredos diretamente no código por facilidade de instalação manual, mas isso cria risco de exposição e dificulta separar ambientes.</w:t>
      </w:r>
    </w:p>
    <w:p>
      <w:r>
        <w:rPr>
          <w:b/>
        </w:rPr>
        <w:t xml:space="preserve">Impacto de alteração: </w:t>
      </w:r>
      <w:r>
        <w:t>Esta condição é dívida técnica, não uma decisão a preservar. A migração deve incluir rotação das credenciais.</w:t>
      </w:r>
    </w:p>
    <w:p>
      <w:pPr>
        <w:pStyle w:val="Heading2"/>
      </w:pPr>
      <w:r>
        <w:t>DEC-015 — Sistema público sem autenticação</w:t>
      </w:r>
    </w:p>
    <w:p>
      <w:r>
        <w:rPr>
          <w:b/>
        </w:rPr>
        <w:t xml:space="preserve">Decisão: </w:t>
      </w:r>
      <w:r>
        <w:t>O Fale Conosco não possui autenticação de usuários finais.</w:t>
      </w:r>
    </w:p>
    <w:p>
      <w:r>
        <w:rPr>
          <w:b/>
        </w:rPr>
        <w:t xml:space="preserve">Por que: </w:t>
      </w:r>
      <w:r>
        <w:t>O propósito do sistema é receber solicitações externas. Criar área autenticada mudaria seu modelo funcional.</w:t>
      </w:r>
    </w:p>
    <w:p>
      <w:r>
        <w:rPr>
          <w:b/>
        </w:rPr>
        <w:t xml:space="preserve">Impacto de alteração: </w:t>
      </w:r>
      <w:r>
        <w:t>Qualquer autenticação futura deve ser tratada como nova decisão arquitetural.</w:t>
      </w:r>
    </w:p>
    <w:p>
      <w:pPr>
        <w:pStyle w:val="Heading2"/>
      </w:pPr>
      <w:r>
        <w:t>DEC-016 — CSRF atualmente desativado</w:t>
      </w:r>
    </w:p>
    <w:p>
      <w:r>
        <w:rPr>
          <w:b/>
        </w:rPr>
        <w:t xml:space="preserve">Decisão: </w:t>
      </w:r>
      <w:r>
        <w:t>O filtro CSRF está desativado no estado atual e essa condição é registrada como dívida técnica, não como padrão de segurança.</w:t>
      </w:r>
    </w:p>
    <w:p>
      <w:r>
        <w:rPr>
          <w:b/>
        </w:rPr>
        <w:t xml:space="preserve">Por que: </w:t>
      </w:r>
      <w:r>
        <w:t>CSRF e reCAPTCHA resolvem problemas diferentes. O reCAPTCHA reduz automação, mas não substitui a proteção contra requisições forjadas.</w:t>
      </w:r>
    </w:p>
    <w:p>
      <w:r>
        <w:rPr>
          <w:b/>
        </w:rPr>
        <w:t xml:space="preserve">Impacto de alteração: </w:t>
      </w:r>
      <w:r>
        <w:t>A ativação deve ser testada com o formulário e AJAX existentes.</w:t>
      </w:r>
    </w:p>
    <w:p>
      <w:pPr>
        <w:pStyle w:val="Heading2"/>
      </w:pPr>
      <w:r>
        <w:t>DEC-017 — Ausência de auditoria persistente de sucesso</w:t>
      </w:r>
    </w:p>
    <w:p>
      <w:r>
        <w:rPr>
          <w:b/>
        </w:rPr>
        <w:t xml:space="preserve">Decisão: </w:t>
      </w:r>
      <w:r>
        <w:t>O sistema possui logs de erro do framework, mas não mantém histórico persistente dos envios bem-sucedidos.</w:t>
      </w:r>
    </w:p>
    <w:p>
      <w:r>
        <w:rPr>
          <w:b/>
        </w:rPr>
        <w:t xml:space="preserve">Por que: </w:t>
      </w:r>
      <w:r>
        <w:t>Essa ausência é consequência da decisão de não possuir banco. O sistema foi desenhado para encaminhar a mensagem, não para manter protocolo.</w:t>
      </w:r>
    </w:p>
    <w:p>
      <w:r>
        <w:rPr>
          <w:b/>
        </w:rPr>
        <w:t xml:space="preserve">Impacto de alteração: </w:t>
      </w:r>
      <w:r>
        <w:t>Se auditoria se tornar requisito, deve haver nova decisão sobre armazenamento, retenção, minimização e LGPD.</w:t>
      </w:r>
    </w:p>
    <w:p>
      <w:pPr>
        <w:pStyle w:val="Heading1"/>
      </w:pPr>
      <w:r>
        <w:t>5. Regras de negócio que devem ser preservadas</w:t>
      </w:r>
    </w:p>
    <w:p>
      <w:pPr>
        <w:pStyle w:val="ListBullet"/>
      </w:pPr>
      <w:r>
        <w:t>BR representa o contexto nacional do CFM.</w:t>
      </w:r>
    </w:p>
    <w:p>
      <w:pPr>
        <w:pStyle w:val="ListBullet"/>
      </w:pPr>
      <w:r>
        <w:t>Uma URL regional representa o CRM correspondente àquela UF.</w:t>
      </w:r>
    </w:p>
    <w:p>
      <w:pPr>
        <w:pStyle w:val="ListBullet"/>
      </w:pPr>
      <w:r>
        <w:t>Em contexto regional, a UF da rota pode completar a informação do CRM.</w:t>
      </w:r>
    </w:p>
    <w:p>
      <w:pPr>
        <w:pStyle w:val="ListBullet"/>
      </w:pPr>
      <w:r>
        <w:t>Regionais desativadas não devem ser expostas como ativas.</w:t>
      </w:r>
    </w:p>
    <w:p>
      <w:pPr>
        <w:pStyle w:val="ListBullet"/>
      </w:pPr>
      <w:r>
        <w:t>Uma área configurada como URL representa redirecionamento para sistema especialista.</w:t>
      </w:r>
    </w:p>
    <w:p>
      <w:pPr>
        <w:pStyle w:val="ListBullet"/>
      </w:pPr>
      <w:r>
        <w:t>Uma área configurada com e-mail representa encaminhamento institucional por SMTP.</w:t>
      </w:r>
    </w:p>
    <w:p>
      <w:pPr>
        <w:pStyle w:val="Heading1"/>
      </w:pPr>
      <w:r>
        <w:t>6. Contratos internos relevantes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Componente</w:t>
            </w:r>
          </w:p>
        </w:tc>
        <w:tc>
          <w:tcPr>
            <w:tcW w:type="dxa" w:w="4320"/>
          </w:tcPr>
          <w:p>
            <w:r>
              <w:t>Contrato</w:t>
            </w:r>
          </w:p>
        </w:tc>
      </w:tr>
      <w:tr>
        <w:tc>
          <w:tcPr>
            <w:tcW w:type="dxa" w:w="4320"/>
          </w:tcPr>
          <w:p>
            <w:r>
              <w:t>regional_helper.php</w:t>
            </w:r>
          </w:p>
        </w:tc>
        <w:tc>
          <w:tcPr>
            <w:tcW w:type="dxa" w:w="4320"/>
          </w:tcPr>
          <w:p>
            <w:r>
              <w:t>Consumidores esperam a estrutura de configuração de regional e seus e-mails/áreas.</w:t>
            </w:r>
          </w:p>
        </w:tc>
      </w:tr>
      <w:tr>
        <w:tc>
          <w:tcPr>
            <w:tcW w:type="dxa" w:w="4320"/>
          </w:tcPr>
          <w:p>
            <w:r>
              <w:t>Routes.php</w:t>
            </w:r>
          </w:p>
        </w:tc>
        <w:tc>
          <w:tcPr>
            <w:tcW w:type="dxa" w:w="4320"/>
          </w:tcPr>
          <w:p>
            <w:r>
              <w:t>As entradas públicas devem apontar para Controllers e métodos existentes.</w:t>
            </w:r>
          </w:p>
        </w:tc>
      </w:tr>
      <w:tr>
        <w:tc>
          <w:tcPr>
            <w:tcW w:type="dxa" w:w="4320"/>
          </w:tcPr>
          <w:p>
            <w:r>
              <w:t>writable/uploads/temp/</w:t>
            </w:r>
          </w:p>
        </w:tc>
        <w:tc>
          <w:tcPr>
            <w:tcW w:type="dxa" w:w="4320"/>
          </w:tcPr>
          <w:p>
            <w:r>
              <w:t>Anexos precisam existir durante o processamento e ser removidos depois.</w:t>
            </w:r>
          </w:p>
        </w:tc>
      </w:tr>
      <w:tr>
        <w:tc>
          <w:tcPr>
            <w:tcW w:type="dxa" w:w="4320"/>
          </w:tcPr>
          <w:p>
            <w:r>
              <w:t>SMTP</w:t>
            </w:r>
          </w:p>
        </w:tc>
        <w:tc>
          <w:tcPr>
            <w:tcW w:type="dxa" w:w="4320"/>
          </w:tcPr>
          <w:p>
            <w:r>
              <w:t>A conclusão do envio depende da conectividade com o servidor institucional.</w:t>
            </w:r>
          </w:p>
        </w:tc>
      </w:tr>
      <w:tr>
        <w:tc>
          <w:tcPr>
            <w:tcW w:type="dxa" w:w="4320"/>
          </w:tcPr>
          <w:p>
            <w:r>
              <w:t>reCAPTCHA</w:t>
            </w:r>
          </w:p>
        </w:tc>
        <w:tc>
          <w:tcPr>
            <w:tcW w:type="dxa" w:w="4320"/>
          </w:tcPr>
          <w:p>
            <w:r>
              <w:t>O endpoint público depende da validação anti-bot para reduzir abuso.</w:t>
            </w:r>
          </w:p>
        </w:tc>
      </w:tr>
    </w:tbl>
    <w:p>
      <w:pPr>
        <w:pStyle w:val="Heading1"/>
      </w:pPr>
      <w:r>
        <w:t>7. Dívidas técnicas conhecidas</w:t>
      </w:r>
    </w:p>
    <w:p>
      <w:pPr>
        <w:pStyle w:val="ListBullet"/>
      </w:pPr>
      <w:r>
        <w:t>DT-001 — Credenciais SMTP e chaves reCAPTCHA hardcoded: migrar para configuração de ambiente e rotacionar segredos.</w:t>
      </w:r>
    </w:p>
    <w:p>
      <w:pPr>
        <w:pStyle w:val="ListBullet"/>
      </w:pPr>
      <w:r>
        <w:t>DT-002 — Matriz de regionais em helper PHP: pode ser migrada para configuração estruturada sem alterar seu contrato.</w:t>
      </w:r>
    </w:p>
    <w:p>
      <w:pPr>
        <w:pStyle w:val="ListBullet"/>
      </w:pPr>
      <w:r>
        <w:t>DT-003 — Inconsistências em configurações regionais: revisar e corrigir dados institucionais e estruturas inválidas.</w:t>
      </w:r>
    </w:p>
    <w:p>
      <w:pPr>
        <w:pStyle w:val="ListBullet"/>
      </w:pPr>
      <w:r>
        <w:t>DT-004 — CSRF desativado: avaliar e ativar de forma compatível com formulário e AJAX.</w:t>
      </w:r>
    </w:p>
    <w:p>
      <w:pPr>
        <w:pStyle w:val="ListBullet"/>
      </w:pPr>
      <w:r>
        <w:t>DT-005 — Ausência de auditoria de sucesso: somente resolver se houver requisito real de rastreabilidade persistente.</w:t>
      </w:r>
    </w:p>
    <w:p>
      <w:pPr>
        <w:pStyle w:val="Heading1"/>
      </w:pPr>
      <w:r>
        <w:t>8. Alternativas não adotadas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Alternativa</w:t>
            </w:r>
          </w:p>
        </w:tc>
        <w:tc>
          <w:tcPr>
            <w:tcW w:type="dxa" w:w="4320"/>
          </w:tcPr>
          <w:p>
            <w:r>
              <w:t>Motivo</w:t>
            </w:r>
          </w:p>
        </w:tc>
      </w:tr>
      <w:tr>
        <w:tc>
          <w:tcPr>
            <w:tcW w:type="dxa" w:w="4320"/>
          </w:tcPr>
          <w:p>
            <w:r>
              <w:t>Banco + histórico</w:t>
            </w:r>
          </w:p>
        </w:tc>
        <w:tc>
          <w:tcPr>
            <w:tcW w:type="dxa" w:w="4320"/>
          </w:tcPr>
          <w:p>
            <w:r>
              <w:t>Não há requisito atual de protocolo persistente; aumentaria armazenamento e governança.</w:t>
            </w:r>
          </w:p>
        </w:tc>
      </w:tr>
      <w:tr>
        <w:tc>
          <w:tcPr>
            <w:tcW w:type="dxa" w:w="4320"/>
          </w:tcPr>
          <w:p>
            <w:r>
              <w:t>Fila assíncrona</w:t>
            </w:r>
          </w:p>
        </w:tc>
        <w:tc>
          <w:tcPr>
            <w:tcW w:type="dxa" w:w="4320"/>
          </w:tcPr>
          <w:p>
            <w:r>
              <w:t>Acrescentaria workers e infraestrutura para um fluxo atualmente simples e síncrono.</w:t>
            </w:r>
          </w:p>
        </w:tc>
      </w:tr>
      <w:tr>
        <w:tc>
          <w:tcPr>
            <w:tcW w:type="dxa" w:w="4320"/>
          </w:tcPr>
          <w:p>
            <w:r>
              <w:t>Banco/API para regionais</w:t>
            </w:r>
          </w:p>
        </w:tc>
        <w:tc>
          <w:tcPr>
            <w:tcW w:type="dxa" w:w="4320"/>
          </w:tcPr>
          <w:p>
            <w:r>
              <w:t>A matriz local é suficiente e mantém o sistema independente de outra fonte de configuração.</w:t>
            </w:r>
          </w:p>
        </w:tc>
      </w:tr>
      <w:tr>
        <w:tc>
          <w:tcPr>
            <w:tcW w:type="dxa" w:w="4320"/>
          </w:tcPr>
          <w:p>
            <w:r>
              <w:t>Autenticação de usuários</w:t>
            </w:r>
          </w:p>
        </w:tc>
        <w:tc>
          <w:tcPr>
            <w:tcW w:type="dxa" w:w="4320"/>
          </w:tcPr>
          <w:p>
            <w:r>
              <w:t>O serviço é público por natureza.</w:t>
            </w:r>
          </w:p>
        </w:tc>
      </w:tr>
      <w:tr>
        <w:tc>
          <w:tcPr>
            <w:tcW w:type="dxa" w:w="4320"/>
          </w:tcPr>
          <w:p>
            <w:r>
              <w:t>Reescrita completa do frontend</w:t>
            </w:r>
          </w:p>
        </w:tc>
        <w:tc>
          <w:tcPr>
            <w:tcW w:type="dxa" w:w="4320"/>
          </w:tcPr>
          <w:p>
            <w:r>
              <w:t>Não é necessária para atender o objetivo funcional do sistema.</w:t>
            </w:r>
          </w:p>
        </w:tc>
      </w:tr>
    </w:tbl>
    <w:p>
      <w:pPr>
        <w:pStyle w:val="Heading1"/>
      </w:pPr>
      <w:r>
        <w:t>9. O que não deve ser alterado sem nova análise</w:t>
      </w:r>
    </w:p>
    <w:p>
      <w:pPr>
        <w:pStyle w:val="ListBullet"/>
      </w:pPr>
      <w:r>
        <w:t>Transformar o sistema em aplicação persistente com banco de dados.</w:t>
      </w:r>
    </w:p>
    <w:p>
      <w:pPr>
        <w:pStyle w:val="ListBullet"/>
      </w:pPr>
      <w:r>
        <w:t>Trocar SMTP síncrono por fila sem definir o novo modelo de processamento.</w:t>
      </w:r>
    </w:p>
    <w:p>
      <w:pPr>
        <w:pStyle w:val="ListBullet"/>
      </w:pPr>
      <w:r>
        <w:t>Alterar o contrato de regional_helper.php sem analisar todos os consumidores.</w:t>
      </w:r>
    </w:p>
    <w:p>
      <w:pPr>
        <w:pStyle w:val="ListBullet"/>
      </w:pPr>
      <w:r>
        <w:t>Alterar a semântica de BR/UF.</w:t>
      </w:r>
    </w:p>
    <w:p>
      <w:pPr>
        <w:pStyle w:val="ListBullet"/>
      </w:pPr>
      <w:r>
        <w:t>Remover a limpeza dos anexos temporários.</w:t>
      </w:r>
    </w:p>
    <w:p>
      <w:pPr>
        <w:pStyle w:val="ListBullet"/>
      </w:pPr>
      <w:r>
        <w:t>Eliminar o reCAPTCHA sem mecanismo equivalente de proteção contra abuso.</w:t>
      </w:r>
    </w:p>
    <w:p>
      <w:pPr>
        <w:pStyle w:val="ListBullet"/>
      </w:pPr>
      <w:r>
        <w:t>Alterar destinos que representam sistemas especialistas.</w:t>
      </w:r>
    </w:p>
    <w:p>
      <w:pPr>
        <w:pStyle w:val="ListBullet"/>
      </w:pPr>
      <w:r>
        <w:t>Adicionar autenticação sem redefinir o propósito funcional do sistema.</w:t>
      </w:r>
    </w:p>
    <w:p>
      <w:pPr>
        <w:pStyle w:val="ListBullet"/>
      </w:pPr>
      <w:r>
        <w:t>Persistir dados pessoais sem avaliar finalidade, retenção, acesso e LGPD.</w:t>
      </w:r>
    </w:p>
    <w:p>
      <w:pPr>
        <w:pStyle w:val="Heading1"/>
      </w:pPr>
      <w:r>
        <w:t>10. O que pode ser modernizado sem alterar a decisão de negócio</w:t>
      </w:r>
    </w:p>
    <w:p>
      <w:pPr>
        <w:pStyle w:val="ListBullet"/>
      </w:pPr>
      <w:r>
        <w:t>Migrar segredos para .env ou mecanismo seguro equivalente.</w:t>
      </w:r>
    </w:p>
    <w:p>
      <w:pPr>
        <w:pStyle w:val="ListBullet"/>
      </w:pPr>
      <w:r>
        <w:t>Corrigir configurações regionais incorretas.</w:t>
      </w:r>
    </w:p>
    <w:p>
      <w:pPr>
        <w:pStyle w:val="ListBullet"/>
      </w:pPr>
      <w:r>
        <w:t>Migrar a matriz para configuração estruturada preservando seu contrato.</w:t>
      </w:r>
    </w:p>
    <w:p>
      <w:pPr>
        <w:pStyle w:val="ListBullet"/>
      </w:pPr>
      <w:r>
        <w:t>Melhorar validações e tratamento de erros.</w:t>
      </w:r>
    </w:p>
    <w:p>
      <w:pPr>
        <w:pStyle w:val="ListBullet"/>
      </w:pPr>
      <w:r>
        <w:t>Ativar CSRF de forma compatível com o formulário.</w:t>
      </w:r>
    </w:p>
    <w:p>
      <w:pPr>
        <w:pStyle w:val="ListBullet"/>
      </w:pPr>
      <w:r>
        <w:t>Melhorar observabilidade sem registrar dados pessoais desnecessários.</w:t>
      </w:r>
    </w:p>
    <w:p>
      <w:pPr>
        <w:pStyle w:val="ListBullet"/>
      </w:pPr>
      <w:r>
        <w:t>Atualizar bibliotecas de frontend de forma incremental.</w:t>
      </w:r>
    </w:p>
    <w:p>
      <w:pPr>
        <w:pStyle w:val="Heading1"/>
      </w:pPr>
      <w:r>
        <w:t>11. Regra de evolução desta ADR</w:t>
      </w:r>
    </w:p>
    <w:p>
      <w:r>
        <w:t>Esta ADR deve ser atualizada quando uma alteração modificar uma decisão arquitetural, o modelo de dados, o mecanismo de envio, o modelo de segurança, o contrato de parametrização regional ou o propósito funcional do sistema.</w:t>
      </w:r>
    </w:p>
    <w:p>
      <w:r>
        <w:t>Correções pontuais e ajustes operacionais não precisam necessariamente gerar nova ADR. Quando uma decisão for substituída, a decisão anterior deve permanecer registrada como histórico, indicando claramente a nova decisão e seu motivo.</w:t>
      </w:r>
    </w:p>
    <w:p>
      <w:pPr>
        <w:pStyle w:val="Heading1"/>
      </w:pPr>
      <w:r>
        <w:t>12. Resumo arquitetural</w:t>
      </w:r>
    </w:p>
    <w:p>
      <w:r>
        <w:t>O Fale Conosco é deliberadamente um sistema pequeno, público, stateless e orientado a encaminhamento. Sua simplicidade depende de decisões como não manter banco de dados, manter a matriz regional local, enviar por SMTP no próprio fluxo, utilizar armazenamento temporário apenas para anexos e utilizar serviços externos para CEP, municípios e proteção anti-bot.</w:t>
      </w:r>
    </w:p>
    <w:p>
      <w:r>
        <w:t>A principal orientação para futuros desenvolvedores é não confundir modernização tecnológica com mudança de arquitetura. É possível melhorar segurança, configuração e organização do código sem transformar o sistema em uma aplicação de protocolos, banco de dados ou processamento assíncrono sem requisito real.</w:t>
      </w:r>
    </w:p>
    <w:p>
      <w:pPr>
        <w:pStyle w:val="Heading1"/>
      </w:pPr>
      <w:r>
        <w:t>13. Histórico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Alteração</w:t>
            </w:r>
          </w:p>
        </w:tc>
      </w:tr>
      <w:tr>
        <w:tc>
          <w:tcPr>
            <w:tcW w:type="dxa" w:w="4320"/>
          </w:tcPr>
          <w:p>
            <w:r>
              <w:t>18/08/2026</w:t>
            </w:r>
          </w:p>
        </w:tc>
        <w:tc>
          <w:tcPr>
            <w:tcW w:type="dxa" w:w="4320"/>
          </w:tcPr>
          <w:p>
            <w:r>
              <w:t>Refatoração da documentação para o formato de ADR, separando contexto, decisões, justificativas, contratos e dívidas técnicas.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</w:rPr>
  </w:style>
  <w:style w:type="table" w:default="1" w:styleId="TableNormal">
    <w:name w:val="Normal Table"/>
    <w:uiPriority w:val="99"/>
    <w:semiHidden/>
    <w:unhideWhenUsed/>
    <w:rPr>
      <w:rFonts w:ascii="Arial" w:hAnsi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