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AC" w:rsidRDefault="00366E3C">
      <w:pPr>
        <w:rPr>
          <w:sz w:val="36"/>
        </w:rPr>
      </w:pPr>
      <w:r>
        <w:rPr>
          <w:sz w:val="36"/>
        </w:rPr>
        <w:t>IgFamily v0.</w:t>
      </w:r>
      <w:r w:rsidR="00E621FF">
        <w:rPr>
          <w:sz w:val="36"/>
        </w:rPr>
        <w:t>12.</w:t>
      </w:r>
      <w:r w:rsidR="00362DF1">
        <w:rPr>
          <w:sz w:val="36"/>
        </w:rPr>
        <w:t>1h</w:t>
      </w:r>
    </w:p>
    <w:p w:rsidR="00E57C07" w:rsidRDefault="00E57C07">
      <w:pPr>
        <w:rPr>
          <w:sz w:val="36"/>
        </w:rPr>
      </w:pPr>
    </w:p>
    <w:p w:rsidR="00E57C07" w:rsidRDefault="00E57C07">
      <w:pPr>
        <w:rPr>
          <w:sz w:val="36"/>
        </w:rPr>
      </w:pPr>
      <w:r>
        <w:rPr>
          <w:sz w:val="36"/>
        </w:rPr>
        <w:t>Technical manual v0.1</w:t>
      </w:r>
      <w:r w:rsidR="00092860">
        <w:rPr>
          <w:sz w:val="36"/>
        </w:rPr>
        <w:t>.</w:t>
      </w:r>
      <w:r w:rsidR="0074783F">
        <w:rPr>
          <w:sz w:val="36"/>
        </w:rPr>
        <w:t>10</w:t>
      </w:r>
    </w:p>
    <w:p w:rsidR="006749AC" w:rsidRDefault="006749AC">
      <w:pPr>
        <w:rPr>
          <w:sz w:val="36"/>
        </w:rPr>
      </w:pPr>
      <w:r>
        <w:rPr>
          <w:sz w:val="36"/>
        </w:rPr>
        <w:br w:type="page"/>
      </w:r>
    </w:p>
    <w:p w:rsidR="00C031B5" w:rsidRDefault="00C031B5" w:rsidP="00C031B5">
      <w:pPr>
        <w:rPr>
          <w:sz w:val="36"/>
        </w:rPr>
      </w:pPr>
      <w:r>
        <w:rPr>
          <w:sz w:val="36"/>
        </w:rPr>
        <w:lastRenderedPageBreak/>
        <w:t>Overview</w:t>
      </w:r>
    </w:p>
    <w:p w:rsidR="00C031B5" w:rsidRDefault="00C031B5" w:rsidP="00C031B5">
      <w:pPr>
        <w:rPr>
          <w:sz w:val="36"/>
        </w:rPr>
      </w:pPr>
    </w:p>
    <w:p w:rsidR="00C031B5" w:rsidRDefault="00C031B5">
      <w:pPr>
        <w:rPr>
          <w:sz w:val="36"/>
        </w:rPr>
      </w:pPr>
      <w:r>
        <w:rPr>
          <w:sz w:val="36"/>
        </w:rPr>
        <w:br w:type="page"/>
      </w:r>
    </w:p>
    <w:p w:rsidR="00C031B5" w:rsidRDefault="00C031B5" w:rsidP="00C031B5">
      <w:pPr>
        <w:rPr>
          <w:sz w:val="36"/>
        </w:rPr>
      </w:pPr>
    </w:p>
    <w:p w:rsidR="006749AC" w:rsidRDefault="0001715C">
      <w:pPr>
        <w:rPr>
          <w:sz w:val="36"/>
        </w:rPr>
      </w:pPr>
      <w:r>
        <w:rPr>
          <w:sz w:val="36"/>
        </w:rPr>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lastRenderedPageBreak/>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F328A6">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F328A6"/>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F328A6">
        <w:trPr>
          <w:trHeight w:val="396"/>
        </w:trPr>
        <w:tc>
          <w:tcPr>
            <w:tcW w:w="4500" w:type="dxa"/>
          </w:tcPr>
          <w:p w:rsidR="00E12FCC" w:rsidRPr="0025687D" w:rsidRDefault="00BF60CC" w:rsidP="00F328A6">
            <w:r w:rsidRPr="00BF60CC">
              <w:rPr>
                <w:i/>
              </w:rPr>
              <w:t xml:space="preserve">NOVOR v1.1 </w:t>
            </w:r>
            <w:r w:rsidR="00E12FCC">
              <w:t>convert command line functions</w:t>
            </w:r>
          </w:p>
        </w:tc>
        <w:tc>
          <w:tcPr>
            <w:tcW w:w="1908" w:type="dxa"/>
          </w:tcPr>
          <w:p w:rsidR="00E12FCC" w:rsidRDefault="00E12FCC" w:rsidP="00F328A6">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F328A6">
        <w:trPr>
          <w:trHeight w:val="396"/>
        </w:trPr>
        <w:tc>
          <w:tcPr>
            <w:tcW w:w="4500" w:type="dxa"/>
          </w:tcPr>
          <w:p w:rsidR="007A1B9F" w:rsidRPr="0025687D" w:rsidRDefault="004315F2" w:rsidP="00F328A6">
            <w:r w:rsidRPr="00710C52">
              <w:t>Local directory runtime</w:t>
            </w:r>
            <w:r w:rsidRPr="004315F2">
              <w:rPr>
                <w:i/>
              </w:rPr>
              <w:t xml:space="preserve"> </w:t>
            </w:r>
            <w:r w:rsidR="007A1B9F">
              <w:t>functions</w:t>
            </w:r>
          </w:p>
        </w:tc>
        <w:tc>
          <w:tcPr>
            <w:tcW w:w="1908" w:type="dxa"/>
          </w:tcPr>
          <w:p w:rsidR="007A1B9F" w:rsidRDefault="007A1B9F" w:rsidP="00F328A6">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F328A6">
        <w:trPr>
          <w:trHeight w:val="396"/>
        </w:trPr>
        <w:tc>
          <w:tcPr>
            <w:tcW w:w="4500" w:type="dxa"/>
          </w:tcPr>
          <w:p w:rsidR="00BF60CC" w:rsidRPr="0025687D" w:rsidRDefault="00347A71" w:rsidP="00F328A6">
            <w:r>
              <w:t>Data filesystem</w:t>
            </w:r>
            <w:r w:rsidR="00BF60CC">
              <w:t xml:space="preserve"> functions</w:t>
            </w:r>
          </w:p>
        </w:tc>
        <w:tc>
          <w:tcPr>
            <w:tcW w:w="1908" w:type="dxa"/>
          </w:tcPr>
          <w:p w:rsidR="00BF60CC" w:rsidRDefault="00BF60CC" w:rsidP="00F328A6">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F328A6">
        <w:trPr>
          <w:trHeight w:val="396"/>
        </w:trPr>
        <w:tc>
          <w:tcPr>
            <w:tcW w:w="4500" w:type="dxa"/>
          </w:tcPr>
          <w:p w:rsidR="005920BB" w:rsidRPr="0025687D" w:rsidRDefault="00271225" w:rsidP="00F328A6">
            <w:r>
              <w:t>User</w:t>
            </w:r>
            <w:r w:rsidR="002147B7">
              <w:t xml:space="preserve"> interface</w:t>
            </w:r>
            <w:r w:rsidR="005920BB">
              <w:t xml:space="preserve"> functions</w:t>
            </w:r>
          </w:p>
        </w:tc>
        <w:tc>
          <w:tcPr>
            <w:tcW w:w="1908" w:type="dxa"/>
          </w:tcPr>
          <w:p w:rsidR="005920BB" w:rsidRDefault="005920BB" w:rsidP="00F328A6">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640F11">
        <w:trPr>
          <w:trHeight w:val="396"/>
        </w:trPr>
        <w:tc>
          <w:tcPr>
            <w:tcW w:w="4500" w:type="dxa"/>
          </w:tcPr>
          <w:p w:rsidR="00B60E1B" w:rsidRPr="0025687D" w:rsidRDefault="00572E86" w:rsidP="00640F11">
            <w:r>
              <w:t>FASTA</w:t>
            </w:r>
            <w:r w:rsidR="00B60E1B">
              <w:t xml:space="preserve"> data</w:t>
            </w:r>
            <w:r w:rsidR="005B52BF">
              <w:t xml:space="preserve"> structuring</w:t>
            </w:r>
            <w:r w:rsidR="00B60E1B">
              <w:t xml:space="preserve"> functions</w:t>
            </w:r>
          </w:p>
        </w:tc>
        <w:tc>
          <w:tcPr>
            <w:tcW w:w="1908" w:type="dxa"/>
          </w:tcPr>
          <w:p w:rsidR="00B60E1B" w:rsidRDefault="00B60E1B" w:rsidP="00640F11">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640F11">
        <w:trPr>
          <w:trHeight w:val="396"/>
        </w:trPr>
        <w:tc>
          <w:tcPr>
            <w:tcW w:w="4500" w:type="dxa"/>
          </w:tcPr>
          <w:p w:rsidR="00F27BD6" w:rsidRPr="0025687D" w:rsidRDefault="00C31719" w:rsidP="00640F11">
            <w:r>
              <w:t xml:space="preserve">Peptide data </w:t>
            </w:r>
            <w:r w:rsidR="005B52BF">
              <w:t xml:space="preserve"> structuring </w:t>
            </w:r>
            <w:r w:rsidR="00F27BD6">
              <w:t>functions</w:t>
            </w:r>
          </w:p>
        </w:tc>
        <w:tc>
          <w:tcPr>
            <w:tcW w:w="1908" w:type="dxa"/>
          </w:tcPr>
          <w:p w:rsidR="00F27BD6" w:rsidRDefault="00F27BD6" w:rsidP="00640F11">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4D5C6F">
        <w:trPr>
          <w:trHeight w:val="396"/>
        </w:trPr>
        <w:tc>
          <w:tcPr>
            <w:tcW w:w="4500" w:type="dxa"/>
          </w:tcPr>
          <w:p w:rsidR="00593E82" w:rsidRPr="0025687D" w:rsidRDefault="00E50942" w:rsidP="004D5C6F">
            <w:r>
              <w:t xml:space="preserve">Peptide data </w:t>
            </w:r>
            <w:r w:rsidR="00593E82">
              <w:t>structuring functions</w:t>
            </w:r>
          </w:p>
        </w:tc>
        <w:tc>
          <w:tcPr>
            <w:tcW w:w="1908" w:type="dxa"/>
          </w:tcPr>
          <w:p w:rsidR="00593E82" w:rsidRDefault="00593E82" w:rsidP="004D5C6F">
            <w:r>
              <w:t>pp.</w:t>
            </w:r>
          </w:p>
        </w:tc>
      </w:tr>
    </w:tbl>
    <w:p w:rsidR="00593E82" w:rsidRDefault="00593E82">
      <w:pPr>
        <w:rPr>
          <w:b/>
        </w:rPr>
      </w:pPr>
    </w:p>
    <w:p w:rsidR="00F052CF" w:rsidRPr="00BF60CC" w:rsidRDefault="00F052CF" w:rsidP="00F052CF">
      <w:pPr>
        <w:rPr>
          <w:b/>
        </w:rPr>
      </w:pPr>
      <w:r>
        <w:rPr>
          <w:b/>
        </w:rPr>
        <w:t xml:space="preserve">- </w:t>
      </w:r>
      <w:r w:rsidR="007F688A">
        <w:rPr>
          <w:b/>
        </w:rPr>
        <w:t>Homology data structuring</w:t>
      </w:r>
    </w:p>
    <w:p w:rsidR="00F43B62" w:rsidRDefault="007F688A" w:rsidP="00F052CF">
      <w:r>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4D5C6F">
        <w:trPr>
          <w:trHeight w:val="396"/>
        </w:trPr>
        <w:tc>
          <w:tcPr>
            <w:tcW w:w="4500" w:type="dxa"/>
          </w:tcPr>
          <w:p w:rsidR="00F052CF" w:rsidRPr="0025687D" w:rsidRDefault="00F052CF" w:rsidP="004D5C6F">
            <w:r>
              <w:t>Peptide data  structuring functions</w:t>
            </w:r>
          </w:p>
        </w:tc>
        <w:tc>
          <w:tcPr>
            <w:tcW w:w="1908" w:type="dxa"/>
          </w:tcPr>
          <w:p w:rsidR="00F052CF" w:rsidRDefault="00F052CF" w:rsidP="004D5C6F">
            <w:r>
              <w:t>pp.</w:t>
            </w:r>
          </w:p>
        </w:tc>
      </w:tr>
    </w:tbl>
    <w:p w:rsidR="00F052CF" w:rsidRPr="00E12FCC" w:rsidRDefault="00F052CF">
      <w:pPr>
        <w:rPr>
          <w:b/>
        </w:rPr>
      </w:pPr>
    </w:p>
    <w:p w:rsidR="00366E3C" w:rsidRDefault="00366E3C">
      <w:pPr>
        <w:rPr>
          <w:sz w:val="36"/>
        </w:rPr>
      </w:pPr>
      <w:r>
        <w:rPr>
          <w:sz w:val="36"/>
        </w:rPr>
        <w:br w:type="page"/>
      </w:r>
    </w:p>
    <w:p w:rsidR="004F3CCD" w:rsidRDefault="00F56810" w:rsidP="004F3CCD">
      <w:pPr>
        <w:rPr>
          <w:sz w:val="36"/>
        </w:rPr>
      </w:pPr>
      <w:r>
        <w:rPr>
          <w:sz w:val="36"/>
        </w:rPr>
        <w:lastRenderedPageBreak/>
        <w:t>Narrative</w:t>
      </w:r>
    </w:p>
    <w:p w:rsidR="00F81B90" w:rsidRDefault="00F81B90" w:rsidP="00F81B90">
      <w:pPr>
        <w:rPr>
          <w:b/>
        </w:rPr>
      </w:pPr>
    </w:p>
    <w:p w:rsidR="00F81B90" w:rsidRDefault="00F81B90" w:rsidP="00F81B90">
      <w:pPr>
        <w:rPr>
          <w:b/>
        </w:rPr>
      </w:pPr>
      <w:r>
        <w:rPr>
          <w:b/>
        </w:rPr>
        <w:t xml:space="preserve">- </w:t>
      </w:r>
      <w:r>
        <w:rPr>
          <w:b/>
          <w:i/>
        </w:rPr>
        <w:t>There’s method in models</w:t>
      </w:r>
    </w:p>
    <w:p w:rsidR="00F81B90" w:rsidRDefault="00F81B90" w:rsidP="00F81B90">
      <w:r>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w:t>
      </w:r>
      <w:r w:rsidR="00C62B1A">
        <w:t>a</w:t>
      </w:r>
      <w:r>
        <w:t xml:space="preserve">y disagree with </w:t>
      </w:r>
      <w:r w:rsidR="00C62B1A">
        <w:t>the large world meaning, and the details of those disagreements depend strongly upon context.</w:t>
      </w:r>
      <w:r w:rsidR="00694077">
        <w:t xml:space="preserve"> Such disagreements are productive, because they lead to model criticism and revision.</w:t>
      </w:r>
      <w:r w:rsidR="005A4AF6">
        <w:t>”</w:t>
      </w:r>
    </w:p>
    <w:p w:rsidR="00F81B90" w:rsidRDefault="00F81B90" w:rsidP="00063279">
      <w:pPr>
        <w:rPr>
          <w:sz w:val="36"/>
        </w:rPr>
      </w:pPr>
    </w:p>
    <w:p w:rsidR="00F81B90" w:rsidRDefault="00F81B90"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C010C">
        <w:rPr>
          <w:b/>
        </w:rPr>
        <w:t>uniqueness</w:t>
      </w:r>
      <w:r w:rsidR="00DC010C">
        <w:t xml:space="preserve"> or </w:t>
      </w:r>
      <w:r w:rsidR="00DC010C" w:rsidRPr="00DC010C">
        <w:rPr>
          <w:b/>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A972A0">
            <w:pPr>
              <w:rPr>
                <w:sz w:val="20"/>
              </w:rPr>
            </w:pPr>
            <w:r w:rsidRPr="00D11883">
              <w:rPr>
                <w:sz w:val="20"/>
              </w:rPr>
              <w:t>query</w:t>
            </w:r>
          </w:p>
        </w:tc>
        <w:tc>
          <w:tcPr>
            <w:tcW w:w="1514" w:type="dxa"/>
            <w:tcBorders>
              <w:bottom w:val="single" w:sz="4" w:space="0" w:color="auto"/>
            </w:tcBorders>
          </w:tcPr>
          <w:p w:rsidR="00887823" w:rsidRPr="00D11883" w:rsidRDefault="00887823" w:rsidP="00A972A0">
            <w:pPr>
              <w:rPr>
                <w:sz w:val="20"/>
              </w:rPr>
            </w:pPr>
            <w:r w:rsidRPr="00D11883">
              <w:rPr>
                <w:sz w:val="20"/>
              </w:rPr>
              <w:t>subject</w:t>
            </w:r>
          </w:p>
        </w:tc>
        <w:tc>
          <w:tcPr>
            <w:tcW w:w="1681" w:type="dxa"/>
            <w:tcBorders>
              <w:bottom w:val="single" w:sz="4" w:space="0" w:color="auto"/>
            </w:tcBorders>
          </w:tcPr>
          <w:p w:rsidR="00887823" w:rsidRPr="00D11883" w:rsidRDefault="00887823" w:rsidP="00A972A0">
            <w:pPr>
              <w:rPr>
                <w:sz w:val="20"/>
              </w:rPr>
            </w:pPr>
            <w:r w:rsidRPr="00D11883">
              <w:rPr>
                <w:sz w:val="20"/>
              </w:rPr>
              <w:t>subject_accession</w:t>
            </w:r>
          </w:p>
        </w:tc>
        <w:tc>
          <w:tcPr>
            <w:tcW w:w="1587" w:type="dxa"/>
            <w:tcBorders>
              <w:bottom w:val="single" w:sz="4" w:space="0" w:color="auto"/>
            </w:tcBorders>
          </w:tcPr>
          <w:p w:rsidR="00887823" w:rsidRPr="00D11883" w:rsidRDefault="00887823" w:rsidP="00A972A0">
            <w:pPr>
              <w:rPr>
                <w:sz w:val="20"/>
              </w:rPr>
            </w:pPr>
            <w:r w:rsidRPr="00D11883">
              <w:rPr>
                <w:sz w:val="20"/>
              </w:rPr>
              <w:t>mismatch_count</w:t>
            </w:r>
          </w:p>
        </w:tc>
        <w:tc>
          <w:tcPr>
            <w:tcW w:w="1719" w:type="dxa"/>
            <w:tcBorders>
              <w:bottom w:val="single" w:sz="4" w:space="0" w:color="auto"/>
            </w:tcBorders>
          </w:tcPr>
          <w:p w:rsidR="00887823" w:rsidRPr="000639EF" w:rsidRDefault="00887823" w:rsidP="00A972A0">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DE4320" w:rsidRDefault="003E77F8">
      <w:pPr>
        <w:rPr>
          <w:b/>
        </w:rPr>
      </w:pPr>
      <w:r>
        <w:rPr>
          <w:b/>
        </w:rPr>
        <w:t xml:space="preserve">- </w:t>
      </w:r>
      <w:r w:rsidRPr="003E77F8">
        <w:rPr>
          <w:b/>
          <w:i/>
        </w:rPr>
        <w:t>Distance</w:t>
      </w:r>
      <w:r w:rsidR="00457733">
        <w:rPr>
          <w:b/>
          <w:i/>
        </w:rPr>
        <w:t>:</w:t>
      </w:r>
      <w:bookmarkStart w:id="0" w:name="_GoBack"/>
      <w:bookmarkEnd w:id="0"/>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Default="00654560">
      <w:pPr>
        <w:rPr>
          <w:b/>
        </w:rPr>
      </w:pP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val="en-US"/>
        </w:rPr>
        <w:drawing>
          <wp:inline distT="0" distB="0" distL="0" distR="0">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t>- U</w:t>
      </w:r>
      <w:r w:rsidR="006B3A83">
        <w:rPr>
          <w:b/>
        </w:rPr>
        <w:t>ser interface and interaction</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lastRenderedPageBreak/>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366B92"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6E6" w:rsidRDefault="006736E6" w:rsidP="000337B9">
      <w:pPr>
        <w:spacing w:after="0" w:line="240" w:lineRule="auto"/>
      </w:pPr>
      <w:r>
        <w:separator/>
      </w:r>
    </w:p>
  </w:endnote>
  <w:endnote w:type="continuationSeparator" w:id="0">
    <w:p w:rsidR="006736E6" w:rsidRDefault="006736E6"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6E6" w:rsidRDefault="006736E6" w:rsidP="000337B9">
      <w:pPr>
        <w:spacing w:after="0" w:line="240" w:lineRule="auto"/>
      </w:pPr>
      <w:r>
        <w:separator/>
      </w:r>
    </w:p>
  </w:footnote>
  <w:footnote w:type="continuationSeparator" w:id="0">
    <w:p w:rsidR="006736E6" w:rsidRDefault="006736E6" w:rsidP="0003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66D0"/>
    <w:rsid w:val="00014BAA"/>
    <w:rsid w:val="0001715C"/>
    <w:rsid w:val="000337B9"/>
    <w:rsid w:val="00037DB6"/>
    <w:rsid w:val="00061D87"/>
    <w:rsid w:val="00063279"/>
    <w:rsid w:val="0007564E"/>
    <w:rsid w:val="00084EE3"/>
    <w:rsid w:val="00092860"/>
    <w:rsid w:val="000A6752"/>
    <w:rsid w:val="000B156B"/>
    <w:rsid w:val="000C13DE"/>
    <w:rsid w:val="000C29FA"/>
    <w:rsid w:val="001254A8"/>
    <w:rsid w:val="00130C91"/>
    <w:rsid w:val="0014561D"/>
    <w:rsid w:val="00147A22"/>
    <w:rsid w:val="00163D84"/>
    <w:rsid w:val="00164A72"/>
    <w:rsid w:val="00165064"/>
    <w:rsid w:val="001B2EDA"/>
    <w:rsid w:val="001B58B6"/>
    <w:rsid w:val="001C61C8"/>
    <w:rsid w:val="001E3244"/>
    <w:rsid w:val="001E6D65"/>
    <w:rsid w:val="001F51A9"/>
    <w:rsid w:val="002147B7"/>
    <w:rsid w:val="00250658"/>
    <w:rsid w:val="0025687D"/>
    <w:rsid w:val="002609A2"/>
    <w:rsid w:val="00271225"/>
    <w:rsid w:val="00281E50"/>
    <w:rsid w:val="002823E9"/>
    <w:rsid w:val="002A1450"/>
    <w:rsid w:val="002A2D2F"/>
    <w:rsid w:val="002A41CE"/>
    <w:rsid w:val="002A7D51"/>
    <w:rsid w:val="002B0C69"/>
    <w:rsid w:val="002B6F70"/>
    <w:rsid w:val="002C2D6A"/>
    <w:rsid w:val="002C3C7A"/>
    <w:rsid w:val="002D3016"/>
    <w:rsid w:val="00300092"/>
    <w:rsid w:val="00310707"/>
    <w:rsid w:val="003415BA"/>
    <w:rsid w:val="00345D99"/>
    <w:rsid w:val="00347A71"/>
    <w:rsid w:val="00357B95"/>
    <w:rsid w:val="00362DF1"/>
    <w:rsid w:val="00366E3C"/>
    <w:rsid w:val="00382A11"/>
    <w:rsid w:val="003A3357"/>
    <w:rsid w:val="003B29F3"/>
    <w:rsid w:val="003C47A2"/>
    <w:rsid w:val="003D1789"/>
    <w:rsid w:val="003D4F91"/>
    <w:rsid w:val="003D7895"/>
    <w:rsid w:val="003E0CC0"/>
    <w:rsid w:val="003E20A8"/>
    <w:rsid w:val="003E77F8"/>
    <w:rsid w:val="003F5AEC"/>
    <w:rsid w:val="004315F2"/>
    <w:rsid w:val="0045177B"/>
    <w:rsid w:val="00454556"/>
    <w:rsid w:val="00457733"/>
    <w:rsid w:val="004A36C7"/>
    <w:rsid w:val="004D262F"/>
    <w:rsid w:val="004F3CCD"/>
    <w:rsid w:val="00505716"/>
    <w:rsid w:val="0051179F"/>
    <w:rsid w:val="005338D2"/>
    <w:rsid w:val="00541C05"/>
    <w:rsid w:val="00544D6C"/>
    <w:rsid w:val="00551A08"/>
    <w:rsid w:val="00572E86"/>
    <w:rsid w:val="005754EF"/>
    <w:rsid w:val="00577ACB"/>
    <w:rsid w:val="005920BB"/>
    <w:rsid w:val="00593E82"/>
    <w:rsid w:val="0059559D"/>
    <w:rsid w:val="005A4AF6"/>
    <w:rsid w:val="005B52BF"/>
    <w:rsid w:val="005F4D6E"/>
    <w:rsid w:val="00605D4E"/>
    <w:rsid w:val="00621E11"/>
    <w:rsid w:val="00622B35"/>
    <w:rsid w:val="00654560"/>
    <w:rsid w:val="006736E6"/>
    <w:rsid w:val="00673934"/>
    <w:rsid w:val="0067484E"/>
    <w:rsid w:val="006749AC"/>
    <w:rsid w:val="0068693A"/>
    <w:rsid w:val="00694077"/>
    <w:rsid w:val="006948F9"/>
    <w:rsid w:val="006A6740"/>
    <w:rsid w:val="006B3A83"/>
    <w:rsid w:val="006D6912"/>
    <w:rsid w:val="00710C52"/>
    <w:rsid w:val="00714025"/>
    <w:rsid w:val="00736F33"/>
    <w:rsid w:val="0074783F"/>
    <w:rsid w:val="00747E49"/>
    <w:rsid w:val="00756076"/>
    <w:rsid w:val="0076504E"/>
    <w:rsid w:val="00772461"/>
    <w:rsid w:val="00781BF3"/>
    <w:rsid w:val="00792959"/>
    <w:rsid w:val="007A1B9F"/>
    <w:rsid w:val="007B39BF"/>
    <w:rsid w:val="007C4694"/>
    <w:rsid w:val="007C7EC0"/>
    <w:rsid w:val="007D03F5"/>
    <w:rsid w:val="007F4A44"/>
    <w:rsid w:val="007F5FEF"/>
    <w:rsid w:val="007F688A"/>
    <w:rsid w:val="008066F6"/>
    <w:rsid w:val="00833BA4"/>
    <w:rsid w:val="00846273"/>
    <w:rsid w:val="00870986"/>
    <w:rsid w:val="00882AF9"/>
    <w:rsid w:val="00887823"/>
    <w:rsid w:val="008C3A3D"/>
    <w:rsid w:val="008C7AF4"/>
    <w:rsid w:val="008D13F7"/>
    <w:rsid w:val="008D162A"/>
    <w:rsid w:val="008E07F4"/>
    <w:rsid w:val="008E150C"/>
    <w:rsid w:val="008E5C30"/>
    <w:rsid w:val="00915415"/>
    <w:rsid w:val="00931359"/>
    <w:rsid w:val="009361CD"/>
    <w:rsid w:val="0095184A"/>
    <w:rsid w:val="009559BF"/>
    <w:rsid w:val="009623E5"/>
    <w:rsid w:val="009712CC"/>
    <w:rsid w:val="00983629"/>
    <w:rsid w:val="009856EA"/>
    <w:rsid w:val="00985DBB"/>
    <w:rsid w:val="009A10B4"/>
    <w:rsid w:val="009A3129"/>
    <w:rsid w:val="009B15CF"/>
    <w:rsid w:val="009B7B89"/>
    <w:rsid w:val="009C4481"/>
    <w:rsid w:val="009C460A"/>
    <w:rsid w:val="009E3FCB"/>
    <w:rsid w:val="00A00D64"/>
    <w:rsid w:val="00A02701"/>
    <w:rsid w:val="00A034EE"/>
    <w:rsid w:val="00A27298"/>
    <w:rsid w:val="00A403CC"/>
    <w:rsid w:val="00A45172"/>
    <w:rsid w:val="00A47F48"/>
    <w:rsid w:val="00A54BE7"/>
    <w:rsid w:val="00A70F81"/>
    <w:rsid w:val="00AA2811"/>
    <w:rsid w:val="00AA32B5"/>
    <w:rsid w:val="00B127DD"/>
    <w:rsid w:val="00B26E49"/>
    <w:rsid w:val="00B43BBF"/>
    <w:rsid w:val="00B60E1B"/>
    <w:rsid w:val="00B7598A"/>
    <w:rsid w:val="00B833CE"/>
    <w:rsid w:val="00B96C3F"/>
    <w:rsid w:val="00BC0221"/>
    <w:rsid w:val="00BC5082"/>
    <w:rsid w:val="00BF0990"/>
    <w:rsid w:val="00BF5205"/>
    <w:rsid w:val="00BF60CC"/>
    <w:rsid w:val="00C031B5"/>
    <w:rsid w:val="00C15135"/>
    <w:rsid w:val="00C2615F"/>
    <w:rsid w:val="00C31719"/>
    <w:rsid w:val="00C42183"/>
    <w:rsid w:val="00C43891"/>
    <w:rsid w:val="00C60A87"/>
    <w:rsid w:val="00C62B1A"/>
    <w:rsid w:val="00C652D5"/>
    <w:rsid w:val="00C77AD6"/>
    <w:rsid w:val="00C823F2"/>
    <w:rsid w:val="00CA0962"/>
    <w:rsid w:val="00CA101E"/>
    <w:rsid w:val="00CB1FF8"/>
    <w:rsid w:val="00CB227F"/>
    <w:rsid w:val="00CE2F0F"/>
    <w:rsid w:val="00D01599"/>
    <w:rsid w:val="00D11883"/>
    <w:rsid w:val="00D2155C"/>
    <w:rsid w:val="00D44FAC"/>
    <w:rsid w:val="00D65594"/>
    <w:rsid w:val="00D662B7"/>
    <w:rsid w:val="00DA31F7"/>
    <w:rsid w:val="00DC010C"/>
    <w:rsid w:val="00DD548D"/>
    <w:rsid w:val="00DE03BF"/>
    <w:rsid w:val="00DE4320"/>
    <w:rsid w:val="00DF55E8"/>
    <w:rsid w:val="00E118AA"/>
    <w:rsid w:val="00E12FCC"/>
    <w:rsid w:val="00E256FD"/>
    <w:rsid w:val="00E50942"/>
    <w:rsid w:val="00E57C07"/>
    <w:rsid w:val="00E6114E"/>
    <w:rsid w:val="00E621FF"/>
    <w:rsid w:val="00E94B32"/>
    <w:rsid w:val="00EA3842"/>
    <w:rsid w:val="00EC38CD"/>
    <w:rsid w:val="00EC5467"/>
    <w:rsid w:val="00F052CF"/>
    <w:rsid w:val="00F171AA"/>
    <w:rsid w:val="00F27BD6"/>
    <w:rsid w:val="00F34876"/>
    <w:rsid w:val="00F43B62"/>
    <w:rsid w:val="00F56810"/>
    <w:rsid w:val="00F77201"/>
    <w:rsid w:val="00F81B90"/>
    <w:rsid w:val="00F8360A"/>
    <w:rsid w:val="00F87CD5"/>
    <w:rsid w:val="00F95ADB"/>
    <w:rsid w:val="00FA2C29"/>
    <w:rsid w:val="00FC2EF9"/>
    <w:rsid w:val="00FD1551"/>
    <w:rsid w:val="00FE14FB"/>
    <w:rsid w:val="00FE31C7"/>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E6B7"/>
  <w15:docId w15:val="{53FD7C4C-8C3C-4C19-B740-681B5865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14</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234</cp:revision>
  <dcterms:created xsi:type="dcterms:W3CDTF">2016-09-17T01:08:00Z</dcterms:created>
  <dcterms:modified xsi:type="dcterms:W3CDTF">2016-10-30T13:43:00Z</dcterms:modified>
</cp:coreProperties>
</file>