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0"/>
        <w:rPr/>
      </w:pPr>
      <w:r>
        <w:rPr/>
        <w:t>Spécifications fonctionnelles du projet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Le traîtement des données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Le traîtement des données doit respecter la norme RGPD (Réglement Général de la Protection des Données).</w:t>
      </w:r>
    </w:p>
    <w:p>
      <w:pPr>
        <w:pStyle w:val="Normal"/>
        <w:jc w:val="both"/>
        <w:rPr/>
      </w:pPr>
      <w:r>
        <w:rPr/>
        <w:t>Cette norme a pour but de responsabiliser les organismes traitant des données personnelles.</w:t>
      </w:r>
    </w:p>
    <w:p>
      <w:pPr>
        <w:pStyle w:val="Normal"/>
        <w:jc w:val="both"/>
        <w:rPr/>
      </w:pPr>
      <w:r>
        <w:rPr/>
        <w:t>C'est à l'origine une directive européenne, transposée en 2018 en droit français.</w:t>
      </w:r>
    </w:p>
    <w:p>
      <w:pPr>
        <w:pStyle w:val="Normal"/>
        <w:jc w:val="both"/>
        <w:rPr/>
      </w:pPr>
      <w:r>
        <w:rPr/>
        <w:t>Elle permet d’encadrer le traitement et la circulation des données à caractère personnel sur le territoire européen.</w:t>
      </w:r>
    </w:p>
    <w:p>
      <w:pPr>
        <w:pStyle w:val="Normal"/>
        <w:jc w:val="both"/>
        <w:rPr/>
      </w:pPr>
      <w:r>
        <w:rPr/>
        <w:t>Ce règlement est obligatoire, et indique que les données personnelles doivent être :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traitées de manière licite, loyale et transparente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collectées à des fins déterminées, explicites et légitimes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adéquates, pertinentes et limitées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exactes et tenues à jour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conservées pendant une durée raisonnable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traitées de façon à garantir leur protection</w:t>
      </w:r>
    </w:p>
    <w:p>
      <w:pPr>
        <w:pStyle w:val="Normal"/>
        <w:jc w:val="both"/>
        <w:rPr/>
      </w:pPr>
      <w:r>
        <w:rPr/>
        <w:t>Il est donc nécessaire de :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définir une personne chargée de la protection des données (l'administrateur)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lister les données et leur utilité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repérer les données à risques et les protéger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respecter le droit des membres concernant la collecte de leurs données, leur modification, leur suppression et leur oubli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s’assurer que les sous-traitants respectent la norme RGPD</w:t>
      </w:r>
    </w:p>
    <w:p>
      <w:pPr>
        <w:pStyle w:val="Normal"/>
        <w:jc w:val="both"/>
        <w:rPr/>
      </w:pPr>
      <w:r>
        <w:rPr/>
        <w:t>La gestion des données se déroule en 4 actions selon le modèle CRUD :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Create (créer)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Read (lire)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>Update (éditer)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jc w:val="both"/>
        <w:rPr/>
      </w:pPr>
      <w:r>
        <w:rPr/>
        <w:t>Delete (supprimer)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Puce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Puce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208</Words>
  <Characters>1123</Characters>
  <CharactersWithSpaces>1292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