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Dear IT Manager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Thank you for allowing me the time to conduct this Security Audit for Botium Toys. Please note that I will outline a few areas that need attention immediately and provide a timeline for when the rest of the gaps can be concluded by.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Implementation and Recommendation Time Frame: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( 1-7 days) </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Access to cardholder PII and SPII needs to be categorizes to authorized users only</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Access controls pertaining to least privilege and separation of duties need to be implemented. </w:t>
      </w:r>
    </w:p>
    <w:p w:rsidR="00000000" w:rsidDel="00000000" w:rsidP="00000000" w:rsidRDefault="00000000" w:rsidRPr="00000000" w14:paraId="00000081">
      <w:pPr>
        <w:numPr>
          <w:ilvl w:val="0"/>
          <w:numId w:val="12"/>
        </w:numPr>
        <w:ind w:left="720" w:hanging="360"/>
        <w:rPr>
          <w:u w:val="none"/>
        </w:rPr>
      </w:pPr>
      <w:r w:rsidDel="00000000" w:rsidR="00000000" w:rsidRPr="00000000">
        <w:rPr>
          <w:rtl w:val="0"/>
        </w:rPr>
        <w:t xml:space="preserve">Ie: entry level staff can have category 1 access, middle management can have              category 2 access and senior management can have category 3 access </w:t>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The IT department needs to install an IDS, with the scaling of your business it increases the risk of threats and attacks from unauthorised uses. This will enable you be able to react quicker in the event of a threat </w:t>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Configuring and setting up your BCP (business continuity plan or disaster recovery plan ) is crucial and will set up your business to be able to continue operations in the event of a data breach or a hack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( 8 - 21 days) </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Data encryption needs to be implemented, this is crucial to ensure confidentiality of your customers credit card information </w:t>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Centralised Password management systems need to be put in place to ensure that all employees are in line with current minimum password complexity requirements </w:t>
      </w:r>
      <w:r w:rsidDel="00000000" w:rsidR="00000000" w:rsidRPr="00000000">
        <w:rPr>
          <w:rtl w:val="0"/>
        </w:rPr>
        <w:t xml:space="preserve">e.g., at least eight characters, a combination of letters and at least one number; special characters). </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Legacy systems need to be maintained through a clear schedule - detailed who is responsible for what and at what interval/s should these be checked. A detailed report should be sent to IT manager on any issues discovered and a clear plan on resolution and timeframe.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