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25 June 2025</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JMarch 2025 to May 2025.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 This scope of this assessment only relates to the confidentiality, availability and integrity of the data on the server and not the physical server or its related OT</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B">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C">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Human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Threats arising humans that access the publicly available data might alter the data in a way that negatively impacts the company. They could also intentionally steal data and damage the company equipment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Techno;pgical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The threat here is from non-human factors ie: failure of equipment due to aging, resource depletion and other circumstances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Environmental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Threats that arise from accidental, non-human factors. Ie: power outages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b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B">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