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authornote"/>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Examination of the polychoric correlation matrix revealed no extreme multicollinearity among items, with all inter-item correlations below 0.90.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to test a comprehensive range of models from the literature. We first tested the original correlated three-factor model (Vigor, Dedication, Absorption) and a competing one-factor model (Schaufeli, Bakker, &amp; Salanova, 2006). However, as many studies report strong intercorrelations among the three dimensions, suggesting they may represent a single higher-order construct (Fong &amp; Ng, 2012), we also specified and tested a hierarchical (second-order) model (Domínguez-Salas et al., 2022). Further analyses included tests of alternative two-factor solutions (e.g., Chaudhary, Rangnekar, &amp; Barua, 2012), a partial and full bi-factor model (de Bruin &amp; Henn, 2013), and several modified three-factor models incorporating correlated error terms (e.g., Simbula et al., 2013).</w:t>
      </w:r>
    </w:p>
    <w:p>
      <w:pPr>
        <w:pStyle w:val="Textkrper"/>
      </w:pPr>
      <w:r>
        <w:t xml:space="preserve">Kaiser-Meyer-Olkin (KMO) measure, together with the Bartlett test of sphericity, was applied to assess the factorability of the UWES data. Five indices were used to inspect model fit: 1) Mean Square Error of Approximation (RMSEA); 2) Standardised Root Mean Square Residual (SRMR); 3) chi-square test; 4) Comparative Fit index (CFI); and 5) Tucker-Lewis index (TLI). While these traditional fit indices are widely reported, their fixed cutoff values (e.g., RMSEA &lt; .06, CFI &gt; .95) have been criticized for poor generalizability, particularly because their performance is highly dependent on the specific characteristics of the model being tested (McNeish &amp; Wolf, 2022). Therefore, to provide a more rigorous and accurate assessment of model fit, we adopted the Dynamic Fit Index (DFI) approach (McNeish &amp; Wolf, 2021). This method generates customized fit index cutoffs tailored to the unique characteristics of each model. The Weighted Least Squares Mean and Variance adjusted (WLSMV) on the polychoric correlation matrix was used to fit CFA models.</w:t>
      </w:r>
    </w:p>
    <w:p>
      <w:pPr>
        <w:pStyle w:val="Textkrper"/>
      </w:pPr>
      <w:r>
        <w:t xml:space="preserve">The invariance of a measurement was explored between males and females. Configural, metric, scalar, and strict invariance were supported if ΔCFI was &lt; 0.01 between invariance models. The scale reliability was measured by the McDonald’s</w:t>
      </w:r>
      <w:r>
        <w:t xml:space="preserve"> </w:t>
      </w:r>
      <m:oMath>
        <m:r>
          <m:t>ω</m:t>
        </m:r>
      </m:oMath>
      <w:r>
        <w:t xml:space="preserve"> </w:t>
      </w:r>
      <w:r>
        <w:t xml:space="preserve">and also by the Cronbach’s</w:t>
      </w:r>
      <w:r>
        <w:t xml:space="preserve"> </w:t>
      </w:r>
      <m:oMath>
        <m:r>
          <m:t>α</m:t>
        </m:r>
      </m:oMath>
      <w:r>
        <w:t xml:space="preserve">. In addition to these, model-based Composite Reliability (CR) was calculated to assess the internal consistency of each factor, with values &gt; 0.70 indicating good reliability (Fornell &amp; Larcker, 1981).</w:t>
      </w:r>
    </w:p>
    <w:p>
      <w:pPr>
        <w:pStyle w:val="Textkrper"/>
      </w:pPr>
      <w:r>
        <w:t xml:space="preserve">Construct validity was evaluated in several ways. First, we explored internal convergent validity during CFA, which assessed the degree to which items of a specific factor are related. More specifically, this was tested using the Average Variance Extracted (AVE), with values &gt; 0.50 considered acceptable (Fornell &amp; Larcker, 1981). Next we assessed, internal discriminant validity, which evaluated whether the factors are statistically distinct. For this purpous, the Heterotrait-Monotrait Ratio of Correlations (HTMT) test was used. If values from this test do not reach 0.90 discriminant validity is supported (Henseler et al., 2015). In the further step, we tested vonvergent and divergent validity externally i.e., via zero-order Spearman rank correlations with self-efficacy, neuroticism, and extraversion (convergent), and with spirituality (divergent). Relatedly, to provide a formal test of external discriminant validity, the magnitudes of the dependent correlations between the UWES subscales and these external criteria were compared using the z-test from Hittner, May, and Silver (2003).</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44" w:name="results"/>
    <w:p>
      <w:pPr>
        <w:pStyle w:val="berschrift1"/>
      </w:pPr>
      <w:r>
        <w:t xml:space="preserve">Results</w:t>
      </w:r>
    </w:p>
    <w:bookmarkStart w:id="36"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ableCaption"/>
      </w:pPr>
      <w:bookmarkStart w:id="31" w:name="tab:unnamed-chunk-1"/>
      <w:bookmarkEnd w:id="31"/>
      <w:r>
        <w:t xml:space="preserve">Table 1</w:t>
      </w:r>
      <w:r>
        <w:br/>
      </w:r>
      <w:r>
        <w:rPr>
          <w:i/>
          <w:iCs/>
        </w:rPr>
        <w:t xml:space="preserve">Socio-demographic</w:t>
      </w:r>
      <w:r>
        <w:rPr>
          <w:i/>
          <w:iCs/>
        </w:rPr>
        <w:t xml:space="preserve"> </w:t>
      </w:r>
      <w:r>
        <w:rPr>
          <w:i/>
          <w:iCs/>
        </w:rPr>
        <w:t xml:space="preserve">results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three</w:t>
      </w:r>
      <w:r>
        <w:rPr>
          <w:i/>
          <w:iCs/>
        </w:rPr>
        <w:t xml:space="preserve"> </w:t>
      </w:r>
      <w:r>
        <w:rPr>
          <w:i/>
          <w:iCs/>
        </w:rPr>
        <w:t xml:space="preserve">samples</w:t>
      </w:r>
    </w:p>
    <w:tbl>
      <w:tblPr>
        <w:tblStyle w:val="Table"/>
        <w:tblW w:type="auto" w:w="0"/>
        <w:tblLook w:firstRow="1" w:lastRow="0" w:firstColumn="0" w:lastColumn="0" w:noHBand="0" w:noVBand="0" w:val="0020"/>
        <w:tblCaption w:val="Table 1 Socio-demographic results of the three samples"/>
      </w:tblPr>
      <w:tblGrid>
        <w:gridCol w:w="1131"/>
        <w:gridCol w:w="1131"/>
        <w:gridCol w:w="1131"/>
        <w:gridCol w:w="1131"/>
        <w:gridCol w:w="1131"/>
        <w:gridCol w:w="1131"/>
        <w:gridCol w:w="1131"/>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n(%)</w:t>
            </w:r>
          </w:p>
        </w:tc>
        <w:tc>
          <w:tcPr/>
          <w:p>
            <w:pPr>
              <w:pStyle w:val="Compact"/>
              <w:jc w:val="left"/>
            </w:pPr>
            <w:r>
              <w:t xml:space="preserve">UWES_T</w:t>
            </w:r>
          </w:p>
        </w:tc>
        <w:tc>
          <w:tcPr/>
          <w:p>
            <w:pPr>
              <w:pStyle w:val="Compact"/>
              <w:jc w:val="left"/>
            </w:pPr>
            <w:r>
              <w:t xml:space="preserve">UWES_D</w:t>
            </w:r>
          </w:p>
        </w:tc>
        <w:tc>
          <w:tcPr/>
          <w:p>
            <w:pPr>
              <w:pStyle w:val="Compact"/>
              <w:jc w:val="left"/>
            </w:pPr>
            <w:r>
              <w:t xml:space="preserve">UWES_A</w:t>
            </w:r>
          </w:p>
        </w:tc>
        <w:tc>
          <w:tcPr/>
          <w:p>
            <w:pPr>
              <w:pStyle w:val="Compact"/>
              <w:jc w:val="left"/>
            </w:pPr>
            <w:r>
              <w:t xml:space="preserve">UWES_V</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Professional worker: x2(536)=3.45**, A=0.42</w:t>
            </w:r>
          </w:p>
        </w:tc>
        <w:tc>
          <w:tcPr/>
          <w:p>
            <w:pPr>
              <w:pStyle w:val="Compact"/>
              <w:jc w:val="left"/>
            </w:pPr>
            <w:r>
              <w:t xml:space="preserve">Professional worker: x2(532) = 3.51**, A = 0.42</w:t>
            </w:r>
          </w:p>
        </w:tc>
        <w:tc>
          <w:tcPr/>
          <w:p>
            <w:pPr>
              <w:pStyle w:val="Compact"/>
              <w:jc w:val="left"/>
            </w:pPr>
            <w:r>
              <w:t xml:space="preserve">Professional worker: x2(538)=4.02***, A=0.41</w:t>
            </w:r>
          </w:p>
        </w:tc>
        <w:tc>
          <w:tcPr/>
          <w:p>
            <w:pPr>
              <w:pStyle w:val="Compact"/>
              <w:jc w:val="left"/>
            </w:pPr>
            <w:r>
              <w:t xml:space="preserve">Chief worker: x2(156)=3.6**, A=0.39</w:t>
            </w:r>
          </w:p>
        </w:tc>
      </w:tr>
      <w:tr>
        <w:tc>
          <w:tcPr/>
          <w:p>
            <w:pPr>
              <w:pStyle w:val="Compact"/>
            </w:pP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Chief worker: x2(150)=3.85***, A=0.38</w:t>
            </w:r>
          </w:p>
        </w:tc>
        <w:tc>
          <w:tcPr/>
          <w:p>
            <w:pPr>
              <w:pStyle w:val="Compact"/>
              <w:jc w:val="left"/>
            </w:pPr>
            <w:r>
              <w:t xml:space="preserve">Chief worker: x2(144) = 3.57**, A = 0.39</w:t>
            </w:r>
          </w:p>
        </w:tc>
        <w:tc>
          <w:tcPr/>
          <w:p>
            <w:pPr>
              <w:pStyle w:val="Compact"/>
              <w:jc w:val="left"/>
            </w:pPr>
            <w:r>
              <w:t xml:space="preserve">Chief worker: x2(140)=3.57**, A=0.38</w:t>
            </w:r>
          </w:p>
        </w:tc>
        <w:tc>
          <w:tcPr/>
          <w:p>
            <w:pPr>
              <w:pStyle w:val="Compact"/>
            </w:pPr>
          </w:p>
        </w:tc>
      </w:tr>
      <w:tr>
        <w:tc>
          <w:tcPr/>
          <w:p>
            <w:pPr>
              <w:pStyle w:val="Compact"/>
            </w:pPr>
          </w:p>
        </w:tc>
        <w:tc>
          <w:tcPr/>
          <w:p>
            <w:pPr>
              <w:pStyle w:val="Compact"/>
              <w:jc w:val="left"/>
            </w:pPr>
            <w:r>
              <w:t xml:space="preserve">Professional worker</w:t>
            </w:r>
          </w:p>
        </w:tc>
        <w:tc>
          <w:tcPr/>
          <w:p>
            <w:pPr>
              <w:pStyle w:val="Compact"/>
              <w:jc w:val="left"/>
            </w:pPr>
            <w:r>
              <w:t xml:space="preserve">227 (32%)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Chief worker</w:t>
            </w:r>
          </w:p>
        </w:tc>
        <w:tc>
          <w:tcPr/>
          <w:p>
            <w:pPr>
              <w:pStyle w:val="Compact"/>
              <w:jc w:val="left"/>
            </w:pPr>
            <w:r>
              <w:t xml:space="preserve">84 (12%)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22 (3%)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Non graduation high school or lower</w:t>
            </w:r>
          </w:p>
        </w:tc>
        <w:tc>
          <w:tcPr/>
          <w:p>
            <w:pPr>
              <w:pStyle w:val="Compact"/>
              <w:jc w:val="left"/>
            </w:pPr>
            <w:r>
              <w:t xml:space="preserve">266 (38%)</w:t>
            </w:r>
          </w:p>
        </w:tc>
        <w:tc>
          <w:tcPr/>
          <w:p>
            <w:pPr>
              <w:pStyle w:val="Compact"/>
              <w:jc w:val="left"/>
            </w:pPr>
            <w:r>
              <w:t xml:space="preserve">Higher vocational school or University: x2(434)=2.89*, A=0.35</w:t>
            </w:r>
          </w:p>
        </w:tc>
        <w:tc>
          <w:tcPr/>
          <w:p>
            <w:pPr>
              <w:pStyle w:val="Compact"/>
            </w:pPr>
          </w:p>
        </w:tc>
        <w:tc>
          <w:tcPr/>
          <w:p>
            <w:pPr>
              <w:pStyle w:val="Compact"/>
              <w:jc w:val="left"/>
            </w:pPr>
            <w:r>
              <w:t xml:space="preserve">Higher vocational school or University: x2(426)=3.74**, A=0.34</w:t>
            </w:r>
          </w:p>
        </w:tc>
        <w:tc>
          <w:tcPr/>
          <w:p>
            <w:pPr>
              <w:pStyle w:val="Compact"/>
            </w:pPr>
          </w:p>
        </w:tc>
      </w:tr>
      <w:tr>
        <w:tc>
          <w:tcPr/>
          <w:p>
            <w:pPr>
              <w:pStyle w:val="Compact"/>
            </w:pPr>
          </w:p>
        </w:tc>
        <w:tc>
          <w:tcPr/>
          <w:p>
            <w:pPr>
              <w:pStyle w:val="Compact"/>
              <w:jc w:val="left"/>
            </w:pPr>
            <w:r>
              <w:t xml:space="preserve">High school</w:t>
            </w:r>
          </w:p>
        </w:tc>
        <w:tc>
          <w:tcPr/>
          <w:p>
            <w:pPr>
              <w:pStyle w:val="Compact"/>
              <w:jc w:val="left"/>
            </w:pPr>
            <w:r>
              <w:t xml:space="preserve">200 (28%)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Higher vocational school or University</w:t>
            </w:r>
          </w:p>
        </w:tc>
        <w:tc>
          <w:tcPr/>
          <w:p>
            <w:pPr>
              <w:pStyle w:val="Compact"/>
              <w:jc w:val="left"/>
            </w:pPr>
            <w:r>
              <w:t xml:space="preserve">219 (31%)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 relationship</w:t>
            </w:r>
          </w:p>
        </w:tc>
        <w:tc>
          <w:tcPr/>
          <w:p>
            <w:pPr>
              <w:pStyle w:val="Compact"/>
              <w:jc w:val="left"/>
            </w:pPr>
            <w:r>
              <w:t xml:space="preserve">140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Married</w:t>
            </w:r>
          </w:p>
        </w:tc>
        <w:tc>
          <w:tcPr/>
          <w:p>
            <w:pPr>
              <w:pStyle w:val="Compact"/>
              <w:jc w:val="left"/>
            </w:pPr>
            <w:r>
              <w:t xml:space="preserve">324 (46%)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Divorced</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Widow/Widower</w:t>
            </w:r>
          </w:p>
        </w:tc>
        <w:tc>
          <w:tcPr/>
          <w:p>
            <w:pPr>
              <w:pStyle w:val="Compact"/>
              <w:jc w:val="left"/>
            </w:pPr>
            <w:r>
              <w:t xml:space="preserve">11 (2%)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435 (62%)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left"/>
            </w:pPr>
            <w:r>
              <w:t xml:space="preserve">272 (38%)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54 (8%)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Yes, but I am not a member of a church</w:t>
            </w:r>
          </w:p>
        </w:tc>
        <w:tc>
          <w:tcPr/>
          <w:p>
            <w:pPr>
              <w:pStyle w:val="Compact"/>
              <w:jc w:val="left"/>
            </w:pPr>
            <w:r>
              <w:t xml:space="preserve">144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w:t>
            </w:r>
          </w:p>
        </w:tc>
        <w:tc>
          <w:tcPr/>
          <w:p>
            <w:pPr>
              <w:pStyle w:val="Compact"/>
              <w:jc w:val="left"/>
            </w:pPr>
            <w:r>
              <w:t xml:space="preserve">352 (50%)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 I am convinced atheist</w:t>
            </w:r>
          </w:p>
        </w:tc>
        <w:tc>
          <w:tcPr/>
          <w:p>
            <w:pPr>
              <w:pStyle w:val="Compact"/>
              <w:jc w:val="left"/>
            </w:pPr>
            <w:r>
              <w:t xml:space="preserve">127 (18%)</w:t>
            </w:r>
          </w:p>
        </w:tc>
        <w:tc>
          <w:tcPr/>
          <w:p>
            <w:pPr>
              <w:pStyle w:val="Compact"/>
            </w:pPr>
          </w:p>
        </w:tc>
        <w:tc>
          <w:tcPr/>
          <w:p>
            <w:pPr>
              <w:pStyle w:val="Compact"/>
            </w:pPr>
          </w:p>
        </w:tc>
        <w:tc>
          <w:tcPr/>
          <w:p>
            <w:pPr>
              <w:pStyle w:val="Compact"/>
            </w:pPr>
          </w:p>
        </w:tc>
        <w:tc>
          <w:tcPr/>
          <w:p>
            <w:pPr>
              <w:pStyle w:val="Compact"/>
            </w:pPr>
          </w:p>
        </w:tc>
      </w:tr>
    </w:tbl>
    <w:p>
      <w:pPr>
        <w:sectPr w:officer="true">
          <w:type w:val="continuous"/>
          <w:cols/>
        </w:sectPr>
      </w:pPr>
    </w:p>
    <w:p>
      <w:pPr>
        <w:pStyle w:val="TableCaption"/>
      </w:pPr>
      <w:bookmarkStart w:id="32" w:name="tab:unnamed-chunk-3"/>
      <w:bookmarkEnd w:id="32"/>
      <w:r>
        <w:t xml:space="preserve">Table 2</w:t>
      </w:r>
      <w:r>
        <w:br/>
      </w:r>
      <w:r>
        <w:rPr>
          <w:i/>
          <w:iCs/>
        </w:rPr>
        <w:t xml:space="preserve">Means</w:t>
      </w:r>
      <w:r>
        <w:rPr>
          <w:i/>
          <w:iCs/>
        </w:rPr>
        <w:t xml:space="preserve"> </w:t>
      </w:r>
      <w:r>
        <w:rPr>
          <w:i/>
          <w:iCs/>
        </w:rPr>
        <w:t xml:space="preserve">and</w:t>
      </w:r>
      <w:r>
        <w:rPr>
          <w:i/>
          <w:iCs/>
        </w:rPr>
        <w:t xml:space="preserve"> </w:t>
      </w:r>
      <w:r>
        <w:rPr>
          <w:i/>
          <w:iCs/>
        </w:rPr>
        <w:t xml:space="preserve">standard</w:t>
      </w:r>
      <w:r>
        <w:rPr>
          <w:i/>
          <w:iCs/>
        </w:rPr>
        <w:t xml:space="preserve"> </w:t>
      </w:r>
      <w:r>
        <w:rPr>
          <w:i/>
          <w:iCs/>
        </w:rPr>
        <w:t xml:space="preserve">deviations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total</w:t>
      </w:r>
      <w:r>
        <w:rPr>
          <w:i/>
          <w:iCs/>
        </w:rPr>
        <w:t xml:space="preserve"> </w:t>
      </w:r>
      <w:r>
        <w:rPr>
          <w:i/>
          <w:iCs/>
        </w:rPr>
        <w:t xml:space="preserve">and</w:t>
      </w:r>
      <w:r>
        <w:rPr>
          <w:i/>
          <w:iCs/>
        </w:rPr>
        <w:t xml:space="preserve"> </w:t>
      </w:r>
      <w:r>
        <w:rPr>
          <w:i/>
          <w:iCs/>
        </w:rPr>
        <w:t xml:space="preserve">subscale</w:t>
      </w:r>
      <w:r>
        <w:rPr>
          <w:i/>
          <w:iCs/>
        </w:rPr>
        <w:t xml:space="preserve"> </w:t>
      </w:r>
      <w:r>
        <w:rPr>
          <w:i/>
          <w:iCs/>
        </w:rPr>
        <w:t xml:space="preserve">scores</w:t>
      </w:r>
    </w:p>
    <w:tbl>
      <w:tblPr>
        <w:tblStyle w:val="Table"/>
        <w:tblW w:type="auto" w:w="0"/>
        <w:tblLook w:firstRow="1" w:lastRow="0" w:firstColumn="0" w:lastColumn="0" w:noHBand="0" w:noVBand="0" w:val="0020"/>
        <w:tblCaption w:val="Table 2 Means and standard deviations of the UWES total and subscale scores"/>
      </w:tblPr>
      <w:tblGrid>
        <w:gridCol w:w="1320"/>
        <w:gridCol w:w="1320"/>
        <w:gridCol w:w="1320"/>
        <w:gridCol w:w="1320"/>
        <w:gridCol w:w="1320"/>
        <w:gridCol w:w="1320"/>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UWES_T: M(SD)</w:t>
            </w:r>
          </w:p>
        </w:tc>
        <w:tc>
          <w:tcPr/>
          <w:p>
            <w:pPr>
              <w:pStyle w:val="Compact"/>
              <w:jc w:val="left"/>
            </w:pPr>
            <w:r>
              <w:t xml:space="preserve">UWES_A: M(SD)</w:t>
            </w:r>
          </w:p>
        </w:tc>
        <w:tc>
          <w:tcPr/>
          <w:p>
            <w:pPr>
              <w:pStyle w:val="Compact"/>
              <w:jc w:val="left"/>
            </w:pPr>
            <w:r>
              <w:t xml:space="preserve">UWES_D: M(SD)</w:t>
            </w:r>
          </w:p>
        </w:tc>
        <w:tc>
          <w:tcPr/>
          <w:p>
            <w:pPr>
              <w:pStyle w:val="Compact"/>
              <w:jc w:val="left"/>
            </w:pPr>
            <w:r>
              <w:t xml:space="preserve">UWES_V: M(SD)</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37.76 (13.12)</w:t>
            </w:r>
          </w:p>
        </w:tc>
        <w:tc>
          <w:tcPr/>
          <w:p>
            <w:pPr>
              <w:pStyle w:val="Compact"/>
              <w:jc w:val="left"/>
            </w:pPr>
            <w:r>
              <w:t xml:space="preserve">12.6 (4.54)</w:t>
            </w:r>
          </w:p>
        </w:tc>
        <w:tc>
          <w:tcPr/>
          <w:p>
            <w:pPr>
              <w:pStyle w:val="Compact"/>
              <w:jc w:val="left"/>
            </w:pPr>
            <w:r>
              <w:t xml:space="preserve">12.7 (4.84)</w:t>
            </w:r>
          </w:p>
        </w:tc>
        <w:tc>
          <w:tcPr/>
          <w:p>
            <w:pPr>
              <w:pStyle w:val="Compact"/>
              <w:jc w:val="left"/>
            </w:pPr>
            <w:r>
              <w:t xml:space="preserve">12.49 (4.44)</w:t>
            </w:r>
          </w:p>
        </w:tc>
      </w:tr>
      <w:tr>
        <w:tc>
          <w:tcPr/>
          <w:p>
            <w:pPr>
              <w:pStyle w:val="Compact"/>
            </w:pPr>
          </w:p>
        </w:tc>
        <w:tc>
          <w:tcPr/>
          <w:p>
            <w:pPr>
              <w:pStyle w:val="Compact"/>
              <w:jc w:val="left"/>
            </w:pPr>
            <w:r>
              <w:t xml:space="preserve">Professional worker</w:t>
            </w:r>
          </w:p>
        </w:tc>
        <w:tc>
          <w:tcPr/>
          <w:p>
            <w:pPr>
              <w:pStyle w:val="Compact"/>
              <w:jc w:val="left"/>
            </w:pPr>
            <w:r>
              <w:t xml:space="preserve">41.28 (10.95)</w:t>
            </w:r>
          </w:p>
        </w:tc>
        <w:tc>
          <w:tcPr/>
          <w:p>
            <w:pPr>
              <w:pStyle w:val="Compact"/>
              <w:jc w:val="left"/>
            </w:pPr>
            <w:r>
              <w:t xml:space="preserve">14.01 (3.76)</w:t>
            </w:r>
          </w:p>
        </w:tc>
        <w:tc>
          <w:tcPr/>
          <w:p>
            <w:pPr>
              <w:pStyle w:val="Compact"/>
              <w:jc w:val="left"/>
            </w:pPr>
            <w:r>
              <w:t xml:space="preserve">14.0 (4.11)</w:t>
            </w:r>
          </w:p>
        </w:tc>
        <w:tc>
          <w:tcPr/>
          <w:p>
            <w:pPr>
              <w:pStyle w:val="Compact"/>
              <w:jc w:val="left"/>
            </w:pPr>
            <w:r>
              <w:t xml:space="preserve">13.26 (3.81)</w:t>
            </w:r>
          </w:p>
        </w:tc>
      </w:tr>
      <w:tr>
        <w:tc>
          <w:tcPr/>
          <w:p>
            <w:pPr>
              <w:pStyle w:val="Compact"/>
            </w:pPr>
          </w:p>
        </w:tc>
        <w:tc>
          <w:tcPr/>
          <w:p>
            <w:pPr>
              <w:pStyle w:val="Compact"/>
              <w:jc w:val="left"/>
            </w:pPr>
            <w:r>
              <w:t xml:space="preserve">Chief worker</w:t>
            </w:r>
          </w:p>
        </w:tc>
        <w:tc>
          <w:tcPr/>
          <w:p>
            <w:pPr>
              <w:pStyle w:val="Compact"/>
              <w:jc w:val="left"/>
            </w:pPr>
            <w:r>
              <w:t xml:space="preserve">43.08 (10.85)</w:t>
            </w:r>
          </w:p>
        </w:tc>
        <w:tc>
          <w:tcPr/>
          <w:p>
            <w:pPr>
              <w:pStyle w:val="Compact"/>
              <w:jc w:val="left"/>
            </w:pPr>
            <w:r>
              <w:t xml:space="preserve">14.4 (4.04)</w:t>
            </w:r>
          </w:p>
        </w:tc>
        <w:tc>
          <w:tcPr/>
          <w:p>
            <w:pPr>
              <w:pStyle w:val="Compact"/>
              <w:jc w:val="left"/>
            </w:pPr>
            <w:r>
              <w:t xml:space="preserve">14.6 (4.17)</w:t>
            </w:r>
          </w:p>
        </w:tc>
        <w:tc>
          <w:tcPr/>
          <w:p>
            <w:pPr>
              <w:pStyle w:val="Compact"/>
              <w:jc w:val="left"/>
            </w:pPr>
            <w:r>
              <w:t xml:space="preserve">14.13 (3.53)</w:t>
            </w: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33.68 (14.67)</w:t>
            </w:r>
          </w:p>
        </w:tc>
        <w:tc>
          <w:tcPr/>
          <w:p>
            <w:pPr>
              <w:pStyle w:val="Compact"/>
              <w:jc w:val="left"/>
            </w:pPr>
            <w:r>
              <w:t xml:space="preserve">11.68 (5.23)</w:t>
            </w:r>
          </w:p>
        </w:tc>
        <w:tc>
          <w:tcPr/>
          <w:p>
            <w:pPr>
              <w:pStyle w:val="Compact"/>
              <w:jc w:val="left"/>
            </w:pPr>
            <w:r>
              <w:t xml:space="preserve">11.1 (5.03)</w:t>
            </w:r>
          </w:p>
        </w:tc>
        <w:tc>
          <w:tcPr/>
          <w:p>
            <w:pPr>
              <w:pStyle w:val="Compact"/>
              <w:jc w:val="left"/>
            </w:pPr>
            <w:r>
              <w:t xml:space="preserve">10.95 (4.85)</w:t>
            </w:r>
          </w:p>
        </w:tc>
      </w:tr>
      <w:tr>
        <w:tc>
          <w:tcPr/>
          <w:p>
            <w:pPr>
              <w:pStyle w:val="Compact"/>
            </w:pPr>
          </w:p>
        </w:tc>
        <w:tc>
          <w:tcPr/>
          <w:p>
            <w:pPr>
              <w:pStyle w:val="Compact"/>
              <w:jc w:val="left"/>
            </w:pPr>
            <w:r>
              <w:t xml:space="preserve">Non graduation high school or lower</w:t>
            </w:r>
          </w:p>
        </w:tc>
        <w:tc>
          <w:tcPr/>
          <w:p>
            <w:pPr>
              <w:pStyle w:val="Compact"/>
              <w:jc w:val="left"/>
            </w:pPr>
            <w:r>
              <w:t xml:space="preserve">38.45 (13.16)</w:t>
            </w:r>
          </w:p>
        </w:tc>
        <w:tc>
          <w:tcPr/>
          <w:p>
            <w:pPr>
              <w:pStyle w:val="Compact"/>
              <w:jc w:val="left"/>
            </w:pPr>
            <w:r>
              <w:t xml:space="preserve">12.77 (4.68)</w:t>
            </w:r>
          </w:p>
        </w:tc>
        <w:tc>
          <w:tcPr/>
          <w:p>
            <w:pPr>
              <w:pStyle w:val="Compact"/>
              <w:jc w:val="left"/>
            </w:pPr>
            <w:r>
              <w:t xml:space="preserve">13.0 (4.81)</w:t>
            </w:r>
          </w:p>
        </w:tc>
        <w:tc>
          <w:tcPr/>
          <w:p>
            <w:pPr>
              <w:pStyle w:val="Compact"/>
              <w:jc w:val="left"/>
            </w:pPr>
            <w:r>
              <w:t xml:space="preserve">12.72 (4.42)</w:t>
            </w:r>
          </w:p>
        </w:tc>
      </w:tr>
      <w:tr>
        <w:tc>
          <w:tcPr/>
          <w:p>
            <w:pPr>
              <w:pStyle w:val="Compact"/>
            </w:pPr>
          </w:p>
        </w:tc>
        <w:tc>
          <w:tcPr/>
          <w:p>
            <w:pPr>
              <w:pStyle w:val="Compact"/>
              <w:jc w:val="left"/>
            </w:pPr>
            <w:r>
              <w:t xml:space="preserve">High school</w:t>
            </w:r>
          </w:p>
        </w:tc>
        <w:tc>
          <w:tcPr/>
          <w:p>
            <w:pPr>
              <w:pStyle w:val="Compact"/>
              <w:jc w:val="left"/>
            </w:pPr>
            <w:r>
              <w:t xml:space="preserve">39.59 (12.32)</w:t>
            </w:r>
          </w:p>
        </w:tc>
        <w:tc>
          <w:tcPr/>
          <w:p>
            <w:pPr>
              <w:pStyle w:val="Compact"/>
              <w:jc w:val="left"/>
            </w:pPr>
            <w:r>
              <w:t xml:space="preserve">13.2 (4.3)</w:t>
            </w:r>
          </w:p>
        </w:tc>
        <w:tc>
          <w:tcPr/>
          <w:p>
            <w:pPr>
              <w:pStyle w:val="Compact"/>
              <w:jc w:val="left"/>
            </w:pPr>
            <w:r>
              <w:t xml:space="preserve">13.4 (4.50)</w:t>
            </w:r>
          </w:p>
        </w:tc>
        <w:tc>
          <w:tcPr/>
          <w:p>
            <w:pPr>
              <w:pStyle w:val="Compact"/>
              <w:jc w:val="left"/>
            </w:pPr>
            <w:r>
              <w:t xml:space="preserve">13 (4.21)</w:t>
            </w:r>
          </w:p>
        </w:tc>
      </w:tr>
      <w:tr>
        <w:tc>
          <w:tcPr/>
          <w:p>
            <w:pPr>
              <w:pStyle w:val="Compact"/>
            </w:pPr>
          </w:p>
        </w:tc>
        <w:tc>
          <w:tcPr/>
          <w:p>
            <w:pPr>
              <w:pStyle w:val="Compact"/>
              <w:jc w:val="left"/>
            </w:pPr>
            <w:r>
              <w:t xml:space="preserve">Higher vocational school or University</w:t>
            </w:r>
          </w:p>
        </w:tc>
        <w:tc>
          <w:tcPr/>
          <w:p>
            <w:pPr>
              <w:pStyle w:val="Compact"/>
              <w:jc w:val="left"/>
            </w:pPr>
            <w:r>
              <w:t xml:space="preserve">41.73 (10.56)</w:t>
            </w:r>
          </w:p>
        </w:tc>
        <w:tc>
          <w:tcPr/>
          <w:p>
            <w:pPr>
              <w:pStyle w:val="Compact"/>
              <w:jc w:val="left"/>
            </w:pPr>
            <w:r>
              <w:t xml:space="preserve">14.23 (3.47)</w:t>
            </w:r>
          </w:p>
        </w:tc>
        <w:tc>
          <w:tcPr/>
          <w:p>
            <w:pPr>
              <w:pStyle w:val="Compact"/>
              <w:jc w:val="left"/>
            </w:pPr>
            <w:r>
              <w:t xml:space="preserve">14.1 (4.21)</w:t>
            </w:r>
          </w:p>
        </w:tc>
        <w:tc>
          <w:tcPr/>
          <w:p>
            <w:pPr>
              <w:pStyle w:val="Compact"/>
              <w:jc w:val="left"/>
            </w:pPr>
            <w:r>
              <w:t xml:space="preserve">13.43 (3.62)</w:t>
            </w: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36.63 (12.07)</w:t>
            </w:r>
          </w:p>
        </w:tc>
        <w:tc>
          <w:tcPr/>
          <w:p>
            <w:pPr>
              <w:pStyle w:val="Compact"/>
              <w:jc w:val="left"/>
            </w:pPr>
            <w:r>
              <w:t xml:space="preserve">12.23 (4.34)</w:t>
            </w:r>
          </w:p>
        </w:tc>
        <w:tc>
          <w:tcPr/>
          <w:p>
            <w:pPr>
              <w:pStyle w:val="Compact"/>
              <w:jc w:val="left"/>
            </w:pPr>
            <w:r>
              <w:t xml:space="preserve">12.4 (4.46)</w:t>
            </w:r>
          </w:p>
        </w:tc>
        <w:tc>
          <w:tcPr/>
          <w:p>
            <w:pPr>
              <w:pStyle w:val="Compact"/>
              <w:jc w:val="left"/>
            </w:pPr>
            <w:r>
              <w:t xml:space="preserve">12.02 (4.05)</w:t>
            </w:r>
          </w:p>
        </w:tc>
      </w:tr>
      <w:tr>
        <w:tc>
          <w:tcPr/>
          <w:p>
            <w:pPr>
              <w:pStyle w:val="Compact"/>
            </w:pPr>
          </w:p>
        </w:tc>
        <w:tc>
          <w:tcPr/>
          <w:p>
            <w:pPr>
              <w:pStyle w:val="Compact"/>
              <w:jc w:val="left"/>
            </w:pPr>
            <w:r>
              <w:t xml:space="preserve">In relationship</w:t>
            </w:r>
          </w:p>
        </w:tc>
        <w:tc>
          <w:tcPr/>
          <w:p>
            <w:pPr>
              <w:pStyle w:val="Compact"/>
              <w:jc w:val="left"/>
            </w:pPr>
            <w:r>
              <w:t xml:space="preserve">40.25 (11.79)</w:t>
            </w:r>
          </w:p>
        </w:tc>
        <w:tc>
          <w:tcPr/>
          <w:p>
            <w:pPr>
              <w:pStyle w:val="Compact"/>
              <w:jc w:val="left"/>
            </w:pPr>
            <w:r>
              <w:t xml:space="preserve">13.8 (4.11)</w:t>
            </w:r>
          </w:p>
        </w:tc>
        <w:tc>
          <w:tcPr/>
          <w:p>
            <w:pPr>
              <w:pStyle w:val="Compact"/>
              <w:jc w:val="left"/>
            </w:pPr>
            <w:r>
              <w:t xml:space="preserve">13.6 (4.37)</w:t>
            </w:r>
          </w:p>
        </w:tc>
        <w:tc>
          <w:tcPr/>
          <w:p>
            <w:pPr>
              <w:pStyle w:val="Compact"/>
              <w:jc w:val="left"/>
            </w:pPr>
            <w:r>
              <w:t xml:space="preserve">12.83 (4.1)</w:t>
            </w:r>
          </w:p>
        </w:tc>
      </w:tr>
      <w:tr>
        <w:tc>
          <w:tcPr/>
          <w:p>
            <w:pPr>
              <w:pStyle w:val="Compact"/>
            </w:pPr>
          </w:p>
        </w:tc>
        <w:tc>
          <w:tcPr/>
          <w:p>
            <w:pPr>
              <w:pStyle w:val="Compact"/>
              <w:jc w:val="left"/>
            </w:pPr>
            <w:r>
              <w:t xml:space="preserve">Married</w:t>
            </w:r>
          </w:p>
        </w:tc>
        <w:tc>
          <w:tcPr/>
          <w:p>
            <w:pPr>
              <w:pStyle w:val="Compact"/>
              <w:jc w:val="left"/>
            </w:pPr>
            <w:r>
              <w:t xml:space="preserve">40.15 (11.98)</w:t>
            </w:r>
          </w:p>
        </w:tc>
        <w:tc>
          <w:tcPr/>
          <w:p>
            <w:pPr>
              <w:pStyle w:val="Compact"/>
              <w:jc w:val="left"/>
            </w:pPr>
            <w:r>
              <w:t xml:space="preserve">13.54 (4.12)</w:t>
            </w:r>
          </w:p>
        </w:tc>
        <w:tc>
          <w:tcPr/>
          <w:p>
            <w:pPr>
              <w:pStyle w:val="Compact"/>
              <w:jc w:val="left"/>
            </w:pPr>
            <w:r>
              <w:t xml:space="preserve">13.5 (4.53)</w:t>
            </w:r>
          </w:p>
        </w:tc>
        <w:tc>
          <w:tcPr/>
          <w:p>
            <w:pPr>
              <w:pStyle w:val="Compact"/>
              <w:jc w:val="left"/>
            </w:pPr>
            <w:r>
              <w:t xml:space="preserve">13.14 (4.03)</w:t>
            </w:r>
          </w:p>
        </w:tc>
      </w:tr>
      <w:tr>
        <w:tc>
          <w:tcPr/>
          <w:p>
            <w:pPr>
              <w:pStyle w:val="Compact"/>
            </w:pPr>
          </w:p>
        </w:tc>
        <w:tc>
          <w:tcPr/>
          <w:p>
            <w:pPr>
              <w:pStyle w:val="Compact"/>
              <w:jc w:val="left"/>
            </w:pPr>
            <w:r>
              <w:t xml:space="preserve">Divorced</w:t>
            </w:r>
          </w:p>
        </w:tc>
        <w:tc>
          <w:tcPr/>
          <w:p>
            <w:pPr>
              <w:pStyle w:val="Compact"/>
              <w:jc w:val="left"/>
            </w:pPr>
            <w:r>
              <w:t xml:space="preserve">40.29 (13.52)</w:t>
            </w:r>
          </w:p>
        </w:tc>
        <w:tc>
          <w:tcPr/>
          <w:p>
            <w:pPr>
              <w:pStyle w:val="Compact"/>
              <w:jc w:val="left"/>
            </w:pPr>
            <w:r>
              <w:t xml:space="preserve">13.13 (4.64)</w:t>
            </w:r>
          </w:p>
        </w:tc>
        <w:tc>
          <w:tcPr/>
          <w:p>
            <w:pPr>
              <w:pStyle w:val="Compact"/>
              <w:jc w:val="left"/>
            </w:pPr>
            <w:r>
              <w:t xml:space="preserve">13.7 (4.95)</w:t>
            </w:r>
          </w:p>
        </w:tc>
        <w:tc>
          <w:tcPr/>
          <w:p>
            <w:pPr>
              <w:pStyle w:val="Compact"/>
              <w:jc w:val="left"/>
            </w:pPr>
            <w:r>
              <w:t xml:space="preserve">13.47 (4.52)</w:t>
            </w:r>
          </w:p>
        </w:tc>
      </w:tr>
      <w:tr>
        <w:tc>
          <w:tcPr/>
          <w:p>
            <w:pPr>
              <w:pStyle w:val="Compact"/>
            </w:pPr>
          </w:p>
        </w:tc>
        <w:tc>
          <w:tcPr/>
          <w:p>
            <w:pPr>
              <w:pStyle w:val="Compact"/>
              <w:jc w:val="left"/>
            </w:pPr>
            <w:r>
              <w:t xml:space="preserve">Widow/Widower</w:t>
            </w:r>
          </w:p>
        </w:tc>
        <w:tc>
          <w:tcPr/>
          <w:p>
            <w:pPr>
              <w:pStyle w:val="Compact"/>
              <w:jc w:val="left"/>
            </w:pPr>
            <w:r>
              <w:t xml:space="preserve">45.5 (12.64)</w:t>
            </w:r>
          </w:p>
        </w:tc>
        <w:tc>
          <w:tcPr/>
          <w:p>
            <w:pPr>
              <w:pStyle w:val="Compact"/>
              <w:jc w:val="left"/>
            </w:pPr>
            <w:r>
              <w:t xml:space="preserve">14.8 (4.87)</w:t>
            </w:r>
          </w:p>
        </w:tc>
        <w:tc>
          <w:tcPr/>
          <w:p>
            <w:pPr>
              <w:pStyle w:val="Compact"/>
              <w:jc w:val="left"/>
            </w:pPr>
            <w:r>
              <w:t xml:space="preserve">15.2 (4.66)</w:t>
            </w:r>
          </w:p>
        </w:tc>
        <w:tc>
          <w:tcPr/>
          <w:p>
            <w:pPr>
              <w:pStyle w:val="Compact"/>
              <w:jc w:val="left"/>
            </w:pPr>
            <w:r>
              <w:t xml:space="preserve">15.5 (3.69)</w:t>
            </w: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39.02 (11.83)</w:t>
            </w:r>
          </w:p>
        </w:tc>
        <w:tc>
          <w:tcPr/>
          <w:p>
            <w:pPr>
              <w:pStyle w:val="Compact"/>
              <w:jc w:val="left"/>
            </w:pPr>
            <w:r>
              <w:t xml:space="preserve">13.11 (4.12)</w:t>
            </w:r>
          </w:p>
        </w:tc>
        <w:tc>
          <w:tcPr/>
          <w:p>
            <w:pPr>
              <w:pStyle w:val="Compact"/>
              <w:jc w:val="left"/>
            </w:pPr>
            <w:r>
              <w:t xml:space="preserve">13.2 (4.38)</w:t>
            </w:r>
          </w:p>
        </w:tc>
        <w:tc>
          <w:tcPr/>
          <w:p>
            <w:pPr>
              <w:pStyle w:val="Compact"/>
              <w:jc w:val="left"/>
            </w:pPr>
            <w:r>
              <w:t xml:space="preserve">12.7 (4.07)</w:t>
            </w:r>
          </w:p>
        </w:tc>
      </w:tr>
      <w:tr>
        <w:tc>
          <w:tcPr/>
          <w:p>
            <w:pPr>
              <w:pStyle w:val="Compact"/>
            </w:pPr>
          </w:p>
        </w:tc>
        <w:tc>
          <w:tcPr/>
          <w:p>
            <w:pPr>
              <w:pStyle w:val="Compact"/>
              <w:jc w:val="left"/>
            </w:pPr>
            <w:r>
              <w:t xml:space="preserve">Female</w:t>
            </w:r>
          </w:p>
        </w:tc>
        <w:tc>
          <w:tcPr/>
          <w:p>
            <w:pPr>
              <w:pStyle w:val="Compact"/>
              <w:jc w:val="left"/>
            </w:pPr>
            <w:r>
              <w:t xml:space="preserve">40.8 (12.94)</w:t>
            </w:r>
          </w:p>
        </w:tc>
        <w:tc>
          <w:tcPr/>
          <w:p>
            <w:pPr>
              <w:pStyle w:val="Compact"/>
              <w:jc w:val="left"/>
            </w:pPr>
            <w:r>
              <w:t xml:space="preserve">13.7 (4.51)</w:t>
            </w:r>
          </w:p>
        </w:tc>
        <w:tc>
          <w:tcPr/>
          <w:p>
            <w:pPr>
              <w:pStyle w:val="Compact"/>
              <w:jc w:val="left"/>
            </w:pPr>
            <w:r>
              <w:t xml:space="preserve">13.7 (4.87)</w:t>
            </w:r>
          </w:p>
        </w:tc>
        <w:tc>
          <w:tcPr/>
          <w:p>
            <w:pPr>
              <w:pStyle w:val="Compact"/>
              <w:jc w:val="left"/>
            </w:pPr>
            <w:r>
              <w:t xml:space="preserve">13.45 (4.25)</w:t>
            </w: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40.68 (11.1)</w:t>
            </w:r>
          </w:p>
        </w:tc>
        <w:tc>
          <w:tcPr/>
          <w:p>
            <w:pPr>
              <w:pStyle w:val="Compact"/>
              <w:jc w:val="left"/>
            </w:pPr>
            <w:r>
              <w:t xml:space="preserve">13.56 (3.86)</w:t>
            </w:r>
          </w:p>
        </w:tc>
        <w:tc>
          <w:tcPr/>
          <w:p>
            <w:pPr>
              <w:pStyle w:val="Compact"/>
              <w:jc w:val="left"/>
            </w:pPr>
            <w:r>
              <w:t xml:space="preserve">13.8 (4.44)</w:t>
            </w:r>
          </w:p>
        </w:tc>
        <w:tc>
          <w:tcPr/>
          <w:p>
            <w:pPr>
              <w:pStyle w:val="Compact"/>
              <w:jc w:val="left"/>
            </w:pPr>
            <w:r>
              <w:t xml:space="preserve">13.32 (3.64)</w:t>
            </w:r>
          </w:p>
        </w:tc>
      </w:tr>
      <w:tr>
        <w:tc>
          <w:tcPr/>
          <w:p>
            <w:pPr>
              <w:pStyle w:val="Compact"/>
            </w:pPr>
          </w:p>
        </w:tc>
        <w:tc>
          <w:tcPr/>
          <w:p>
            <w:pPr>
              <w:pStyle w:val="Compact"/>
              <w:jc w:val="left"/>
            </w:pPr>
            <w:r>
              <w:t xml:space="preserve">Yes, but I am not a member of a church</w:t>
            </w:r>
          </w:p>
        </w:tc>
        <w:tc>
          <w:tcPr/>
          <w:p>
            <w:pPr>
              <w:pStyle w:val="Compact"/>
              <w:jc w:val="left"/>
            </w:pPr>
            <w:r>
              <w:t xml:space="preserve">38.59 (12.71)</w:t>
            </w:r>
          </w:p>
        </w:tc>
        <w:tc>
          <w:tcPr/>
          <w:p>
            <w:pPr>
              <w:pStyle w:val="Compact"/>
              <w:jc w:val="left"/>
            </w:pPr>
            <w:r>
              <w:t xml:space="preserve">13.09 (4.53)</w:t>
            </w:r>
          </w:p>
        </w:tc>
        <w:tc>
          <w:tcPr/>
          <w:p>
            <w:pPr>
              <w:pStyle w:val="Compact"/>
              <w:jc w:val="left"/>
            </w:pPr>
            <w:r>
              <w:t xml:space="preserve">13.0 (4.65)</w:t>
            </w:r>
          </w:p>
        </w:tc>
        <w:tc>
          <w:tcPr/>
          <w:p>
            <w:pPr>
              <w:pStyle w:val="Compact"/>
              <w:jc w:val="left"/>
            </w:pPr>
            <w:r>
              <w:t xml:space="preserve">12.52 (4.23)</w:t>
            </w:r>
          </w:p>
        </w:tc>
      </w:tr>
      <w:tr>
        <w:tc>
          <w:tcPr/>
          <w:p>
            <w:pPr>
              <w:pStyle w:val="Compact"/>
            </w:pPr>
          </w:p>
        </w:tc>
        <w:tc>
          <w:tcPr/>
          <w:p>
            <w:pPr>
              <w:pStyle w:val="Compact"/>
              <w:jc w:val="left"/>
            </w:pPr>
            <w:r>
              <w:t xml:space="preserve">No</w:t>
            </w:r>
          </w:p>
        </w:tc>
        <w:tc>
          <w:tcPr/>
          <w:p>
            <w:pPr>
              <w:pStyle w:val="Compact"/>
              <w:jc w:val="left"/>
            </w:pPr>
            <w:r>
              <w:t xml:space="preserve">40.11 (12.2)</w:t>
            </w:r>
          </w:p>
        </w:tc>
        <w:tc>
          <w:tcPr/>
          <w:p>
            <w:pPr>
              <w:pStyle w:val="Compact"/>
              <w:jc w:val="left"/>
            </w:pPr>
            <w:r>
              <w:t xml:space="preserve">13.43 (4.23)</w:t>
            </w:r>
          </w:p>
        </w:tc>
        <w:tc>
          <w:tcPr/>
          <w:p>
            <w:pPr>
              <w:pStyle w:val="Compact"/>
              <w:jc w:val="left"/>
            </w:pPr>
            <w:r>
              <w:t xml:space="preserve">13.5 (4.50)</w:t>
            </w:r>
          </w:p>
        </w:tc>
        <w:tc>
          <w:tcPr/>
          <w:p>
            <w:pPr>
              <w:pStyle w:val="Compact"/>
              <w:jc w:val="left"/>
            </w:pPr>
            <w:r>
              <w:t xml:space="preserve">13.14 (4.14)</w:t>
            </w:r>
          </w:p>
        </w:tc>
      </w:tr>
      <w:tr>
        <w:tc>
          <w:tcPr/>
          <w:p>
            <w:pPr>
              <w:pStyle w:val="Compact"/>
            </w:pPr>
          </w:p>
        </w:tc>
        <w:tc>
          <w:tcPr/>
          <w:p>
            <w:pPr>
              <w:pStyle w:val="Compact"/>
              <w:jc w:val="left"/>
            </w:pPr>
            <w:r>
              <w:t xml:space="preserve">No, I am convinced atheist</w:t>
            </w:r>
          </w:p>
        </w:tc>
        <w:tc>
          <w:tcPr/>
          <w:p>
            <w:pPr>
              <w:pStyle w:val="Compact"/>
              <w:jc w:val="left"/>
            </w:pPr>
            <w:r>
              <w:t xml:space="preserve">39.27 (12.51)</w:t>
            </w:r>
          </w:p>
        </w:tc>
        <w:tc>
          <w:tcPr/>
          <w:p>
            <w:pPr>
              <w:pStyle w:val="Compact"/>
              <w:jc w:val="left"/>
            </w:pPr>
            <w:r>
              <w:t xml:space="preserve">13.21 (4.32)</w:t>
            </w:r>
          </w:p>
        </w:tc>
        <w:tc>
          <w:tcPr/>
          <w:p>
            <w:pPr>
              <w:pStyle w:val="Compact"/>
              <w:jc w:val="left"/>
            </w:pPr>
            <w:r>
              <w:t xml:space="preserve">13.2 (4.74)</w:t>
            </w:r>
          </w:p>
        </w:tc>
        <w:tc>
          <w:tcPr/>
          <w:p>
            <w:pPr>
              <w:pStyle w:val="Compact"/>
              <w:jc w:val="left"/>
            </w:pPr>
            <w:r>
              <w:t xml:space="preserve">12.88 (4.29)</w:t>
            </w:r>
          </w:p>
        </w:tc>
      </w:tr>
    </w:tbl>
    <w:p>
      <w:pPr>
        <w:pStyle w:val="table-note"/>
      </w:pPr>
      <w:r>
        <w:rPr>
          <w:i/>
          <w:iCs/>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p>
      <w:pPr>
        <w:sectPr w:officer="true">
          <w:pgSz w:h="18720" w:w="21600" w:orient="landscape"/>
          <w:type w:val="continuous"/>
          <w:cols/>
        </w:sectPr>
      </w:pPr>
    </w:p>
    <w:bookmarkStart w:id="33" w:name="confirmatory-factor-analysis"/>
    <w:p>
      <w:pPr>
        <w:pStyle w:val="berschrift3"/>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factor analysis. Next, a series of CFAs were conducted to determine the optimal factorial structure of the UWES-9 for the Czech sample. Results of these analyses are presented in Table</w:t>
      </w:r>
      <w:r>
        <w:t xml:space="preserve"> </w:t>
      </w:r>
      <w:r>
        <w:t xml:space="preserve">3</w:t>
      </w:r>
      <w:r>
        <w:t xml:space="preserve">. Initial models based on standard one-factor, two-factor, hierarchical, and the original correlated three-factor structures demonstrated poor fit to the data. For instance, the standard three-factor model yielded an RMSEA of 0.09, which was substantially higher than its dynamically-generated Level-0 cutoff of 0.03, indicating a significant degree of misfit. This led to the testing of more complex models that would be theoretically meaningful and, at the same time, account for sources of local misfit. Thus, in the next step, we tested bi-factor models.</w:t>
      </w:r>
    </w:p>
    <w:p>
      <w:pPr>
        <w:pStyle w:val="Textkrper"/>
      </w:pPr>
      <w:r>
        <w:t xml:space="preserve">Fitting bi-factor models, however, resulted in severe problems with estimation, making the results of these models not possible to interpret. Therefore, in the further step, we tested factor three models that reached the highest model fit in past studies. The first was the three-factor model, firstly proposed by Domínguez-Salas et al. (2022), which included correlated errors between items 1 and 2 (Vigor) and items 8 and 9 (Absorption). The second, a more complex model following Zecca et al. (2015), included these same two correlations between residuals plus a third between items 3 and 4 (Dedication). The third and the most complex was the model of Balducci et al. (2010), who proposed the same correlations between error terms as Domínguez-Salas et al. (2022), with additional correlations between items 2 and 5 (Vigor) and 6 and 8 (Absorption).</w:t>
      </w:r>
    </w:p>
    <w:p>
      <w:pPr>
        <w:pStyle w:val="Textkrper"/>
      </w:pPr>
      <w:r>
        <w:t xml:space="preserve">It was revealed that these three models exhibit the best fit with the data as compared with other tested models. Thus, in the further step, we examined which of these three factor models provided the most optimal fit. The Chi-square difference test comparing these models revealed that the simpler Domínguez-Salas et al. model (</w:t>
      </w:r>
      <m:oMath>
        <m:sSup>
          <m:e>
            <m:r>
              <m:t>χ</m:t>
            </m:r>
          </m:e>
          <m:sup>
            <m:r>
              <m:t>2</m:t>
            </m:r>
          </m:sup>
        </m:sSup>
      </m:oMath>
      <w:r>
        <w:t xml:space="preserve">diff(2) = 13.82,</w:t>
      </w:r>
      <w:r>
        <w:t xml:space="preserve"> </w:t>
      </w:r>
      <w:r>
        <w:rPr>
          <w:i/>
          <w:iCs/>
        </w:rPr>
        <w:t xml:space="preserve">p</w:t>
      </w:r>
      <w:r>
        <w:t xml:space="preserve"> </w:t>
      </w:r>
      <w:r>
        <w:t xml:space="preserve">= p &lt; .001) and model of Zecca et al. (2015) (</w:t>
      </w:r>
      <m:oMath>
        <m:sSup>
          <m:e>
            <m:r>
              <m:t>χ</m:t>
            </m:r>
          </m:e>
          <m:sup>
            <m:r>
              <m:t>2</m:t>
            </m:r>
          </m:sup>
        </m:sSup>
      </m:oMath>
      <w:r>
        <w:t xml:space="preserve">diff(1) = 0.04,</w:t>
      </w:r>
      <w:r>
        <w:t xml:space="preserve"> </w:t>
      </w:r>
      <w:r>
        <w:rPr>
          <w:i/>
          <w:iCs/>
        </w:rPr>
        <w:t xml:space="preserve">p</w:t>
      </w:r>
      <w:r>
        <w:t xml:space="preserve"> </w:t>
      </w:r>
      <w:r>
        <w:t xml:space="preserve">= 0.84) represented a statistically significant loss of fit compared to the more complex model of Balducci et al. (2010). Therefore, the Balducci et al. (2010) model can be considered as the best-fitting in our data.</w:t>
      </w:r>
    </w:p>
    <w:p>
      <w:pPr>
        <w:pStyle w:val="Textkrper"/>
      </w:pPr>
      <w:r>
        <w:t xml:space="preserve">Further evaluation of this final model revealed an excellent CFI (0.987) and a low SRMR (0.017). However, its RMSEA (0.077) remained higher than its dynamically generated cutoff of 0.038, it still contains a non-trivial degree of misfit. This suggests that while this three-factor structure with modifications is the best representation of the data, the UWES-9 scale may not perfectly capture the construct of work engagement within the present study sample. Factor loadings (</w:t>
      </w:r>
      <m:oMath>
        <m:r>
          <m:t>λ</m:t>
        </m:r>
      </m:oMath>
      <w:r>
        <w:t xml:space="preserve">) in the Balducci et al. (2010) model were high (ranging from: 0.80 to 0.93) as were correlations between the three factors (see Figure 1). Modification indices did not suggested high change in</w:t>
      </w:r>
      <w:r>
        <w:t xml:space="preserve"> </w:t>
      </w:r>
      <m:oMath>
        <m:sSup>
          <m:e>
            <m:r>
              <m:t>χ</m:t>
            </m:r>
          </m:e>
          <m:sup>
            <m:r>
              <m:t>2</m:t>
            </m:r>
          </m:sup>
        </m:sSup>
      </m:oMath>
      <w:r>
        <w:t xml:space="preserve"> </w:t>
      </w:r>
      <w:r>
        <w:t xml:space="preserve">in case of releasing constrains between UWES items. Correlation between residuals in manifest variables was therere low:</w:t>
      </w:r>
      <w:r>
        <w:t xml:space="preserve"> </w:t>
      </w:r>
      <w:r>
        <w:rPr>
          <w:i/>
          <w:iCs/>
        </w:rPr>
        <w:t xml:space="preserve">r</w:t>
      </w:r>
      <w:r>
        <w:t xml:space="preserve"> </w:t>
      </w:r>
      <w:r>
        <w:t xml:space="preserve">= range(-0.04 - 0.04). Correlation matrix depicting relationships between item residuals can be found in the Supplementary Material x.</w:t>
      </w:r>
    </w:p>
    <w:bookmarkEnd w:id="33"/>
    <w:bookmarkStart w:id="35" w:name="construct-validity-evaluation"/>
    <w:p>
      <w:pPr>
        <w:pStyle w:val="berschrift3"/>
      </w:pPr>
      <w:r>
        <w:t xml:space="preserve">Construct Validity Evaluation.</w:t>
      </w:r>
    </w:p>
    <w:p>
      <w:pPr>
        <w:pStyle w:val="FirstParagraph"/>
      </w:pPr>
      <w:r>
        <w:t xml:space="preserve">With the best-fitting model established we conducted an evaluation of its construct validity. We first assessed convergent validity by calculating the AVE for each factor. The results for Vigor (0.73), Dedication (0.82), and Absorption (0.67) all exceeded the 0.50 benchmark, indicating that for each factor, a majority of the variance in its items was captured by the construct itself rather than by measurement error.</w:t>
      </w:r>
    </w:p>
    <w:p>
      <w:pPr>
        <w:pStyle w:val="Textkrper"/>
      </w:pPr>
      <w:r>
        <w:t xml:space="preserve">However, given the high inter-factor correlations (see Figure</w:t>
      </w:r>
      <w:r>
        <w:t xml:space="preserve"> </w:t>
      </w:r>
      <w:r>
        <w:t xml:space="preserve">??</w:t>
      </w:r>
      <w:r>
        <w:t xml:space="preserve">), a specific test of discriminant validity was necessary to determine if the factors were empirically distinct. Thus, we employed the HTMT for this purpose.</w:t>
      </w:r>
      <w:r>
        <w:t xml:space="preserve"> </w:t>
      </w:r>
      <w:r>
        <w:t xml:space="preserve">The analysis yielded values of 0.95 (Vigor-Dedication), 0.96 (Vigor-Absorption), and 0.94 (Dedication-Absorption). As all values substantially exceeded the 0.90 threshold, this provided definitive evidence that the factors, while structurally sound, are not internally distinct from one another.</w:t>
      </w:r>
    </w:p>
    <w:p>
      <w:pPr>
        <w:pStyle w:val="Textkrper"/>
      </w:pPr>
      <w:r>
        <w:t xml:space="preserve">This finding led to our final validity test, where we examined the scale’s relationships with external criteria to see if the subscales behaved differently despite their internal overlap. As shown in Table</w:t>
      </w:r>
      <w:r>
        <w:t xml:space="preserve"> </w:t>
      </w:r>
      <w:r>
        <w:t xml:space="preserve">5</w:t>
      </w:r>
      <w:r>
        <w:t xml:space="preserve">, the UWES scores behaved as expected: the total score and all subscales were positively associated with extraversion and self-efficacy, and negatively associated with neuroticism. For divergent validity, no significant correlation was found with spirituality, with the exception of the Dedication subscale.</w:t>
      </w:r>
    </w:p>
    <w:p>
      <w:pPr>
        <w:pStyle w:val="Textkrper"/>
      </w:pPr>
      <w:r>
        <w:t xml:space="preserve">To formally test whether the magnitude of these correlations differed across subscales, we used Hittner et al.’s (2003) z-test. The analysis revealed specific differences in the subscales’ external relationships. For example, the correlation between Vigor and extraversion was significantly stronger than that of Absorption and extraversion (p &lt; .001). In contrast, the difference in their correlations with neuroticism was not always statistically significant (e.g., Vigor vs. Dedication, p = 0.132; Vigor vs. Absorption, p &lt; .001).</w:t>
      </w:r>
    </w:p>
    <w:p>
      <w:pPr>
        <w:pStyle w:val="Textkrper"/>
      </w:pPr>
      <w:r>
        <w:t xml:space="preserve">This provides a complete psychometric picture: The UWES-9 factors are so highly inter-correlated that they fail modern tests of internal discriminant validity (HTMT). However, they retain enough unique variance to exhibit some statistically distinct relationships with key external criteria. For subsequent analyses within this paper where the primary goal is to understand the relationship between overall work engagement and other outcomes, a total score remains the most stable and parsimonious measure. We therefore use the total score for our primary analyses, while acknowledging that the subscales may offer nuanced, albeit highly overlapping, perspectives.</w:t>
      </w:r>
    </w:p>
    <w:p>
      <w:pPr>
        <w:sectPr w:officer="true">
          <w:type w:val="continuous"/>
          <w:cols/>
        </w:sectPr>
      </w:pPr>
    </w:p>
    <w:p>
      <w:pPr>
        <w:pStyle w:val="TableCaption"/>
      </w:pPr>
      <w:bookmarkStart w:id="34" w:name="tab:DFITable"/>
      <w:bookmarkEnd w:id="34"/>
      <w:r>
        <w:t xml:space="preserve">Table 3</w:t>
      </w:r>
      <w:r>
        <w:br/>
      </w:r>
      <w:r>
        <w:rPr>
          <w:i/>
          <w:iCs/>
        </w:rPr>
        <w:t xml:space="preserve">Confirmatory</w:t>
      </w:r>
      <w:r>
        <w:rPr>
          <w:i/>
          <w:iCs/>
        </w:rPr>
        <w:t xml:space="preserve"> </w:t>
      </w:r>
      <w:r>
        <w:rPr>
          <w:i/>
          <w:iCs/>
        </w:rPr>
        <w:t xml:space="preserve">Factor</w:t>
      </w:r>
      <w:r>
        <w:rPr>
          <w:i/>
          <w:iCs/>
        </w:rPr>
        <w:t xml:space="preserve"> </w:t>
      </w:r>
      <w:r>
        <w:rPr>
          <w:i/>
          <w:iCs/>
        </w:rPr>
        <w:t xml:space="preserve">Analysis</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for</w:t>
      </w:r>
      <w:r>
        <w:rPr>
          <w:i/>
          <w:iCs/>
        </w:rPr>
        <w:t xml:space="preserve"> </w:t>
      </w:r>
      <w:r>
        <w:rPr>
          <w:i/>
          <w:iCs/>
        </w:rPr>
        <w:t xml:space="preserve">Alternative</w:t>
      </w:r>
      <w:r>
        <w:rPr>
          <w:i/>
          <w:iCs/>
        </w:rPr>
        <w:t xml:space="preserve"> </w:t>
      </w:r>
      <w:r>
        <w:rPr>
          <w:i/>
          <w:iCs/>
        </w:rPr>
        <w:t xml:space="preserve">Model</w:t>
      </w:r>
      <w:r>
        <w:rPr>
          <w:i/>
          <w:iCs/>
        </w:rPr>
        <w:t xml:space="preserve"> </w:t>
      </w:r>
      <w:r>
        <w:rPr>
          <w:i/>
          <w:iCs/>
        </w:rPr>
        <w:t xml:space="preserve">Specifications</w:t>
      </w:r>
    </w:p>
    <w:tbl>
      <w:tblPr>
        <w:tblStyle w:val="Table"/>
        <w:tblW w:type="auto" w:w="0"/>
        <w:tblLook w:firstRow="0" w:lastRow="0" w:firstColumn="0" w:lastColumn="0" w:noHBand="0" w:noVBand="0" w:val="0000"/>
        <w:tblCaption w:val="Table 3 Confirmatory Factor Analysis Fit Indices for Alternative Model Specifications"/>
      </w:tblPr>
      <w:tblGrid>
        <w:gridCol w:w="528"/>
        <w:gridCol w:w="528"/>
        <w:gridCol w:w="528"/>
        <w:gridCol w:w="528"/>
        <w:gridCol w:w="528"/>
        <w:gridCol w:w="528"/>
        <w:gridCol w:w="528"/>
        <w:gridCol w:w="528"/>
        <w:gridCol w:w="528"/>
        <w:gridCol w:w="528"/>
        <w:gridCol w:w="528"/>
        <w:gridCol w:w="528"/>
        <w:gridCol w:w="528"/>
        <w:gridCol w:w="528"/>
        <w:gridCol w:w="528"/>
      </w:tblGrid>
      <w:tr>
        <w:tc>
          <w:tcPr/>
          <w:p>
            <w:pPr>
              <w:pStyle w:val="Compact"/>
            </w:pPr>
          </w:p>
        </w:tc>
        <w:tc>
          <w:tcPr/>
          <w:p>
            <w:pPr>
              <w:pStyle w:val="Compact"/>
              <w:jc w:val="left"/>
            </w:pPr>
            <w:r>
              <w:rPr>
                <w:b/>
                <w:bCs/>
              </w:rPr>
              <w:t xml:space="preserve">Model Model 1 One Factor</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2 Hierarchical</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3 Three Factor Standard</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0.026</w:t>
            </w:r>
          </w:p>
        </w:tc>
        <w:tc>
          <w:tcPr/>
          <w:p>
            <w:pPr>
              <w:pStyle w:val="Compact"/>
            </w:pPr>
            <w:r>
              <w:t xml:space="preserve">0.999</w:t>
            </w:r>
          </w:p>
        </w:tc>
        <w:tc>
          <w:tcPr/>
          <w:p>
            <w:pPr>
              <w:pStyle w:val="Compact"/>
            </w:pPr>
          </w:p>
        </w:tc>
        <w:tc>
          <w:tcPr/>
          <w:p>
            <w:pPr>
              <w:pStyle w:val="Compact"/>
            </w:pPr>
          </w:p>
        </w:tc>
        <w:tc>
          <w:tcPr/>
          <w:p>
            <w:pPr>
              <w:pStyle w:val="Compact"/>
              <w:jc w:val="left"/>
            </w:pPr>
            <w:r>
              <w:t xml:space="preserve">0.012</w:t>
            </w:r>
          </w:p>
        </w:tc>
        <w:tc>
          <w:tcPr/>
          <w:p>
            <w:pPr>
              <w:pStyle w:val="Compact"/>
            </w:pPr>
            <w:r>
              <w:t xml:space="preserve">0.039</w:t>
            </w:r>
          </w:p>
        </w:tc>
        <w:tc>
          <w:tcPr/>
          <w:p>
            <w:pPr>
              <w:pStyle w:val="Compact"/>
            </w:pPr>
            <w:r>
              <w:t xml:space="preserve">0.996</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0.032</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0.013</w:t>
            </w:r>
          </w:p>
        </w:tc>
        <w:tc>
          <w:tcPr/>
          <w:p>
            <w:pPr>
              <w:pStyle w:val="Compact"/>
            </w:pPr>
            <w:r>
              <w:t xml:space="preserve">0.036</w:t>
            </w:r>
          </w:p>
        </w:tc>
        <w:tc>
          <w:tcPr/>
          <w:p>
            <w:pPr>
              <w:pStyle w:val="Compact"/>
            </w:pPr>
            <w:r>
              <w:t xml:space="preserve">0.999</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r>
      <w:tr>
        <w:tc>
          <w:tcPr/>
          <w:p>
            <w:pPr>
              <w:pStyle w:val="Compact"/>
            </w:pPr>
            <w:r>
              <w:t xml:space="preserve">Level-2</w:t>
            </w:r>
          </w:p>
        </w:tc>
        <w:tc>
          <w:tcPr/>
          <w:p>
            <w:pPr>
              <w:pStyle w:val="Compact"/>
              <w:jc w:val="left"/>
            </w:pPr>
            <w:r>
              <w:t xml:space="preserve">0.017</w:t>
            </w:r>
          </w:p>
        </w:tc>
        <w:tc>
          <w:tcPr/>
          <w:p>
            <w:pPr>
              <w:pStyle w:val="Compact"/>
            </w:pPr>
            <w:r>
              <w:t xml:space="preserve">0.059</w:t>
            </w:r>
          </w:p>
        </w:tc>
        <w:tc>
          <w:tcPr/>
          <w:p>
            <w:pPr>
              <w:pStyle w:val="Compact"/>
            </w:pPr>
            <w:r>
              <w:t xml:space="preserve">0.997</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r>
      <w:tr>
        <w:tc>
          <w:tcPr/>
          <w:p>
            <w:pPr>
              <w:pStyle w:val="Compact"/>
            </w:pPr>
            <w:r>
              <w:t xml:space="preserve">Level-3</w:t>
            </w:r>
          </w:p>
        </w:tc>
        <w:tc>
          <w:tcPr/>
          <w:p>
            <w:pPr>
              <w:pStyle w:val="Compact"/>
              <w:jc w:val="left"/>
            </w:pPr>
            <w:r>
              <w:t xml:space="preserve">0.022</w:t>
            </w:r>
          </w:p>
        </w:tc>
        <w:tc>
          <w:tcPr/>
          <w:p>
            <w:pPr>
              <w:pStyle w:val="Compact"/>
            </w:pPr>
            <w:r>
              <w:t xml:space="preserve">0.09</w:t>
            </w:r>
          </w:p>
        </w:tc>
        <w:tc>
          <w:tcPr/>
          <w:p>
            <w:pPr>
              <w:pStyle w:val="Compact"/>
            </w:pPr>
            <w:r>
              <w:t xml:space="preserve">0.994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Fitted Model</w:t>
            </w:r>
          </w:p>
        </w:tc>
        <w:tc>
          <w:tcPr/>
          <w:p>
            <w:pPr>
              <w:pStyle w:val="Compact"/>
              <w:jc w:val="left"/>
            </w:pPr>
            <w:r>
              <w:t xml:space="preserve">0.026</w:t>
            </w:r>
          </w:p>
        </w:tc>
        <w:tc>
          <w:tcPr/>
          <w:p>
            <w:pPr>
              <w:pStyle w:val="Compact"/>
            </w:pPr>
            <w:r>
              <w:t xml:space="preserve">0.139</w:t>
            </w:r>
          </w:p>
        </w:tc>
        <w:tc>
          <w:tcPr/>
          <w:p>
            <w:pPr>
              <w:pStyle w:val="Compact"/>
            </w:pPr>
            <w:r>
              <w:t xml:space="preserve">0.986</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r>
      <w:tr>
        <w:tc>
          <w:tcPr/>
          <w:p>
            <w:pPr>
              <w:pStyle w:val="Compact"/>
            </w:pPr>
          </w:p>
        </w:tc>
        <w:tc>
          <w:tcPr/>
          <w:p>
            <w:pPr>
              <w:pStyle w:val="Compact"/>
              <w:jc w:val="left"/>
            </w:pPr>
            <w:r>
              <w:rPr>
                <w:b/>
                <w:bCs/>
              </w:rPr>
              <w:t xml:space="preserve">Model Model 4a Two Factor Vigor Dedication</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4b Two Factor Vigor Absorption</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4c Two Factor Dedication Absorption</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0.035</w:t>
            </w:r>
          </w:p>
        </w:tc>
        <w:tc>
          <w:tcPr/>
          <w:p>
            <w:pPr>
              <w:pStyle w:val="Compact"/>
            </w:pPr>
            <w:r>
              <w:t xml:space="preserve">0.996</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0.187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0.19</w:t>
            </w:r>
          </w:p>
        </w:tc>
      </w:tr>
      <w:tr>
        <w:tc>
          <w:tcPr/>
          <w:p>
            <w:pPr>
              <w:pStyle w:val="Compact"/>
            </w:pPr>
            <w:r>
              <w:t xml:space="preserve">Fitted Model</w:t>
            </w:r>
          </w:p>
        </w:tc>
        <w:tc>
          <w:tcPr/>
          <w:p>
            <w:pPr>
              <w:pStyle w:val="Compact"/>
              <w:jc w:val="left"/>
            </w:pPr>
            <w:r>
              <w:t xml:space="preserve">0.024</w:t>
            </w:r>
          </w:p>
        </w:tc>
        <w:tc>
          <w:tcPr/>
          <w:p>
            <w:pPr>
              <w:pStyle w:val="Compact"/>
            </w:pPr>
            <w:r>
              <w:t xml:space="preserve">0.106</w:t>
            </w:r>
          </w:p>
        </w:tc>
        <w:tc>
          <w:tcPr/>
          <w:p>
            <w:pPr>
              <w:pStyle w:val="Compact"/>
            </w:pPr>
            <w:r>
              <w:t xml:space="preserve">0.968</w:t>
            </w:r>
          </w:p>
        </w:tc>
        <w:tc>
          <w:tcPr/>
          <w:p>
            <w:pPr>
              <w:pStyle w:val="Compact"/>
            </w:pPr>
          </w:p>
        </w:tc>
        <w:tc>
          <w:tcPr/>
          <w:p>
            <w:pPr>
              <w:pStyle w:val="Compact"/>
            </w:pPr>
          </w:p>
        </w:tc>
        <w:tc>
          <w:tcPr/>
          <w:p>
            <w:pPr>
              <w:pStyle w:val="Compact"/>
              <w:jc w:val="left"/>
            </w:pPr>
            <w:r>
              <w:t xml:space="preserve">0.022</w:t>
            </w:r>
          </w:p>
        </w:tc>
        <w:tc>
          <w:tcPr/>
          <w:p>
            <w:pPr>
              <w:pStyle w:val="Compact"/>
            </w:pPr>
            <w:r>
              <w:t xml:space="preserve">0.094</w:t>
            </w:r>
          </w:p>
        </w:tc>
        <w:tc>
          <w:tcPr/>
          <w:p>
            <w:pPr>
              <w:pStyle w:val="Compact"/>
            </w:pPr>
            <w:r>
              <w:t xml:space="preserve">0.974</w:t>
            </w:r>
          </w:p>
        </w:tc>
        <w:tc>
          <w:tcPr/>
          <w:p>
            <w:pPr>
              <w:pStyle w:val="Compact"/>
            </w:pPr>
          </w:p>
        </w:tc>
        <w:tc>
          <w:tcPr/>
          <w:p>
            <w:pPr>
              <w:pStyle w:val="Compact"/>
            </w:pPr>
          </w:p>
        </w:tc>
        <w:tc>
          <w:tcPr/>
          <w:p>
            <w:pPr>
              <w:pStyle w:val="Compact"/>
              <w:jc w:val="left"/>
            </w:pPr>
            <w:r>
              <w:t xml:space="preserve">0.024</w:t>
            </w:r>
          </w:p>
        </w:tc>
        <w:tc>
          <w:tcPr/>
          <w:p>
            <w:pPr>
              <w:pStyle w:val="Compact"/>
            </w:pPr>
            <w:r>
              <w:t xml:space="preserve">0.107</w:t>
            </w:r>
          </w:p>
        </w:tc>
        <w:tc>
          <w:tcPr/>
          <w:p>
            <w:pPr>
              <w:pStyle w:val="Compact"/>
            </w:pPr>
            <w:r>
              <w:t xml:space="preserve">0.967</w:t>
            </w:r>
          </w:p>
        </w:tc>
        <w:tc>
          <w:tcPr/>
          <w:p>
            <w:pPr>
              <w:pStyle w:val="Compact"/>
            </w:pPr>
          </w:p>
        </w:tc>
      </w:tr>
      <w:tr>
        <w:tc>
          <w:tcPr/>
          <w:p>
            <w:pPr>
              <w:pStyle w:val="Compact"/>
            </w:pPr>
          </w:p>
        </w:tc>
        <w:tc>
          <w:tcPr/>
          <w:p>
            <w:pPr>
              <w:pStyle w:val="Compact"/>
              <w:jc w:val="left"/>
            </w:pPr>
            <w:r>
              <w:rPr>
                <w:b/>
                <w:bCs/>
              </w:rPr>
              <w:t xml:space="preserve">Model Model 5a Modified 3F Balducci</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5b Modified 3F Chaudhary</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5c Modified 3F Dominguez</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0.038</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0.036</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0.122</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0.017</w:t>
            </w:r>
          </w:p>
        </w:tc>
        <w:tc>
          <w:tcPr/>
          <w:p>
            <w:pPr>
              <w:pStyle w:val="Compact"/>
            </w:pPr>
            <w:r>
              <w:t xml:space="preserve">0.077</w:t>
            </w:r>
          </w:p>
        </w:tc>
        <w:tc>
          <w:tcPr/>
          <w:p>
            <w:pPr>
              <w:pStyle w:val="Compact"/>
            </w:pPr>
            <w:r>
              <w:t xml:space="preserve">0.987</w:t>
            </w:r>
          </w:p>
        </w:tc>
        <w:tc>
          <w:tcPr/>
          <w:p>
            <w:pPr>
              <w:pStyle w:val="Compact"/>
            </w:pPr>
          </w:p>
        </w:tc>
        <w:tc>
          <w:tcPr/>
          <w:p>
            <w:pPr>
              <w:pStyle w:val="Compact"/>
            </w:pPr>
          </w:p>
        </w:tc>
        <w:tc>
          <w:tcPr/>
          <w:p>
            <w:pPr>
              <w:pStyle w:val="Compact"/>
              <w:jc w:val="left"/>
            </w:pPr>
            <w:r>
              <w:t xml:space="preserve">0.021</w:t>
            </w:r>
          </w:p>
        </w:tc>
        <w:tc>
          <w:tcPr/>
          <w:p>
            <w:pPr>
              <w:pStyle w:val="Compact"/>
            </w:pPr>
            <w:r>
              <w:t xml:space="preserve">0.093</w:t>
            </w:r>
          </w:p>
        </w:tc>
        <w:tc>
          <w:tcPr/>
          <w:p>
            <w:pPr>
              <w:pStyle w:val="Compact"/>
            </w:pPr>
            <w:r>
              <w:t xml:space="preserve">0.978</w:t>
            </w:r>
          </w:p>
        </w:tc>
        <w:tc>
          <w:tcPr/>
          <w:p>
            <w:pPr>
              <w:pStyle w:val="Compact"/>
            </w:pPr>
          </w:p>
        </w:tc>
        <w:tc>
          <w:tcPr/>
          <w:p>
            <w:pPr>
              <w:pStyle w:val="Compact"/>
            </w:pPr>
          </w:p>
        </w:tc>
        <w:tc>
          <w:tcPr/>
          <w:p>
            <w:pPr>
              <w:pStyle w:val="Compact"/>
              <w:jc w:val="left"/>
            </w:pPr>
            <w:r>
              <w:t xml:space="preserve">0.017</w:t>
            </w:r>
          </w:p>
        </w:tc>
        <w:tc>
          <w:tcPr/>
          <w:p>
            <w:pPr>
              <w:pStyle w:val="Compact"/>
            </w:pPr>
            <w:r>
              <w:t xml:space="preserve">0.076</w:t>
            </w:r>
          </w:p>
        </w:tc>
        <w:tc>
          <w:tcPr/>
          <w:p>
            <w:pPr>
              <w:pStyle w:val="Compact"/>
            </w:pPr>
            <w:r>
              <w:t xml:space="preserve">0.986</w:t>
            </w:r>
          </w:p>
        </w:tc>
        <w:tc>
          <w:tcPr/>
          <w:p>
            <w:pPr>
              <w:pStyle w:val="Compact"/>
            </w:pPr>
          </w:p>
        </w:tc>
      </w:tr>
      <w:tr>
        <w:tc>
          <w:tcPr/>
          <w:p>
            <w:pPr>
              <w:pStyle w:val="Compact"/>
            </w:pPr>
          </w:p>
        </w:tc>
        <w:tc>
          <w:tcPr/>
          <w:p>
            <w:pPr>
              <w:pStyle w:val="Compact"/>
              <w:jc w:val="left"/>
            </w:pPr>
            <w:r>
              <w:rPr>
                <w:b/>
                <w:bCs/>
              </w:rPr>
              <w:t xml:space="preserve">Model Model 5d Modified 3F Littman Ovadia</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5e Modified 3F Seppala</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Model 5g Modified 3F Zecca</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0.035</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0.037</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0.018</w:t>
            </w:r>
          </w:p>
        </w:tc>
        <w:tc>
          <w:tcPr/>
          <w:p>
            <w:pPr>
              <w:pStyle w:val="Compact"/>
            </w:pPr>
            <w:r>
              <w:t xml:space="preserve">0.077</w:t>
            </w:r>
          </w:p>
        </w:tc>
        <w:tc>
          <w:tcPr/>
          <w:p>
            <w:pPr>
              <w:pStyle w:val="Compact"/>
            </w:pPr>
            <w:r>
              <w:t xml:space="preserve">0.985</w:t>
            </w:r>
          </w:p>
        </w:tc>
        <w:tc>
          <w:tcPr/>
          <w:p>
            <w:pPr>
              <w:pStyle w:val="Compact"/>
            </w:pPr>
          </w:p>
        </w:tc>
        <w:tc>
          <w:tcPr/>
          <w:p>
            <w:pPr>
              <w:pStyle w:val="Compact"/>
            </w:pPr>
          </w:p>
        </w:tc>
        <w:tc>
          <w:tcPr/>
          <w:p>
            <w:pPr>
              <w:pStyle w:val="Compact"/>
              <w:jc w:val="left"/>
            </w:pPr>
            <w:r>
              <w:t xml:space="preserve">0.02</w:t>
            </w:r>
          </w:p>
        </w:tc>
        <w:tc>
          <w:tcPr/>
          <w:p>
            <w:pPr>
              <w:pStyle w:val="Compact"/>
            </w:pPr>
            <w:r>
              <w:t xml:space="preserve">0.091</w:t>
            </w:r>
          </w:p>
        </w:tc>
        <w:tc>
          <w:tcPr/>
          <w:p>
            <w:pPr>
              <w:pStyle w:val="Compact"/>
            </w:pPr>
            <w:r>
              <w:t xml:space="preserve">0.979</w:t>
            </w:r>
          </w:p>
        </w:tc>
        <w:tc>
          <w:tcPr/>
          <w:p>
            <w:pPr>
              <w:pStyle w:val="Compact"/>
            </w:pPr>
          </w:p>
        </w:tc>
        <w:tc>
          <w:tcPr/>
          <w:p>
            <w:pPr>
              <w:pStyle w:val="Compact"/>
            </w:pPr>
          </w:p>
        </w:tc>
        <w:tc>
          <w:tcPr/>
          <w:p>
            <w:pPr>
              <w:pStyle w:val="Compact"/>
              <w:jc w:val="left"/>
            </w:pPr>
            <w:r>
              <w:t xml:space="preserve">0.017</w:t>
            </w:r>
          </w:p>
        </w:tc>
        <w:tc>
          <w:tcPr/>
          <w:p>
            <w:pPr>
              <w:pStyle w:val="Compact"/>
            </w:pPr>
            <w:r>
              <w:t xml:space="preserve">0.078</w:t>
            </w:r>
          </w:p>
        </w:tc>
        <w:tc>
          <w:tcPr/>
          <w:p>
            <w:pPr>
              <w:pStyle w:val="Compact"/>
            </w:pPr>
            <w:r>
              <w:t xml:space="preserve">0.986</w:t>
            </w:r>
          </w:p>
        </w:tc>
        <w:tc>
          <w:tcPr/>
          <w:p>
            <w:pPr>
              <w:pStyle w:val="Compact"/>
            </w:pPr>
          </w:p>
        </w:tc>
      </w:tr>
    </w:tbl>
    <w:p>
      <w:pPr>
        <w:pStyle w:val="table-note"/>
      </w:pPr>
      <w:r>
        <w:rPr>
          <w:i/>
          <w:iCs/>
        </w:rPr>
        <w:t xml:space="preserve">Note.</w:t>
      </w:r>
      <w:r>
        <w:t xml:space="preserve"> </w:t>
      </w:r>
      <w:r>
        <w:t xml:space="preserve">SRMR = Standardized Root Mean Square Residual; RMSEA = Root Mean Square Error of Approximation; CFI = Comparative Fit Index. Bold values indicate the fitted model results. NONE indicates parameter was not estimated for that specification level.</w:t>
      </w:r>
    </w:p>
    <w:p>
      <w:pPr>
        <w:pStyle w:val="Textkrper"/>
      </w:pPr>
      <w:r>
        <w:t xml:space="preserve"> </w:t>
      </w:r>
    </w:p>
    <w:p>
      <w:pPr>
        <w:sectPr w:officer="true">
          <w:pgSz w:h="21600" w:w="28800" w:orient="landscape"/>
          <w:type w:val="continuous"/>
          <w:cols/>
        </w:sectPr>
      </w:pPr>
    </w:p>
    <w:bookmarkEnd w:id="35"/>
    <w:bookmarkEnd w:id="36"/>
    <w:bookmarkStart w:id="39"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Reliability of the UWES was supported by the CR: it´s values for Vigor (0.86), Dedication (0.91), and Absorption (0.82), were excellent as they all range above the 0.70 threshold for good reliability. The Table</w:t>
      </w:r>
      <w:r>
        <w:t xml:space="preserve"> </w:t>
      </w:r>
      <w:r>
        <w:t xml:space="preserve">4</w:t>
      </w:r>
      <w:r>
        <w:t xml:space="preserve"> </w:t>
      </w:r>
      <w:r>
        <w:t xml:space="preserve">illustrates statistics of UWES items. In general, correlations between these items and item-total correlations were high. The lowest item-total correlation had item 9.</w:t>
      </w:r>
    </w:p>
    <w:p>
      <w:pPr>
        <w:sectPr w:officer="true">
          <w:type w:val="continuous"/>
          <w:cols/>
        </w:sectPr>
      </w:pPr>
    </w:p>
    <w:p>
      <w:pPr>
        <w:pStyle w:val="TableCaption"/>
      </w:pPr>
      <w:bookmarkStart w:id="37" w:name="tab:ItemStats"/>
      <w:bookmarkEnd w:id="37"/>
      <w:r>
        <w:t xml:space="preserve">Table 4</w:t>
      </w:r>
      <w:r>
        <w:br/>
      </w:r>
      <w:r>
        <w:rPr>
          <w:i/>
          <w:iCs/>
        </w:rPr>
        <w:t xml:space="preserve">Item</w:t>
      </w:r>
      <w:r>
        <w:rPr>
          <w:i/>
          <w:iCs/>
        </w:rPr>
        <w:t xml:space="preserve"> </w:t>
      </w:r>
      <w:r>
        <w:rPr>
          <w:i/>
          <w:iCs/>
        </w:rPr>
        <w:t xml:space="preserve">statistic</w:t>
      </w:r>
      <w:r>
        <w:rPr>
          <w:i/>
          <w:iCs/>
        </w:rPr>
        <w:t xml:space="preserve"> </w:t>
      </w:r>
      <w:r>
        <w:rPr>
          <w:i/>
          <w:iCs/>
        </w:rPr>
        <w:t xml:space="preserve">and</w:t>
      </w:r>
      <w:r>
        <w:rPr>
          <w:i/>
          <w:iCs/>
        </w:rPr>
        <w:t xml:space="preserve"> </w:t>
      </w:r>
      <w:r>
        <w:rPr>
          <w:i/>
          <w:iCs/>
        </w:rPr>
        <w:t xml:space="preserve">Polychoric</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items</w:t>
      </w:r>
    </w:p>
    <w:tbl>
      <w:tblPr>
        <w:tblStyle w:val="Table"/>
        <w:tblW w:type="auto" w:w="0"/>
        <w:tblLook w:firstRow="1" w:lastRow="0" w:firstColumn="0" w:lastColumn="0" w:noHBand="0" w:noVBand="0" w:val="0020"/>
        <w:tblCaption w:val="Table 4 Item statistic and Polychoric correlations between the UWES item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left"/>
            </w:pPr>
            <w:r>
              <w:t xml:space="preserve">Items</w:t>
            </w: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UWES_1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UWES_2</w:t>
            </w:r>
          </w:p>
        </w:tc>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UWES_3</w:t>
            </w:r>
          </w:p>
        </w:tc>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UWES_4</w:t>
            </w:r>
          </w:p>
        </w:tc>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UWES_5</w:t>
            </w:r>
          </w:p>
        </w:tc>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UWES_6</w:t>
            </w:r>
          </w:p>
        </w:tc>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UWES_7</w:t>
            </w:r>
          </w:p>
        </w:tc>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UWES_8</w:t>
            </w:r>
          </w:p>
        </w:tc>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UWES_9</w:t>
            </w:r>
          </w:p>
        </w:tc>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table-note"/>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sectPr w:officer="true">
          <w:pgSz w:h="17280" w:w="18720" w:orient="landscape"/>
          <w:type w:val="continuous"/>
          <w:cols/>
        </w:sectPr>
      </w:pPr>
    </w:p>
    <w:p>
      <w:pPr>
        <w:pStyle w:val="Textkrper"/>
      </w:pPr>
      <w:r>
        <w:t xml:space="preserve">Correlation analysis indicated that there is significant positive association between all UWES subscale and total score and extraversion.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w:t>
      </w:r>
      <w:r>
        <w:t xml:space="preserve"> </w:t>
      </w:r>
      <w:r>
        <w:t xml:space="preserve">5</w:t>
      </w:r>
      <w:r>
        <w:t xml:space="preserve">).</w:t>
      </w:r>
    </w:p>
    <w:p>
      <w:pPr>
        <w:sectPr w:officer="true">
          <w:type w:val="continuous"/>
          <w:cols/>
        </w:sectPr>
      </w:pPr>
    </w:p>
    <w:p>
      <w:pPr>
        <w:pStyle w:val="TableCaption"/>
      </w:pPr>
      <w:bookmarkStart w:id="38" w:name="tab:CorTab"/>
      <w:bookmarkEnd w:id="38"/>
      <w:r>
        <w:t xml:space="preserve">Table 5</w:t>
      </w:r>
      <w:r>
        <w:br/>
      </w:r>
      <w:r>
        <w:rPr>
          <w:i/>
          <w:iCs/>
        </w:rPr>
        <w:t xml:space="preserve">Correaltion</w:t>
      </w:r>
      <w:r>
        <w:rPr>
          <w:i/>
          <w:iCs/>
        </w:rPr>
        <w:t xml:space="preserve"> </w:t>
      </w:r>
      <w:r>
        <w:rPr>
          <w:i/>
          <w:iCs/>
        </w:rPr>
        <w:t xml:space="preserve">matrix</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personality</w:t>
      </w:r>
      <w:r>
        <w:rPr>
          <w:i/>
          <w:iCs/>
        </w:rPr>
        <w:t xml:space="preserve"> </w:t>
      </w:r>
      <w:r>
        <w:rPr>
          <w:i/>
          <w:iCs/>
        </w:rPr>
        <w:t xml:space="preserve">characteristics</w:t>
      </w:r>
      <w:r>
        <w:rPr>
          <w:i/>
          <w:iCs/>
        </w:rPr>
        <w:t xml:space="preserve"> </w:t>
      </w:r>
      <w:r>
        <w:rPr>
          <w:i/>
          <w:iCs/>
        </w:rPr>
        <w:t xml:space="preserve">and</w:t>
      </w:r>
      <w:r>
        <w:rPr>
          <w:i/>
          <w:iCs/>
        </w:rPr>
        <w:t xml:space="preserve"> </w:t>
      </w:r>
      <w:r>
        <w:rPr>
          <w:i/>
          <w:iCs/>
        </w:rPr>
        <w:t xml:space="preserve">socio-demographic</w:t>
      </w:r>
      <w:r>
        <w:rPr>
          <w:i/>
          <w:iCs/>
        </w:rPr>
        <w:t xml:space="preserve"> </w:t>
      </w:r>
      <w:r>
        <w:rPr>
          <w:i/>
          <w:iCs/>
        </w:rPr>
        <w:t xml:space="preserve">indicators</w:t>
      </w:r>
    </w:p>
    <w:tbl>
      <w:tblPr>
        <w:tblStyle w:val="Table"/>
        <w:tblW w:type="auto" w:w="0"/>
        <w:tblLook w:firstRow="1" w:lastRow="0" w:firstColumn="0" w:lastColumn="0" w:noHBand="0" w:noVBand="0" w:val="0020"/>
        <w:tblCaption w:val="Table 5 Correaltion matrix of the UWES, personality characteristics and socio-demographic indicators"/>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table-note"/>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sectPr w:officer="true">
          <w:pgSz w:h="15840" w:w="15840" w:orient="landscape"/>
          <w:type w:val="continuous"/>
          <w:cols/>
        </w:sectPr>
      </w:pPr>
    </w:p>
    <w:bookmarkEnd w:id="39"/>
    <w:bookmarkStart w:id="41" w:name="invariance-testing-and-factor-loadings"/>
    <w:p>
      <w:pPr>
        <w:pStyle w:val="berschrift2"/>
      </w:pPr>
      <w:r>
        <w:t xml:space="preserve">Invariance testing and factor loadings</w:t>
      </w:r>
    </w:p>
    <w:p>
      <w:pPr>
        <w:pStyle w:val="FirstParagraph"/>
      </w:pPr>
      <w:r>
        <w:t xml:space="preserve">The results of the measurement invariance testing are summarized in Table</w:t>
      </w:r>
      <w:r>
        <w:t xml:space="preserve"> </w:t>
      </w:r>
      <w:r>
        <w:t xml:space="preserve">6</w:t>
      </w:r>
      <w:r>
        <w:t xml:space="preserve">). In this analysis, we report the scaled fit indices, as the robust versions could not be computed for the scalar and strict invariance models.</w:t>
      </w:r>
      <w:r>
        <w:t xml:space="preserve"> </w:t>
      </w:r>
      <w:r>
        <w:t xml:space="preserve"> </w:t>
      </w:r>
      <w:r>
        <w:t xml:space="preserve">Measurement model analysis revealed that in female group, factor intercorrelations exceeded 1.0 (Vigor-Absorption r=1.02). To ensure model stability, correlated residuals from the original Italian validation were removed, as they caused identification issues in the smaller female subsample. After this removal, the model included correlated errors only between items 1 and 2 (Vigor) and items 8 and 9 (Absorption). After this modification the model was the same as the Domínguez-Salas et al. (2022) model. In this simplified three-factor model, the change in the scaled Comparative Fit Index (</w:t>
      </w:r>
      <m:oMath>
        <m:r>
          <m:t>Δ</m:t>
        </m:r>
      </m:oMath>
      <w:r>
        <w:t xml:space="preserve">CFI) was less than 0.01 across all model comparisons. This finding strongly supports full measurement invariance and indicates that the UWES assesses work engagement equivalently in males and females.</w:t>
      </w:r>
    </w:p>
    <w:p>
      <w:pPr>
        <w:pStyle w:val="TableCaption"/>
      </w:pPr>
      <w:bookmarkStart w:id="40" w:name="tab:InvarTab"/>
      <w:bookmarkEnd w:id="40"/>
      <w:r>
        <w:t xml:space="preserve">Table 6</w:t>
      </w:r>
      <w:r>
        <w:br/>
      </w:r>
      <w:r>
        <w:rPr>
          <w:i/>
          <w:iCs/>
        </w:rPr>
        <w:t xml:space="preserve">Measurement</w:t>
      </w:r>
      <w:r>
        <w:rPr>
          <w:i/>
          <w:iCs/>
        </w:rPr>
        <w:t xml:space="preserve"> </w:t>
      </w:r>
      <w:r>
        <w:rPr>
          <w:i/>
          <w:iCs/>
        </w:rPr>
        <w:t xml:space="preserve">equivalence</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between</w:t>
      </w:r>
      <w:r>
        <w:rPr>
          <w:i/>
          <w:iCs/>
        </w:rPr>
        <w:t xml:space="preserve"> </w:t>
      </w:r>
      <w:r>
        <w:rPr>
          <w:i/>
          <w:iCs/>
        </w:rPr>
        <w:t xml:space="preserve">genders</w:t>
      </w:r>
    </w:p>
    <w:tbl>
      <w:tblPr>
        <w:tblStyle w:val="Table"/>
        <w:tblW w:type="auto" w:w="0"/>
        <w:tblLook w:firstRow="1" w:lastRow="0" w:firstColumn="0" w:lastColumn="0" w:noHBand="0" w:noVBand="0" w:val="0020"/>
        <w:tblCaption w:val="Table 6 Measurement equivalence of the UWES between genders"/>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Baseline</w:t>
            </w:r>
          </w:p>
        </w:tc>
        <w:tc>
          <w:tcPr/>
          <w:p>
            <w:pPr>
              <w:pStyle w:val="Compact"/>
              <w:jc w:val="left"/>
            </w:pPr>
            <w:r>
              <w:t xml:space="preserve">168.916</w:t>
            </w:r>
          </w:p>
        </w:tc>
        <w:tc>
          <w:tcPr/>
          <w:p>
            <w:pPr>
              <w:pStyle w:val="Compact"/>
              <w:jc w:val="left"/>
            </w:pPr>
            <w:r>
              <w:t xml:space="preserve">22</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w:t>
            </w:r>
          </w:p>
        </w:tc>
        <w:tc>
          <w:tcPr/>
          <w:p>
            <w:pPr>
              <w:pStyle w:val="Compact"/>
              <w:jc w:val="left"/>
            </w:pPr>
            <w:r>
              <w:t xml:space="preserve">0.102 90% CI (0.088-0.116)</w:t>
            </w:r>
          </w:p>
        </w:tc>
        <w:tc>
          <w:tcPr/>
          <w:p>
            <w:pPr>
              <w:pStyle w:val="Compact"/>
              <w:jc w:val="left"/>
            </w:pPr>
            <w:r>
              <w:t xml:space="preserve">0.017</w:t>
            </w:r>
          </w:p>
        </w:tc>
      </w:tr>
      <w:tr>
        <w:tc>
          <w:tcPr/>
          <w:p>
            <w:pPr>
              <w:pStyle w:val="Compact"/>
              <w:jc w:val="left"/>
            </w:pPr>
            <w:r>
              <w:t xml:space="preserve">Configural</w:t>
            </w:r>
          </w:p>
        </w:tc>
        <w:tc>
          <w:tcPr/>
          <w:p>
            <w:pPr>
              <w:pStyle w:val="Compact"/>
              <w:jc w:val="left"/>
            </w:pPr>
            <w:r>
              <w:t xml:space="preserve">216.885</w:t>
            </w:r>
          </w:p>
        </w:tc>
        <w:tc>
          <w:tcPr/>
          <w:p>
            <w:pPr>
              <w:pStyle w:val="Compact"/>
              <w:jc w:val="left"/>
            </w:pPr>
            <w:r>
              <w:t xml:space="preserve">44</w:t>
            </w:r>
          </w:p>
        </w:tc>
        <w:tc>
          <w:tcPr/>
          <w:p>
            <w:pPr>
              <w:pStyle w:val="Compact"/>
              <w:jc w:val="left"/>
            </w:pPr>
            <w:r>
              <w:t xml:space="preserve">p &lt; .001</w:t>
            </w:r>
          </w:p>
        </w:tc>
        <w:tc>
          <w:tcPr/>
          <w:p>
            <w:pPr>
              <w:pStyle w:val="Compact"/>
              <w:jc w:val="left"/>
            </w:pPr>
            <w:r>
              <w:t xml:space="preserve">0.993</w:t>
            </w:r>
          </w:p>
        </w:tc>
        <w:tc>
          <w:tcPr/>
          <w:p>
            <w:pPr>
              <w:pStyle w:val="Compact"/>
              <w:jc w:val="left"/>
            </w:pPr>
            <w:r>
              <w:t xml:space="preserve">0.988</w:t>
            </w:r>
          </w:p>
        </w:tc>
        <w:tc>
          <w:tcPr/>
          <w:p>
            <w:pPr>
              <w:pStyle w:val="Compact"/>
              <w:jc w:val="left"/>
            </w:pPr>
            <w:r>
              <w:t xml:space="preserve">0.11 90% CI (0.096-0.125)</w:t>
            </w:r>
          </w:p>
        </w:tc>
        <w:tc>
          <w:tcPr/>
          <w:p>
            <w:pPr>
              <w:pStyle w:val="Compact"/>
              <w:jc w:val="left"/>
            </w:pPr>
            <w:r>
              <w:t xml:space="preserve">0.02</w:t>
            </w:r>
          </w:p>
        </w:tc>
      </w:tr>
      <w:tr>
        <w:tc>
          <w:tcPr/>
          <w:p>
            <w:pPr>
              <w:pStyle w:val="Compact"/>
              <w:jc w:val="left"/>
            </w:pPr>
            <w:r>
              <w:t xml:space="preserve">Metric</w:t>
            </w:r>
          </w:p>
        </w:tc>
        <w:tc>
          <w:tcPr/>
          <w:p>
            <w:pPr>
              <w:pStyle w:val="Compact"/>
              <w:jc w:val="left"/>
            </w:pPr>
            <w:r>
              <w:t xml:space="preserve">174.424</w:t>
            </w:r>
          </w:p>
        </w:tc>
        <w:tc>
          <w:tcPr/>
          <w:p>
            <w:pPr>
              <w:pStyle w:val="Compact"/>
              <w:jc w:val="left"/>
            </w:pPr>
            <w:r>
              <w:t xml:space="preserve">50</w:t>
            </w:r>
          </w:p>
        </w:tc>
        <w:tc>
          <w:tcPr/>
          <w:p>
            <w:pPr>
              <w:pStyle w:val="Compact"/>
              <w:jc w:val="left"/>
            </w:pPr>
            <w:r>
              <w:t xml:space="preserve">p &lt; .001</w:t>
            </w:r>
          </w:p>
        </w:tc>
        <w:tc>
          <w:tcPr/>
          <w:p>
            <w:pPr>
              <w:pStyle w:val="Compact"/>
              <w:jc w:val="left"/>
            </w:pPr>
            <w:r>
              <w:t xml:space="preserve">0.995</w:t>
            </w:r>
          </w:p>
        </w:tc>
        <w:tc>
          <w:tcPr/>
          <w:p>
            <w:pPr>
              <w:pStyle w:val="Compact"/>
              <w:jc w:val="left"/>
            </w:pPr>
            <w:r>
              <w:t xml:space="preserve">0.993</w:t>
            </w:r>
          </w:p>
        </w:tc>
        <w:tc>
          <w:tcPr/>
          <w:p>
            <w:pPr>
              <w:pStyle w:val="Compact"/>
              <w:jc w:val="left"/>
            </w:pPr>
            <w:r>
              <w:t xml:space="preserve">0.088 90% CI (0.074-0.102)</w:t>
            </w:r>
          </w:p>
        </w:tc>
        <w:tc>
          <w:tcPr/>
          <w:p>
            <w:pPr>
              <w:pStyle w:val="Compact"/>
              <w:jc w:val="left"/>
            </w:pPr>
            <w:r>
              <w:t xml:space="preserve">0.022</w:t>
            </w:r>
          </w:p>
        </w:tc>
      </w:tr>
      <w:tr>
        <w:tc>
          <w:tcPr/>
          <w:p>
            <w:pPr>
              <w:pStyle w:val="Compact"/>
              <w:jc w:val="left"/>
            </w:pPr>
            <w:r>
              <w:t xml:space="preserve">Scalar</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r>
        <w:tc>
          <w:tcPr/>
          <w:p>
            <w:pPr>
              <w:pStyle w:val="Compact"/>
              <w:jc w:val="left"/>
            </w:pPr>
            <w:r>
              <w:t xml:space="preserve">Strict</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bl>
    <w:p>
      <w:pPr>
        <w:pStyle w:val="table-note"/>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41"/>
    <w:bookmarkStart w:id="43"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w:t>
      </w:r>
      <w:r>
        <w:t xml:space="preserve"> </w:t>
      </w:r>
      <w:r>
        <w:t xml:space="preserve">7</w:t>
      </w:r>
      <w:r>
        <w:t xml:space="preserve">).</w:t>
      </w:r>
    </w:p>
    <w:p>
      <w:pPr>
        <w:pStyle w:val="TableCaption"/>
      </w:pPr>
      <w:bookmarkStart w:id="42" w:name="tab:LogRegChronicDiseas"/>
      <w:bookmarkEnd w:id="42"/>
      <w:r>
        <w:t xml:space="preserve">Table 7</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chronic</w:t>
      </w:r>
      <w:r>
        <w:rPr>
          <w:i/>
          <w:iCs/>
        </w:rPr>
        <w:t xml:space="preserve"> </w:t>
      </w:r>
      <w:r>
        <w:rPr>
          <w:i/>
          <w:iCs/>
        </w:rPr>
        <w:t xml:space="preserve">diseases</w:t>
      </w:r>
    </w:p>
    <w:tbl>
      <w:tblPr>
        <w:tblStyle w:val="Table"/>
        <w:tblW w:type="auto" w:w="0"/>
        <w:tblLook w:firstRow="1" w:lastRow="0" w:firstColumn="0" w:lastColumn="0" w:noHBand="0" w:noVBand="0" w:val="0020"/>
        <w:tblCaption w:val="Table 7 Logistic regression table depicting associations (in odds ratios) between the UWES and chronic diseases"/>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43"/>
    <w:bookmarkEnd w:id="44"/>
    <w:bookmarkStart w:id="46"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(Table</w:t>
      </w:r>
      <w:r>
        <w:t xml:space="preserve"> </w:t>
      </w:r>
      <w:r>
        <w:t xml:space="preserve">8</w:t>
      </w:r>
      <w:r>
        <w:t xml:space="preserve">). Variable smoking was the most closer to the significance threshold.</w:t>
      </w:r>
    </w:p>
    <w:p>
      <w:pPr>
        <w:pStyle w:val="TableCaption"/>
      </w:pPr>
      <w:bookmarkStart w:id="45" w:name="tab:LogRegChronicRisk"/>
      <w:bookmarkEnd w:id="45"/>
      <w:r>
        <w:t xml:space="preserve">Table 8</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health</w:t>
      </w:r>
      <w:r>
        <w:rPr>
          <w:i/>
          <w:iCs/>
        </w:rPr>
        <w:t xml:space="preserve"> </w:t>
      </w:r>
      <w:r>
        <w:rPr>
          <w:i/>
          <w:iCs/>
        </w:rPr>
        <w:t xml:space="preserve">risk</w:t>
      </w:r>
      <w:r>
        <w:rPr>
          <w:i/>
          <w:iCs/>
        </w:rPr>
        <w:t xml:space="preserve"> </w:t>
      </w:r>
      <w:r>
        <w:rPr>
          <w:i/>
          <w:iCs/>
        </w:rPr>
        <w:t xml:space="preserve">behaviours</w:t>
      </w:r>
    </w:p>
    <w:tbl>
      <w:tblPr>
        <w:tblStyle w:val="Table"/>
        <w:tblW w:type="auto" w:w="0"/>
        <w:tblLook w:firstRow="1" w:lastRow="0" w:firstColumn="0" w:lastColumn="0" w:noHBand="0" w:noVBand="0" w:val="0020"/>
        <w:tblCaption w:val="Table 8 Logistic regression table depicting associations (in odds ratios) between the UWES and health risk behaviour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46"/>
    <w:bookmarkStart w:id="47" w:name="discussion"/>
    <w:p>
      <w:pPr>
        <w:pStyle w:val="berschrift1"/>
      </w:pPr>
      <w:r>
        <w:t xml:space="preserve">Discussion</w:t>
      </w:r>
    </w:p>
    <w:p>
      <w:r>
        <w:br w:type="page"/>
      </w:r>
    </w:p>
    <w:bookmarkEnd w:id="47"/>
    <w:bookmarkStart w:id="63" w:name="references"/>
    <w:p>
      <w:pPr>
        <w:pStyle w:val="berschrift1"/>
      </w:pPr>
      <w:r>
        <w:t xml:space="preserve">References</w:t>
      </w:r>
    </w:p>
    <w:bookmarkStart w:id="62" w:name="refs"/>
    <w:bookmarkStart w:id="49"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48">
        <w:r>
          <w:rPr>
            <w:rStyle w:val="Hyperlink"/>
          </w:rPr>
          <w:t xml:space="preserve">https://github.com/crsh/papaja</w:t>
        </w:r>
      </w:hyperlink>
    </w:p>
    <w:bookmarkEnd w:id="49"/>
    <w:bookmarkStart w:id="51"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50">
        <w:r>
          <w:rPr>
            <w:rStyle w:val="Hyperlink"/>
          </w:rPr>
          <w:t xml:space="preserve">https://doi.org/10.1177/2158244020941008</w:t>
        </w:r>
      </w:hyperlink>
    </w:p>
    <w:bookmarkEnd w:id="51"/>
    <w:bookmarkStart w:id="53"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52">
        <w:r>
          <w:rPr>
            <w:rStyle w:val="Hyperlink"/>
          </w:rPr>
          <w:t xml:space="preserve">https://CRAN.R-project.org/package=ufs</w:t>
        </w:r>
      </w:hyperlink>
    </w:p>
    <w:bookmarkEnd w:id="53"/>
    <w:bookmarkStart w:id="55"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54">
        <w:r>
          <w:rPr>
            <w:rStyle w:val="Hyperlink"/>
          </w:rPr>
          <w:t xml:space="preserve">https://www.R-project.org/</w:t>
        </w:r>
      </w:hyperlink>
    </w:p>
    <w:bookmarkEnd w:id="55"/>
    <w:bookmarkStart w:id="57"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56">
        <w:r>
          <w:rPr>
            <w:rStyle w:val="Hyperlink"/>
          </w:rPr>
          <w:t xml:space="preserve">https://CRAN.R-project.org/package=psych</w:t>
        </w:r>
      </w:hyperlink>
    </w:p>
    <w:bookmarkEnd w:id="57"/>
    <w:bookmarkStart w:id="59"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58">
        <w:r>
          <w:rPr>
            <w:rStyle w:val="Hyperlink"/>
          </w:rPr>
          <w:t xml:space="preserve">https://www.jstatsoft.org/v48/i02/</w:t>
        </w:r>
      </w:hyperlink>
    </w:p>
    <w:bookmarkEnd w:id="59"/>
    <w:bookmarkStart w:id="61"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 </w:t>
      </w:r>
      <w:r>
        <w:t xml:space="preserve">[Journal article].</w:t>
      </w:r>
      <w:r>
        <w:t xml:space="preserve"> </w:t>
      </w:r>
      <w:r>
        <w:rPr>
          <w:i/>
          <w:iCs/>
        </w:rPr>
        <w:t xml:space="preserve">Journal of Educational and Behavioral Statistics</w:t>
      </w:r>
      <w:r>
        <w:t xml:space="preserve">,</w:t>
      </w:r>
      <w:r>
        <w:t xml:space="preserve"> </w:t>
      </w:r>
      <w:r>
        <w:rPr>
          <w:i/>
          <w:iCs/>
        </w:rPr>
        <w:t xml:space="preserve">25</w:t>
      </w:r>
      <w:r>
        <w:t xml:space="preserve">(2), 101–132.</w:t>
      </w:r>
      <w:r>
        <w:t xml:space="preserve"> </w:t>
      </w:r>
      <w:hyperlink r:id="rId60">
        <w:r>
          <w:rPr>
            <w:rStyle w:val="Hyperlink"/>
          </w:rPr>
          <w:t xml:space="preserve">https://doi.org/10.2307/1165329</w:t>
        </w:r>
      </w:hyperlink>
    </w:p>
    <w:bookmarkEnd w:id="61"/>
    <w:bookmarkEnd w:id="62"/>
    <w:p>
      <w:r>
        <w:br w:type="page"/>
      </w:r>
    </w:p>
    <w:bookmarkEnd w:id="63"/>
    <w:bookmarkStart w:id="65" w:name="appendix"/>
    <w:p>
      <w:pPr>
        <w:pStyle w:val="berschrift1"/>
      </w:pPr>
      <w:r>
        <w:t xml:space="preserve">Appendix</w:t>
      </w:r>
    </w:p>
    <w:p>
      <w:pPr>
        <w:sectPr w:officer="true">
          <w:type w:val="continuous"/>
          <w:cols/>
        </w:sectPr>
      </w:pPr>
    </w:p>
    <w:p>
      <w:pPr>
        <w:pStyle w:val="TableCaption"/>
      </w:pPr>
      <w:bookmarkStart w:id="64" w:name="tab:unnamed-chunk-86"/>
      <w:bookmarkEnd w:id="64"/>
      <w:r>
        <w:t xml:space="preserve">Table 9</w:t>
      </w:r>
      <w:r>
        <w:br/>
      </w:r>
      <w:r>
        <w:rPr>
          <w:i/>
          <w:iCs/>
        </w:rPr>
        <w:t xml:space="preserve">Lower-triangular</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residuals</w:t>
      </w:r>
    </w:p>
    <w:tbl>
      <w:tblPr>
        <w:tblStyle w:val="Table"/>
        <w:tblW w:type="auto" w:w="0"/>
        <w:tblLook w:firstRow="1" w:lastRow="0" w:firstColumn="0" w:lastColumn="0" w:noHBand="0" w:noVBand="0" w:val="0020"/>
        <w:tblCaption w:val="Table 9 Lower-triangular correlations between residuals"/>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UWES_5</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UWES_7</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UWES_6</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pPr>
            <w:r>
              <w:t xml:space="preserve">UWES_8</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r>
      <w:tr>
        <w:tc>
          <w:tcPr/>
          <w:p>
            <w:pPr>
              <w:pStyle w:val="Compact"/>
            </w:pPr>
            <w:r>
              <w:t xml:space="preserve">UWES_9</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pPr>
          </w:p>
        </w:tc>
      </w:tr>
    </w:tbl>
    <w:p>
      <w:pPr>
        <w:pStyle w:val="table-note"/>
      </w:pPr>
      <w:r>
        <w:rPr>
          <w:i/>
          <w:iCs/>
        </w:rPr>
        <w:t xml:space="preserve">Note.</w:t>
      </w:r>
      <w:r>
        <w:t xml:space="preserve"> </w:t>
      </w:r>
      <w:r>
        <w:t xml:space="preserve">UWES = Utrecht Work Engagement Scale</w:t>
      </w:r>
    </w:p>
    <w:p>
      <w:pPr>
        <w:pStyle w:val="Textkrper"/>
      </w:pPr>
      <w:r>
        <w:t xml:space="preserve"> </w:t>
      </w:r>
    </w:p>
    <w:p>
      <w:pPr>
        <w:sectPr w:officer="true">
          <w:pgSz w:h="14400" w:w="14400" w:orient="landscape"/>
          <w:type w:val="continuous"/>
          <w:cols/>
        </w:sectPr>
      </w:pPr>
    </w:p>
    <w:bookmarkEnd w:id="6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VALIDATION OF UWES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VALIDATION OF UWES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56"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0" Target="https://doi.org/10.1177/2158244020941008" TargetMode="External" /><Relationship Type="http://schemas.openxmlformats.org/officeDocument/2006/relationships/hyperlink" Id="rId60" Target="https://doi.org/10.2307/1165329" TargetMode="External" /><Relationship Type="http://schemas.openxmlformats.org/officeDocument/2006/relationships/hyperlink" Id="rId48"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58"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0" Target="https://doi.org/10.1177/2158244020941008" TargetMode="External" /><Relationship Type="http://schemas.openxmlformats.org/officeDocument/2006/relationships/hyperlink" Id="rId60" Target="https://doi.org/10.2307/1165329" TargetMode="External" /><Relationship Type="http://schemas.openxmlformats.org/officeDocument/2006/relationships/hyperlink" Id="rId48"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58"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2025-08-24T21:18:29Z</dcterms:created>
  <dcterms:modified xsi:type="dcterms:W3CDTF">2025-08-24T21:18:29Z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/usr/local/lib/R/site-library/papaja/rmd/apa6.csl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