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23424" w14:textId="77777777" w:rsidR="00245703" w:rsidRPr="00245703" w:rsidRDefault="00245703" w:rsidP="00245703">
      <w:r w:rsidRPr="00245703">
        <w:t>Každý sloupec v databázové tabulce musí mít svůj název a datový typ. Máme tři druhy základních datových typů a to čísla, řetězce a časové (datum a čas). </w:t>
      </w:r>
    </w:p>
    <w:p w14:paraId="06F71523" w14:textId="77777777" w:rsidR="00245703" w:rsidRPr="00245703" w:rsidRDefault="00245703" w:rsidP="00245703">
      <w:r w:rsidRPr="00245703">
        <w:t>Datové typy řetězcové</w:t>
      </w:r>
    </w:p>
    <w:p w14:paraId="4FF2864D" w14:textId="77777777" w:rsidR="00245703" w:rsidRPr="00245703" w:rsidRDefault="00245703" w:rsidP="00245703">
      <w:r w:rsidRPr="00245703">
        <w:t>Většinu dat, kterou budete ukládat, bude ve formátu řetězce. Tento seznam popisuje běžné datové typy řetězců. Pole datového typu řetězce může obsahovat libovolné abecední a číselné znaky pro definování malého a velkého textu, jako je jméno, adresa, popis atd. Nebo i binární obsah, jako je obrázek nebo zvukový soubor.</w:t>
      </w:r>
    </w:p>
    <w:tbl>
      <w:tblPr>
        <w:tblW w:w="0" w:type="auto"/>
        <w:tblCellMar>
          <w:top w:w="15" w:type="dxa"/>
          <w:left w:w="15" w:type="dxa"/>
          <w:bottom w:w="15" w:type="dxa"/>
          <w:right w:w="15" w:type="dxa"/>
        </w:tblCellMar>
        <w:tblLook w:val="04A0" w:firstRow="1" w:lastRow="0" w:firstColumn="1" w:lastColumn="0" w:noHBand="0" w:noVBand="1"/>
      </w:tblPr>
      <w:tblGrid>
        <w:gridCol w:w="1757"/>
        <w:gridCol w:w="7315"/>
      </w:tblGrid>
      <w:tr w:rsidR="00245703" w:rsidRPr="00245703" w14:paraId="4F0580AE" w14:textId="77777777" w:rsidTr="00245703">
        <w:trPr>
          <w:tblHeader/>
        </w:trPr>
        <w:tc>
          <w:tcPr>
            <w:tcW w:w="0" w:type="auto"/>
            <w:vAlign w:val="center"/>
            <w:hideMark/>
          </w:tcPr>
          <w:p w14:paraId="261726B8" w14:textId="77777777" w:rsidR="00245703" w:rsidRPr="00245703" w:rsidRDefault="00245703" w:rsidP="00245703">
            <w:pPr>
              <w:rPr>
                <w:b/>
                <w:bCs/>
              </w:rPr>
            </w:pPr>
            <w:r w:rsidRPr="00245703">
              <w:rPr>
                <w:b/>
                <w:bCs/>
              </w:rPr>
              <w:t>Datový typ</w:t>
            </w:r>
          </w:p>
        </w:tc>
        <w:tc>
          <w:tcPr>
            <w:tcW w:w="0" w:type="auto"/>
            <w:vAlign w:val="center"/>
            <w:hideMark/>
          </w:tcPr>
          <w:p w14:paraId="61352627" w14:textId="77777777" w:rsidR="00245703" w:rsidRPr="00245703" w:rsidRDefault="00245703" w:rsidP="00245703">
            <w:pPr>
              <w:rPr>
                <w:b/>
                <w:bCs/>
              </w:rPr>
            </w:pPr>
            <w:r w:rsidRPr="00245703">
              <w:rPr>
                <w:b/>
                <w:bCs/>
              </w:rPr>
              <w:t>Popis</w:t>
            </w:r>
          </w:p>
        </w:tc>
      </w:tr>
      <w:tr w:rsidR="00245703" w:rsidRPr="00245703" w14:paraId="649F1D76" w14:textId="77777777" w:rsidTr="00245703">
        <w:tc>
          <w:tcPr>
            <w:tcW w:w="0" w:type="auto"/>
            <w:vAlign w:val="center"/>
            <w:hideMark/>
          </w:tcPr>
          <w:p w14:paraId="21267D3D" w14:textId="77777777" w:rsidR="00245703" w:rsidRPr="00245703" w:rsidRDefault="00245703" w:rsidP="00245703">
            <w:pPr>
              <w:rPr>
                <w:b/>
                <w:bCs/>
              </w:rPr>
            </w:pPr>
            <w:r w:rsidRPr="00245703">
              <w:rPr>
                <w:b/>
                <w:bCs/>
              </w:rPr>
              <w:t>CHAR(M)</w:t>
            </w:r>
          </w:p>
        </w:tc>
        <w:tc>
          <w:tcPr>
            <w:tcW w:w="0" w:type="auto"/>
            <w:vAlign w:val="center"/>
            <w:hideMark/>
          </w:tcPr>
          <w:p w14:paraId="5C9F4175" w14:textId="77777777" w:rsidR="00245703" w:rsidRPr="00245703" w:rsidRDefault="00245703" w:rsidP="00245703">
            <w:r w:rsidRPr="00245703">
              <w:t xml:space="preserve">Řetězec s pevnou délkou mezi 1 a 255 znaky (například </w:t>
            </w:r>
            <w:proofErr w:type="gramStart"/>
            <w:r w:rsidRPr="00245703">
              <w:t>CHAR(</w:t>
            </w:r>
            <w:proofErr w:type="gramEnd"/>
            <w:r w:rsidRPr="00245703">
              <w:t>5)), doplněný zprava mezerami na zadanou délku při uložení. Definování délky není povinné, ale výchozí hodnota je 1.</w:t>
            </w:r>
          </w:p>
        </w:tc>
      </w:tr>
      <w:tr w:rsidR="00245703" w:rsidRPr="00245703" w14:paraId="7E715FE0" w14:textId="77777777" w:rsidTr="00245703">
        <w:tc>
          <w:tcPr>
            <w:tcW w:w="0" w:type="auto"/>
            <w:vAlign w:val="center"/>
            <w:hideMark/>
          </w:tcPr>
          <w:p w14:paraId="473A30A7" w14:textId="77777777" w:rsidR="00245703" w:rsidRPr="00245703" w:rsidRDefault="00245703" w:rsidP="00245703">
            <w:pPr>
              <w:rPr>
                <w:b/>
                <w:bCs/>
              </w:rPr>
            </w:pPr>
            <w:r w:rsidRPr="00245703">
              <w:rPr>
                <w:b/>
                <w:bCs/>
              </w:rPr>
              <w:t>VARCHAR(M)</w:t>
            </w:r>
          </w:p>
        </w:tc>
        <w:tc>
          <w:tcPr>
            <w:tcW w:w="0" w:type="auto"/>
            <w:vAlign w:val="center"/>
            <w:hideMark/>
          </w:tcPr>
          <w:p w14:paraId="1E694904" w14:textId="77777777" w:rsidR="00245703" w:rsidRPr="00245703" w:rsidRDefault="00245703" w:rsidP="00245703">
            <w:r w:rsidRPr="00245703">
              <w:t xml:space="preserve">Řetězec s proměnnou délkou o délce 1 až 255 znaků. Například </w:t>
            </w:r>
            <w:proofErr w:type="gramStart"/>
            <w:r w:rsidRPr="00245703">
              <w:t>VARCHAR(</w:t>
            </w:r>
            <w:proofErr w:type="gramEnd"/>
            <w:r w:rsidRPr="00245703">
              <w:t>25). Při vytváření pole VARCHAR musíte definovat délku. </w:t>
            </w:r>
          </w:p>
          <w:p w14:paraId="4822E9D5" w14:textId="77777777" w:rsidR="00245703" w:rsidRPr="00245703" w:rsidRDefault="00245703" w:rsidP="00245703">
            <w:r w:rsidRPr="00245703">
              <w:rPr>
                <w:b/>
                <w:bCs/>
              </w:rPr>
              <w:t>NVARCHAR (M)</w:t>
            </w:r>
            <w:r w:rsidRPr="00245703">
              <w:t> je také datový typ určený pro ukládání proměnných délek znakových dat. Oproti VARCHAR používá NVARCHAR dvoubajtové (</w:t>
            </w:r>
            <w:proofErr w:type="gramStart"/>
            <w:r w:rsidRPr="00245703">
              <w:t>16-bitové</w:t>
            </w:r>
            <w:proofErr w:type="gramEnd"/>
            <w:r w:rsidRPr="00245703">
              <w:t>) kódování znaků, což znamená, že každý znak je reprezentován dvěma bajty. NVARCHAR je často používán pro podporu více jazyků.</w:t>
            </w:r>
          </w:p>
        </w:tc>
      </w:tr>
      <w:tr w:rsidR="00245703" w:rsidRPr="00245703" w14:paraId="4E64D2B6" w14:textId="77777777" w:rsidTr="00245703">
        <w:tc>
          <w:tcPr>
            <w:tcW w:w="0" w:type="auto"/>
            <w:vAlign w:val="center"/>
            <w:hideMark/>
          </w:tcPr>
          <w:p w14:paraId="5E7809DC" w14:textId="77777777" w:rsidR="00245703" w:rsidRPr="00245703" w:rsidRDefault="00245703" w:rsidP="00245703">
            <w:pPr>
              <w:rPr>
                <w:b/>
                <w:bCs/>
              </w:rPr>
            </w:pPr>
            <w:r w:rsidRPr="00245703">
              <w:rPr>
                <w:b/>
                <w:bCs/>
              </w:rPr>
              <w:t>BLOB </w:t>
            </w:r>
            <w:r w:rsidRPr="00245703">
              <w:t>nebo TEXT</w:t>
            </w:r>
          </w:p>
        </w:tc>
        <w:tc>
          <w:tcPr>
            <w:tcW w:w="0" w:type="auto"/>
            <w:vAlign w:val="center"/>
            <w:hideMark/>
          </w:tcPr>
          <w:p w14:paraId="3E1F35EE" w14:textId="77777777" w:rsidR="00245703" w:rsidRPr="00245703" w:rsidRDefault="00245703" w:rsidP="00245703">
            <w:r w:rsidRPr="00245703">
              <w:t xml:space="preserve">Pole s maximální délkou 65535 znaků. Objekty BLOB (Binary </w:t>
            </w:r>
            <w:proofErr w:type="spellStart"/>
            <w:r w:rsidRPr="00245703">
              <w:t>Large</w:t>
            </w:r>
            <w:proofErr w:type="spellEnd"/>
            <w:r w:rsidRPr="00245703">
              <w:t xml:space="preserve"> </w:t>
            </w:r>
            <w:proofErr w:type="spellStart"/>
            <w:r w:rsidRPr="00245703">
              <w:t>Object</w:t>
            </w:r>
            <w:proofErr w:type="spellEnd"/>
            <w:r w:rsidRPr="00245703">
              <w:t>) jsou „binární velké objekty“ a používají se k ukládání velkého množství binárních dat, jako jsou obrázky nebo jiné typy souborů. Pole definovaná jako TEXT také obsahují velké množství dat. Rozdíl mezi nimi je v tom, že řazení a porovnání uložených dat rozlišují malá a velká písmena u objektů BLOB a nerozlišují malá a velká písmena v polích TEXT. Pomocí BLOB nebo TEXT nezadáte délku.</w:t>
            </w:r>
          </w:p>
        </w:tc>
      </w:tr>
      <w:tr w:rsidR="00245703" w:rsidRPr="00245703" w14:paraId="211C5267" w14:textId="77777777" w:rsidTr="00245703">
        <w:tc>
          <w:tcPr>
            <w:tcW w:w="0" w:type="auto"/>
            <w:vAlign w:val="center"/>
            <w:hideMark/>
          </w:tcPr>
          <w:p w14:paraId="0CF47580" w14:textId="77777777" w:rsidR="00245703" w:rsidRPr="00245703" w:rsidRDefault="00245703" w:rsidP="00245703">
            <w:pPr>
              <w:rPr>
                <w:b/>
                <w:bCs/>
              </w:rPr>
            </w:pPr>
            <w:r w:rsidRPr="00245703">
              <w:t>TINYBLOB nebo</w:t>
            </w:r>
            <w:r w:rsidRPr="00245703">
              <w:rPr>
                <w:b/>
                <w:bCs/>
              </w:rPr>
              <w:t> TINYTEXT</w:t>
            </w:r>
          </w:p>
        </w:tc>
        <w:tc>
          <w:tcPr>
            <w:tcW w:w="0" w:type="auto"/>
            <w:vAlign w:val="center"/>
            <w:hideMark/>
          </w:tcPr>
          <w:p w14:paraId="194C59C3" w14:textId="77777777" w:rsidR="00245703" w:rsidRPr="00245703" w:rsidRDefault="00245703" w:rsidP="00245703">
            <w:r w:rsidRPr="00245703">
              <w:t>Sloupec BLOB nebo TEXT s maximální délkou 255 znaků. Pomocí TINYBLOB nebo TINYTEXT nezadáváte délku.</w:t>
            </w:r>
          </w:p>
        </w:tc>
      </w:tr>
      <w:tr w:rsidR="00245703" w:rsidRPr="00245703" w14:paraId="207C386A" w14:textId="77777777" w:rsidTr="00245703">
        <w:tc>
          <w:tcPr>
            <w:tcW w:w="0" w:type="auto"/>
            <w:vAlign w:val="center"/>
            <w:hideMark/>
          </w:tcPr>
          <w:p w14:paraId="5691F49C" w14:textId="77777777" w:rsidR="00245703" w:rsidRPr="00245703" w:rsidRDefault="00245703" w:rsidP="00245703">
            <w:pPr>
              <w:rPr>
                <w:b/>
                <w:bCs/>
              </w:rPr>
            </w:pPr>
            <w:r w:rsidRPr="00245703">
              <w:t>MEDIUMBLOB nebo MEDIUMTEXT</w:t>
            </w:r>
          </w:p>
        </w:tc>
        <w:tc>
          <w:tcPr>
            <w:tcW w:w="0" w:type="auto"/>
            <w:vAlign w:val="center"/>
            <w:hideMark/>
          </w:tcPr>
          <w:p w14:paraId="3861F18B" w14:textId="77777777" w:rsidR="00245703" w:rsidRPr="00245703" w:rsidRDefault="00245703" w:rsidP="00245703">
            <w:r w:rsidRPr="00245703">
              <w:t>Sloupec BLOB nebo TEXT s maximální délkou 16777215 znaků. Pomocí MEDIUMBLOB nebo MEDIUMTEXT nezadáváte délku.</w:t>
            </w:r>
          </w:p>
        </w:tc>
      </w:tr>
      <w:tr w:rsidR="00245703" w:rsidRPr="00245703" w14:paraId="76375C5E" w14:textId="77777777" w:rsidTr="00245703">
        <w:tc>
          <w:tcPr>
            <w:tcW w:w="0" w:type="auto"/>
            <w:vAlign w:val="center"/>
            <w:hideMark/>
          </w:tcPr>
          <w:p w14:paraId="588D08F5" w14:textId="77777777" w:rsidR="00245703" w:rsidRPr="00245703" w:rsidRDefault="00245703" w:rsidP="00245703">
            <w:pPr>
              <w:rPr>
                <w:b/>
                <w:bCs/>
              </w:rPr>
            </w:pPr>
            <w:r w:rsidRPr="00245703">
              <w:t>LONGBLOB nebo LONGTEXT</w:t>
            </w:r>
          </w:p>
        </w:tc>
        <w:tc>
          <w:tcPr>
            <w:tcW w:w="0" w:type="auto"/>
            <w:vAlign w:val="center"/>
            <w:hideMark/>
          </w:tcPr>
          <w:p w14:paraId="359D7FAA" w14:textId="77777777" w:rsidR="00245703" w:rsidRPr="00245703" w:rsidRDefault="00245703" w:rsidP="00245703">
            <w:r w:rsidRPr="00245703">
              <w:t>Sloupec BLOB nebo TEXT s maximální délkou 4294967295 znaků. Pomocí LONGBLOB nebo LONGTEXT nezadáváte délku.</w:t>
            </w:r>
          </w:p>
        </w:tc>
      </w:tr>
      <w:tr w:rsidR="00245703" w:rsidRPr="00245703" w14:paraId="63AF6D9E" w14:textId="77777777" w:rsidTr="00245703">
        <w:tc>
          <w:tcPr>
            <w:tcW w:w="0" w:type="auto"/>
            <w:vAlign w:val="center"/>
            <w:hideMark/>
          </w:tcPr>
          <w:p w14:paraId="44DF8A85" w14:textId="77777777" w:rsidR="00245703" w:rsidRPr="00245703" w:rsidRDefault="00245703" w:rsidP="00245703">
            <w:pPr>
              <w:rPr>
                <w:b/>
                <w:bCs/>
              </w:rPr>
            </w:pPr>
            <w:r w:rsidRPr="00245703">
              <w:t>ENUM</w:t>
            </w:r>
          </w:p>
        </w:tc>
        <w:tc>
          <w:tcPr>
            <w:tcW w:w="0" w:type="auto"/>
            <w:vAlign w:val="center"/>
            <w:hideMark/>
          </w:tcPr>
          <w:p w14:paraId="4ED1DA45" w14:textId="77777777" w:rsidR="00245703" w:rsidRPr="00245703" w:rsidRDefault="00245703" w:rsidP="00245703">
            <w:r w:rsidRPr="00245703">
              <w:t>Výčet, což je módní výraz pro seznam. Při definování ENUM vytváříte seznam položek, ze kterých je třeba vybrat hodnotu (nebo může být NULL). Pokud byste například chtěli, aby vaše pole obsahovalo „A“ nebo „B“ nebo „C“, definovali byste svůj ENUM jako ENUM (‚A‘, ‚B‘, ‚C‘) a pouze tyto hodnoty (nebo NULL) mohl někdy zalidnit to pole.</w:t>
            </w:r>
          </w:p>
        </w:tc>
      </w:tr>
    </w:tbl>
    <w:p w14:paraId="5C0D3D75" w14:textId="77777777" w:rsidR="00245703" w:rsidRPr="00245703" w:rsidRDefault="00245703" w:rsidP="00245703"/>
    <w:p w14:paraId="02FBA366" w14:textId="77777777" w:rsidR="00245703" w:rsidRPr="00245703" w:rsidRDefault="00245703" w:rsidP="00245703">
      <w:r w:rsidRPr="00245703">
        <w:t>Datové typy číselné</w:t>
      </w:r>
    </w:p>
    <w:p w14:paraId="0AB83721" w14:textId="77777777" w:rsidR="00245703" w:rsidRPr="00245703" w:rsidRDefault="00245703" w:rsidP="00245703">
      <w:r w:rsidRPr="00245703">
        <w:t xml:space="preserve">Pole typu číselných dat ukládá celá čísla, jako je ID, bezpečnostní čísla, </w:t>
      </w:r>
      <w:proofErr w:type="gramStart"/>
      <w:r w:rsidRPr="00245703">
        <w:t>zlomkové čísla</w:t>
      </w:r>
      <w:proofErr w:type="gramEnd"/>
      <w:r w:rsidRPr="00245703">
        <w:t xml:space="preserve"> jako je cena, CGPA a další. Více je popsané níže:</w:t>
      </w:r>
    </w:p>
    <w:tbl>
      <w:tblPr>
        <w:tblW w:w="0" w:type="auto"/>
        <w:tblCellMar>
          <w:top w:w="15" w:type="dxa"/>
          <w:left w:w="15" w:type="dxa"/>
          <w:bottom w:w="15" w:type="dxa"/>
          <w:right w:w="15" w:type="dxa"/>
        </w:tblCellMar>
        <w:tblLook w:val="04A0" w:firstRow="1" w:lastRow="0" w:firstColumn="1" w:lastColumn="0" w:noHBand="0" w:noVBand="1"/>
      </w:tblPr>
      <w:tblGrid>
        <w:gridCol w:w="1569"/>
        <w:gridCol w:w="7503"/>
      </w:tblGrid>
      <w:tr w:rsidR="00245703" w:rsidRPr="00245703" w14:paraId="6EE1A346" w14:textId="77777777" w:rsidTr="00245703">
        <w:trPr>
          <w:tblHeader/>
        </w:trPr>
        <w:tc>
          <w:tcPr>
            <w:tcW w:w="0" w:type="auto"/>
            <w:vAlign w:val="center"/>
            <w:hideMark/>
          </w:tcPr>
          <w:p w14:paraId="5827B3DF" w14:textId="77777777" w:rsidR="00245703" w:rsidRPr="00245703" w:rsidRDefault="00245703" w:rsidP="00245703">
            <w:pPr>
              <w:rPr>
                <w:b/>
                <w:bCs/>
              </w:rPr>
            </w:pPr>
            <w:r w:rsidRPr="00245703">
              <w:rPr>
                <w:b/>
                <w:bCs/>
              </w:rPr>
              <w:t>Datový typ</w:t>
            </w:r>
          </w:p>
        </w:tc>
        <w:tc>
          <w:tcPr>
            <w:tcW w:w="0" w:type="auto"/>
            <w:vAlign w:val="center"/>
            <w:hideMark/>
          </w:tcPr>
          <w:p w14:paraId="062C5C68" w14:textId="77777777" w:rsidR="00245703" w:rsidRPr="00245703" w:rsidRDefault="00245703" w:rsidP="00245703">
            <w:pPr>
              <w:rPr>
                <w:b/>
                <w:bCs/>
              </w:rPr>
            </w:pPr>
            <w:r w:rsidRPr="00245703">
              <w:rPr>
                <w:b/>
                <w:bCs/>
              </w:rPr>
              <w:t>Popis</w:t>
            </w:r>
          </w:p>
        </w:tc>
      </w:tr>
      <w:tr w:rsidR="00245703" w:rsidRPr="00245703" w14:paraId="3C0C253A" w14:textId="77777777" w:rsidTr="00245703">
        <w:tc>
          <w:tcPr>
            <w:tcW w:w="0" w:type="auto"/>
            <w:vAlign w:val="center"/>
            <w:hideMark/>
          </w:tcPr>
          <w:p w14:paraId="614195AF" w14:textId="77777777" w:rsidR="00245703" w:rsidRPr="00245703" w:rsidRDefault="00245703" w:rsidP="00245703">
            <w:pPr>
              <w:rPr>
                <w:b/>
                <w:bCs/>
              </w:rPr>
            </w:pPr>
            <w:r w:rsidRPr="00245703">
              <w:rPr>
                <w:b/>
                <w:bCs/>
              </w:rPr>
              <w:t>INT</w:t>
            </w:r>
          </w:p>
        </w:tc>
        <w:tc>
          <w:tcPr>
            <w:tcW w:w="0" w:type="auto"/>
            <w:vAlign w:val="center"/>
            <w:hideMark/>
          </w:tcPr>
          <w:p w14:paraId="2C1851F0" w14:textId="77777777" w:rsidR="00245703" w:rsidRPr="00245703" w:rsidRDefault="00245703" w:rsidP="00245703">
            <w:r w:rsidRPr="00245703">
              <w:t>Celé číslo normální velikosti, které může být se znaménkem nebo bez znaménka. Pokud je podepsáno, je povolený rozsah od -2147483648 do 2147483647. Pokud není podepsán, je povolený rozsah od 0 do 4294967295. Můžete zadat šířku až 11 číslic.</w:t>
            </w:r>
          </w:p>
        </w:tc>
      </w:tr>
      <w:tr w:rsidR="00245703" w:rsidRPr="00245703" w14:paraId="42F9369F" w14:textId="77777777" w:rsidTr="00245703">
        <w:tc>
          <w:tcPr>
            <w:tcW w:w="0" w:type="auto"/>
            <w:vAlign w:val="center"/>
            <w:hideMark/>
          </w:tcPr>
          <w:p w14:paraId="38FCEF06" w14:textId="77777777" w:rsidR="00245703" w:rsidRPr="00245703" w:rsidRDefault="00245703" w:rsidP="00245703">
            <w:pPr>
              <w:rPr>
                <w:b/>
                <w:bCs/>
              </w:rPr>
            </w:pPr>
            <w:r w:rsidRPr="00245703">
              <w:rPr>
                <w:b/>
                <w:bCs/>
              </w:rPr>
              <w:t>TINYINT</w:t>
            </w:r>
          </w:p>
        </w:tc>
        <w:tc>
          <w:tcPr>
            <w:tcW w:w="0" w:type="auto"/>
            <w:vAlign w:val="center"/>
            <w:hideMark/>
          </w:tcPr>
          <w:p w14:paraId="5A6A818F" w14:textId="77777777" w:rsidR="00245703" w:rsidRPr="00245703" w:rsidRDefault="00245703" w:rsidP="00245703">
            <w:r w:rsidRPr="00245703">
              <w:t>Velmi malé celé číslo, které může být se znaménkem nebo bez znaménka. Pokud je podepsáno, je povolený rozsah od -128 do 127. Pokud není podepsán, je povolený rozsah od 0 do 255. Můžete zadat šířku až 4 číslic.</w:t>
            </w:r>
          </w:p>
        </w:tc>
      </w:tr>
      <w:tr w:rsidR="00245703" w:rsidRPr="00245703" w14:paraId="253953E1" w14:textId="77777777" w:rsidTr="00245703">
        <w:tc>
          <w:tcPr>
            <w:tcW w:w="0" w:type="auto"/>
            <w:vAlign w:val="center"/>
            <w:hideMark/>
          </w:tcPr>
          <w:p w14:paraId="6DB14C46" w14:textId="77777777" w:rsidR="00245703" w:rsidRPr="00245703" w:rsidRDefault="00245703" w:rsidP="00245703">
            <w:pPr>
              <w:rPr>
                <w:b/>
                <w:bCs/>
              </w:rPr>
            </w:pPr>
            <w:r w:rsidRPr="00245703">
              <w:rPr>
                <w:b/>
                <w:bCs/>
              </w:rPr>
              <w:t>SMALLINT</w:t>
            </w:r>
          </w:p>
        </w:tc>
        <w:tc>
          <w:tcPr>
            <w:tcW w:w="0" w:type="auto"/>
            <w:vAlign w:val="center"/>
            <w:hideMark/>
          </w:tcPr>
          <w:p w14:paraId="45C80374" w14:textId="77777777" w:rsidR="00245703" w:rsidRPr="00245703" w:rsidRDefault="00245703" w:rsidP="00245703">
            <w:r w:rsidRPr="00245703">
              <w:t>Malé celé číslo, které může být se znaménkem nebo bez znaménka. Pokud je podepsáno, je povolený rozsah od -32768 do 32767. Pokud není podepsán, je povolený rozsah od 0 do 65535. Můžete zadat šířku až 5 číslic.</w:t>
            </w:r>
          </w:p>
        </w:tc>
      </w:tr>
      <w:tr w:rsidR="00245703" w:rsidRPr="00245703" w14:paraId="2994B4F0" w14:textId="77777777" w:rsidTr="00245703">
        <w:tc>
          <w:tcPr>
            <w:tcW w:w="0" w:type="auto"/>
            <w:vAlign w:val="center"/>
            <w:hideMark/>
          </w:tcPr>
          <w:p w14:paraId="2353B74E" w14:textId="77777777" w:rsidR="00245703" w:rsidRPr="00245703" w:rsidRDefault="00245703" w:rsidP="00245703">
            <w:pPr>
              <w:rPr>
                <w:b/>
                <w:bCs/>
              </w:rPr>
            </w:pPr>
            <w:r w:rsidRPr="00245703">
              <w:t>MEDIUMINT</w:t>
            </w:r>
          </w:p>
        </w:tc>
        <w:tc>
          <w:tcPr>
            <w:tcW w:w="0" w:type="auto"/>
            <w:vAlign w:val="center"/>
            <w:hideMark/>
          </w:tcPr>
          <w:p w14:paraId="5DABF9A2" w14:textId="77777777" w:rsidR="00245703" w:rsidRPr="00245703" w:rsidRDefault="00245703" w:rsidP="00245703">
            <w:r w:rsidRPr="00245703">
              <w:t>Středně velké celé číslo, které může být se znaménkem nebo bez znaménka. Pokud je podepsáno, je povolený rozsah od -8388608 do 8388607. Pokud není podepsán, je povolený rozsah od 0 do 16777215. Můžete zadat šířku až 9 číslic.</w:t>
            </w:r>
          </w:p>
        </w:tc>
      </w:tr>
      <w:tr w:rsidR="00245703" w:rsidRPr="00245703" w14:paraId="4738149C" w14:textId="77777777" w:rsidTr="00245703">
        <w:tc>
          <w:tcPr>
            <w:tcW w:w="0" w:type="auto"/>
            <w:vAlign w:val="center"/>
            <w:hideMark/>
          </w:tcPr>
          <w:p w14:paraId="48EE230B" w14:textId="77777777" w:rsidR="00245703" w:rsidRPr="00245703" w:rsidRDefault="00245703" w:rsidP="00245703">
            <w:pPr>
              <w:rPr>
                <w:b/>
                <w:bCs/>
              </w:rPr>
            </w:pPr>
            <w:r w:rsidRPr="00245703">
              <w:rPr>
                <w:b/>
                <w:bCs/>
              </w:rPr>
              <w:t>BIGINT</w:t>
            </w:r>
          </w:p>
        </w:tc>
        <w:tc>
          <w:tcPr>
            <w:tcW w:w="0" w:type="auto"/>
            <w:vAlign w:val="center"/>
            <w:hideMark/>
          </w:tcPr>
          <w:p w14:paraId="72C33E40" w14:textId="77777777" w:rsidR="00245703" w:rsidRPr="00245703" w:rsidRDefault="00245703" w:rsidP="00245703">
            <w:r w:rsidRPr="00245703">
              <w:t>Velké celé číslo, které může být se znaménkem nebo bez znaménka. Pokud je podepsáno, je povolený rozsah od -9223372036854775808 do 9223372036854775807. Pokud není podepsán, je povolený rozsah od 0 do 18446744073709551615. Můžete zadat šířku až 2 číslic.</w:t>
            </w:r>
          </w:p>
        </w:tc>
      </w:tr>
      <w:tr w:rsidR="00245703" w:rsidRPr="00245703" w14:paraId="30FDE0D5" w14:textId="77777777" w:rsidTr="00245703">
        <w:tc>
          <w:tcPr>
            <w:tcW w:w="0" w:type="auto"/>
            <w:vAlign w:val="center"/>
            <w:hideMark/>
          </w:tcPr>
          <w:p w14:paraId="4D7B8C26" w14:textId="77777777" w:rsidR="00245703" w:rsidRPr="00245703" w:rsidRDefault="00245703" w:rsidP="00245703">
            <w:pPr>
              <w:rPr>
                <w:b/>
                <w:bCs/>
              </w:rPr>
            </w:pPr>
            <w:r w:rsidRPr="00245703">
              <w:rPr>
                <w:b/>
                <w:bCs/>
              </w:rPr>
              <w:t>FLOAT(</w:t>
            </w:r>
            <w:proofErr w:type="gramStart"/>
            <w:r w:rsidRPr="00245703">
              <w:rPr>
                <w:b/>
                <w:bCs/>
              </w:rPr>
              <w:t>M,D</w:t>
            </w:r>
            <w:proofErr w:type="gramEnd"/>
            <w:r w:rsidRPr="00245703">
              <w:rPr>
                <w:b/>
                <w:bCs/>
              </w:rPr>
              <w:t>)</w:t>
            </w:r>
          </w:p>
        </w:tc>
        <w:tc>
          <w:tcPr>
            <w:tcW w:w="0" w:type="auto"/>
            <w:vAlign w:val="center"/>
            <w:hideMark/>
          </w:tcPr>
          <w:p w14:paraId="17BC61BA" w14:textId="77777777" w:rsidR="00245703" w:rsidRPr="00245703" w:rsidRDefault="00245703" w:rsidP="00245703">
            <w:r w:rsidRPr="00245703">
              <w:t>Číslo s plovoucí desetinnou čárkou, které nemůže být bez znaménka. Můžete definovat délku zobrazení (M) a počet desetinných míst (D). Toto není vyžadováno a výchozí hodnota bude 10,2, kde 2 je počet desetinných míst a 10 je celkový počet číslic (včetně desetinných míst). Desetinná přesnost může dosáhnout 24 míst pro FLOAT.</w:t>
            </w:r>
            <w:r w:rsidRPr="00245703">
              <w:br/>
            </w:r>
            <w:r w:rsidRPr="00245703">
              <w:br/>
            </w:r>
            <w:proofErr w:type="spellStart"/>
            <w:r w:rsidRPr="00245703">
              <w:t>float</w:t>
            </w:r>
            <w:proofErr w:type="spellEnd"/>
            <w:r w:rsidRPr="00245703">
              <w:t>(10,4)</w:t>
            </w:r>
            <w:r w:rsidRPr="00245703">
              <w:br/>
              <w:t>012345,6789</w:t>
            </w:r>
            <w:r w:rsidRPr="00245703">
              <w:br/>
            </w:r>
            <w:r w:rsidRPr="00245703">
              <w:br/>
            </w:r>
            <w:proofErr w:type="spellStart"/>
            <w:proofErr w:type="gramStart"/>
            <w:r w:rsidRPr="00245703">
              <w:t>float</w:t>
            </w:r>
            <w:proofErr w:type="spellEnd"/>
            <w:r w:rsidRPr="00245703">
              <w:t>(</w:t>
            </w:r>
            <w:proofErr w:type="gramEnd"/>
            <w:r w:rsidRPr="00245703">
              <w:t>20,10)</w:t>
            </w:r>
            <w:r w:rsidRPr="00245703">
              <w:br/>
              <w:t>0123456789,0123456789</w:t>
            </w:r>
          </w:p>
        </w:tc>
      </w:tr>
      <w:tr w:rsidR="00245703" w:rsidRPr="00245703" w14:paraId="0255D942" w14:textId="77777777" w:rsidTr="00245703">
        <w:tc>
          <w:tcPr>
            <w:tcW w:w="0" w:type="auto"/>
            <w:vAlign w:val="center"/>
            <w:hideMark/>
          </w:tcPr>
          <w:p w14:paraId="16A71111" w14:textId="77777777" w:rsidR="00245703" w:rsidRPr="00245703" w:rsidRDefault="00245703" w:rsidP="00245703">
            <w:pPr>
              <w:rPr>
                <w:b/>
                <w:bCs/>
              </w:rPr>
            </w:pPr>
            <w:r w:rsidRPr="00245703">
              <w:rPr>
                <w:b/>
                <w:bCs/>
              </w:rPr>
              <w:t>DOUBLE(</w:t>
            </w:r>
            <w:proofErr w:type="gramStart"/>
            <w:r w:rsidRPr="00245703">
              <w:rPr>
                <w:b/>
                <w:bCs/>
              </w:rPr>
              <w:t>M,D</w:t>
            </w:r>
            <w:proofErr w:type="gramEnd"/>
            <w:r w:rsidRPr="00245703">
              <w:rPr>
                <w:b/>
                <w:bCs/>
              </w:rPr>
              <w:t>)</w:t>
            </w:r>
          </w:p>
        </w:tc>
        <w:tc>
          <w:tcPr>
            <w:tcW w:w="0" w:type="auto"/>
            <w:vAlign w:val="center"/>
            <w:hideMark/>
          </w:tcPr>
          <w:p w14:paraId="224669CE" w14:textId="77777777" w:rsidR="00245703" w:rsidRPr="00245703" w:rsidRDefault="00245703" w:rsidP="00245703">
            <w:r w:rsidRPr="00245703">
              <w:t xml:space="preserve">Číslo s plovoucí desetinnou čárkou s dvojitou přesností, které nelze oddělit. Můžete definovat délku zobrazení (M) a počet desetinných míst (D). Toto není vyžadováno a výchozí hodnota bude 16,4, kde 4 je počet </w:t>
            </w:r>
            <w:r w:rsidRPr="00245703">
              <w:lastRenderedPageBreak/>
              <w:t>desetinných míst. Desetinná přesnost může dosahovat až 53 míst za DVOJNÁSOBEK. REAL je synonymem pro DOUBLE.</w:t>
            </w:r>
          </w:p>
        </w:tc>
      </w:tr>
      <w:tr w:rsidR="00245703" w:rsidRPr="00245703" w14:paraId="060A5306" w14:textId="77777777" w:rsidTr="00245703">
        <w:tc>
          <w:tcPr>
            <w:tcW w:w="0" w:type="auto"/>
            <w:vAlign w:val="center"/>
            <w:hideMark/>
          </w:tcPr>
          <w:p w14:paraId="327C6F27" w14:textId="77777777" w:rsidR="00245703" w:rsidRPr="00245703" w:rsidRDefault="00245703" w:rsidP="00245703">
            <w:pPr>
              <w:rPr>
                <w:b/>
                <w:bCs/>
              </w:rPr>
            </w:pPr>
            <w:r w:rsidRPr="00245703">
              <w:lastRenderedPageBreak/>
              <w:t>DECIMAL(</w:t>
            </w:r>
            <w:proofErr w:type="gramStart"/>
            <w:r w:rsidRPr="00245703">
              <w:t>M,D</w:t>
            </w:r>
            <w:proofErr w:type="gramEnd"/>
            <w:r w:rsidRPr="00245703">
              <w:t>)</w:t>
            </w:r>
          </w:p>
        </w:tc>
        <w:tc>
          <w:tcPr>
            <w:tcW w:w="0" w:type="auto"/>
            <w:vAlign w:val="center"/>
            <w:hideMark/>
          </w:tcPr>
          <w:p w14:paraId="6AC0EB28" w14:textId="77777777" w:rsidR="00245703" w:rsidRPr="00245703" w:rsidRDefault="00245703" w:rsidP="00245703">
            <w:r w:rsidRPr="00245703">
              <w:t>Rozbalené číslo s pohyblivou řádovou čárkou, které nelze zrušit. V rozbalených desítkách odpovídá každé desetinné místo jednomu bajtu. Je nutné definovat délku zobrazení (M) a počet desetinných míst (D). NUMERIC je synonymem pro DECIMAL.</w:t>
            </w:r>
          </w:p>
        </w:tc>
      </w:tr>
    </w:tbl>
    <w:p w14:paraId="551FB976" w14:textId="77777777" w:rsidR="00245703" w:rsidRPr="00245703" w:rsidRDefault="00245703" w:rsidP="00245703"/>
    <w:p w14:paraId="3D1ACB1E" w14:textId="77777777" w:rsidR="00245703" w:rsidRPr="00245703" w:rsidRDefault="00245703" w:rsidP="00245703">
      <w:r w:rsidRPr="00245703">
        <w:t>Datové typy časové (čas a datum)</w:t>
      </w:r>
    </w:p>
    <w:p w14:paraId="47EF2347" w14:textId="77777777" w:rsidR="00245703" w:rsidRPr="00245703" w:rsidRDefault="00245703" w:rsidP="00245703">
      <w:r w:rsidRPr="00245703">
        <w:t>Tento datový typ se používá k ukládání hodnot souvisejících s datem a časem. Pole typu datum a čas může ukládat hodnoty data, času, data a času, roku a časového razítka. Pokud jsou pro hodnotu pole datum a čas zadána neplatná data, bude vložena hodnota NULL. Různé datové typy pro datum a čas jsou popsány níže.</w:t>
      </w:r>
    </w:p>
    <w:tbl>
      <w:tblPr>
        <w:tblW w:w="0" w:type="auto"/>
        <w:tblCellMar>
          <w:top w:w="15" w:type="dxa"/>
          <w:left w:w="15" w:type="dxa"/>
          <w:bottom w:w="15" w:type="dxa"/>
          <w:right w:w="15" w:type="dxa"/>
        </w:tblCellMar>
        <w:tblLook w:val="04A0" w:firstRow="1" w:lastRow="0" w:firstColumn="1" w:lastColumn="0" w:noHBand="0" w:noVBand="1"/>
      </w:tblPr>
      <w:tblGrid>
        <w:gridCol w:w="1297"/>
        <w:gridCol w:w="7775"/>
      </w:tblGrid>
      <w:tr w:rsidR="00245703" w:rsidRPr="00245703" w14:paraId="71139984" w14:textId="77777777" w:rsidTr="00245703">
        <w:trPr>
          <w:tblHeader/>
        </w:trPr>
        <w:tc>
          <w:tcPr>
            <w:tcW w:w="0" w:type="auto"/>
            <w:vAlign w:val="center"/>
            <w:hideMark/>
          </w:tcPr>
          <w:p w14:paraId="3C292B6B" w14:textId="77777777" w:rsidR="00245703" w:rsidRPr="00245703" w:rsidRDefault="00245703" w:rsidP="00245703">
            <w:pPr>
              <w:rPr>
                <w:b/>
                <w:bCs/>
              </w:rPr>
            </w:pPr>
            <w:r w:rsidRPr="00245703">
              <w:rPr>
                <w:b/>
                <w:bCs/>
              </w:rPr>
              <w:t>Datový typ</w:t>
            </w:r>
          </w:p>
        </w:tc>
        <w:tc>
          <w:tcPr>
            <w:tcW w:w="0" w:type="auto"/>
            <w:vAlign w:val="center"/>
            <w:hideMark/>
          </w:tcPr>
          <w:p w14:paraId="12736C6F" w14:textId="77777777" w:rsidR="00245703" w:rsidRPr="00245703" w:rsidRDefault="00245703" w:rsidP="00245703">
            <w:pPr>
              <w:rPr>
                <w:b/>
                <w:bCs/>
              </w:rPr>
            </w:pPr>
            <w:r w:rsidRPr="00245703">
              <w:rPr>
                <w:b/>
                <w:bCs/>
              </w:rPr>
              <w:t>Popis</w:t>
            </w:r>
          </w:p>
        </w:tc>
      </w:tr>
      <w:tr w:rsidR="00245703" w:rsidRPr="00245703" w14:paraId="7125615B" w14:textId="77777777" w:rsidTr="00245703">
        <w:tc>
          <w:tcPr>
            <w:tcW w:w="0" w:type="auto"/>
            <w:vAlign w:val="center"/>
            <w:hideMark/>
          </w:tcPr>
          <w:p w14:paraId="17F549D4" w14:textId="77777777" w:rsidR="00245703" w:rsidRPr="00245703" w:rsidRDefault="00245703" w:rsidP="00245703">
            <w:pPr>
              <w:rPr>
                <w:b/>
                <w:bCs/>
              </w:rPr>
            </w:pPr>
            <w:r w:rsidRPr="00245703">
              <w:rPr>
                <w:b/>
                <w:bCs/>
              </w:rPr>
              <w:t>DATE</w:t>
            </w:r>
          </w:p>
        </w:tc>
        <w:tc>
          <w:tcPr>
            <w:tcW w:w="0" w:type="auto"/>
            <w:vAlign w:val="center"/>
            <w:hideMark/>
          </w:tcPr>
          <w:p w14:paraId="381DFAA5" w14:textId="77777777" w:rsidR="00245703" w:rsidRPr="00245703" w:rsidRDefault="00245703" w:rsidP="00245703">
            <w:r w:rsidRPr="00245703">
              <w:t>Datum ve formátu RRRR-MM-DD mezi 1000-01-01 a 9999-12-31. Například 30. prosinec 1973 bude uložen jako 1973-12-30.</w:t>
            </w:r>
          </w:p>
        </w:tc>
      </w:tr>
      <w:tr w:rsidR="00245703" w:rsidRPr="00245703" w14:paraId="44B0DC6A" w14:textId="77777777" w:rsidTr="00245703">
        <w:tc>
          <w:tcPr>
            <w:tcW w:w="0" w:type="auto"/>
            <w:vAlign w:val="center"/>
            <w:hideMark/>
          </w:tcPr>
          <w:p w14:paraId="4214E2F5" w14:textId="77777777" w:rsidR="00245703" w:rsidRPr="00245703" w:rsidRDefault="00245703" w:rsidP="00245703">
            <w:pPr>
              <w:rPr>
                <w:b/>
                <w:bCs/>
              </w:rPr>
            </w:pPr>
            <w:r w:rsidRPr="00245703">
              <w:rPr>
                <w:b/>
                <w:bCs/>
              </w:rPr>
              <w:t>DATETIME</w:t>
            </w:r>
          </w:p>
        </w:tc>
        <w:tc>
          <w:tcPr>
            <w:tcW w:w="0" w:type="auto"/>
            <w:vAlign w:val="center"/>
            <w:hideMark/>
          </w:tcPr>
          <w:p w14:paraId="3653B76F" w14:textId="77777777" w:rsidR="00245703" w:rsidRPr="00245703" w:rsidRDefault="00245703" w:rsidP="00245703">
            <w:r w:rsidRPr="00245703">
              <w:t>Kombinace data a času ve formátu YYYY-MM-DD HH:</w:t>
            </w:r>
            <w:proofErr w:type="gramStart"/>
            <w:r w:rsidRPr="00245703">
              <w:t>MM:SS</w:t>
            </w:r>
            <w:proofErr w:type="gramEnd"/>
            <w:r w:rsidRPr="00245703">
              <w:t>, mezi 1000-01-01 00:00:00 a 9999-12-31 23:59:59. Například 3:30 odpoledne 30. prosince 1973 bude uloženo jako 1973-12-30 15:30:00.</w:t>
            </w:r>
          </w:p>
        </w:tc>
      </w:tr>
      <w:tr w:rsidR="00245703" w:rsidRPr="00245703" w14:paraId="04ED0709" w14:textId="77777777" w:rsidTr="00245703">
        <w:tc>
          <w:tcPr>
            <w:tcW w:w="0" w:type="auto"/>
            <w:vAlign w:val="center"/>
            <w:hideMark/>
          </w:tcPr>
          <w:p w14:paraId="5004A619" w14:textId="77777777" w:rsidR="00245703" w:rsidRPr="00245703" w:rsidRDefault="00245703" w:rsidP="00245703">
            <w:pPr>
              <w:rPr>
                <w:b/>
                <w:bCs/>
              </w:rPr>
            </w:pPr>
            <w:r w:rsidRPr="00245703">
              <w:rPr>
                <w:b/>
                <w:bCs/>
              </w:rPr>
              <w:t>TIMESTAMP</w:t>
            </w:r>
          </w:p>
        </w:tc>
        <w:tc>
          <w:tcPr>
            <w:tcW w:w="0" w:type="auto"/>
            <w:vAlign w:val="center"/>
            <w:hideMark/>
          </w:tcPr>
          <w:p w14:paraId="5D64F3E2" w14:textId="77777777" w:rsidR="00245703" w:rsidRPr="00245703" w:rsidRDefault="00245703" w:rsidP="00245703">
            <w:r w:rsidRPr="00245703">
              <w:t>časové razítko mezi půlnocí, 1. lednem 1970 a někdy v roce 2037. Vypadá to jako předchozí formát DATETIME, pouze bez pomlček mezi čísly; 3:30 odpoledne 30. prosince 1973 bude uloženo jako 19731230153000 (YYYYMMDDHHMMSS).</w:t>
            </w:r>
          </w:p>
        </w:tc>
      </w:tr>
      <w:tr w:rsidR="00245703" w:rsidRPr="00245703" w14:paraId="66CF5434" w14:textId="77777777" w:rsidTr="00245703">
        <w:tc>
          <w:tcPr>
            <w:tcW w:w="0" w:type="auto"/>
            <w:vAlign w:val="center"/>
            <w:hideMark/>
          </w:tcPr>
          <w:p w14:paraId="1433A742" w14:textId="77777777" w:rsidR="00245703" w:rsidRPr="00245703" w:rsidRDefault="00245703" w:rsidP="00245703">
            <w:pPr>
              <w:rPr>
                <w:b/>
                <w:bCs/>
              </w:rPr>
            </w:pPr>
            <w:r w:rsidRPr="00245703">
              <w:rPr>
                <w:b/>
                <w:bCs/>
              </w:rPr>
              <w:t>TIME</w:t>
            </w:r>
          </w:p>
        </w:tc>
        <w:tc>
          <w:tcPr>
            <w:tcW w:w="0" w:type="auto"/>
            <w:vAlign w:val="center"/>
            <w:hideMark/>
          </w:tcPr>
          <w:p w14:paraId="1CA4514A" w14:textId="77777777" w:rsidR="00245703" w:rsidRPr="00245703" w:rsidRDefault="00245703" w:rsidP="00245703">
            <w:r w:rsidRPr="00245703">
              <w:t>Ukládá čas ve formátu HH:</w:t>
            </w:r>
            <w:proofErr w:type="gramStart"/>
            <w:r w:rsidRPr="00245703">
              <w:t>MM:SS.</w:t>
            </w:r>
            <w:proofErr w:type="gramEnd"/>
          </w:p>
        </w:tc>
      </w:tr>
      <w:tr w:rsidR="00245703" w:rsidRPr="00245703" w14:paraId="2211CE77" w14:textId="77777777" w:rsidTr="00245703">
        <w:tc>
          <w:tcPr>
            <w:tcW w:w="0" w:type="auto"/>
            <w:vAlign w:val="center"/>
            <w:hideMark/>
          </w:tcPr>
          <w:p w14:paraId="3ADE444E" w14:textId="77777777" w:rsidR="00245703" w:rsidRPr="00245703" w:rsidRDefault="00245703" w:rsidP="00245703">
            <w:pPr>
              <w:rPr>
                <w:b/>
                <w:bCs/>
              </w:rPr>
            </w:pPr>
            <w:r w:rsidRPr="00245703">
              <w:rPr>
                <w:b/>
                <w:bCs/>
              </w:rPr>
              <w:t>YEAR(M)</w:t>
            </w:r>
          </w:p>
        </w:tc>
        <w:tc>
          <w:tcPr>
            <w:tcW w:w="0" w:type="auto"/>
            <w:vAlign w:val="center"/>
            <w:hideMark/>
          </w:tcPr>
          <w:p w14:paraId="7BEF3003" w14:textId="77777777" w:rsidR="00245703" w:rsidRPr="00245703" w:rsidRDefault="00245703" w:rsidP="00245703">
            <w:r w:rsidRPr="00245703">
              <w:t xml:space="preserve">Ukládá rok ve 2místném nebo 4místném formátu. Pokud je délka zadána jako 2 (například </w:t>
            </w:r>
            <w:proofErr w:type="gramStart"/>
            <w:r w:rsidRPr="00245703">
              <w:t>YEAR(</w:t>
            </w:r>
            <w:proofErr w:type="gramEnd"/>
            <w:r w:rsidRPr="00245703">
              <w:t>2)), YEAR může být mezi 1970 až 2069 (70 až 69). Pokud je délka zadána jako 4, pak YEAR může být 1901 až 2155. Výchozí délka je 4.</w:t>
            </w:r>
          </w:p>
        </w:tc>
      </w:tr>
    </w:tbl>
    <w:p w14:paraId="202A69F3" w14:textId="77777777" w:rsidR="00245703" w:rsidRPr="00245703" w:rsidRDefault="00245703" w:rsidP="00245703">
      <w:r w:rsidRPr="00245703">
        <w:br/>
      </w:r>
    </w:p>
    <w:p w14:paraId="162F4408" w14:textId="77777777" w:rsidR="00245703" w:rsidRPr="00245703" w:rsidRDefault="00245703" w:rsidP="00245703"/>
    <w:p w14:paraId="2E519597" w14:textId="77777777" w:rsidR="00245703" w:rsidRPr="00245703" w:rsidRDefault="00245703" w:rsidP="00245703">
      <w:r w:rsidRPr="00245703">
        <w:t>Další datové typy jsou například:</w:t>
      </w:r>
      <w:r w:rsidRPr="00245703">
        <w:br/>
      </w:r>
    </w:p>
    <w:p w14:paraId="0AE47B8E" w14:textId="77777777" w:rsidR="00245703" w:rsidRPr="00245703" w:rsidRDefault="00245703" w:rsidP="00245703">
      <w:pPr>
        <w:numPr>
          <w:ilvl w:val="0"/>
          <w:numId w:val="1"/>
        </w:numPr>
      </w:pPr>
      <w:r w:rsidRPr="00245703">
        <w:rPr>
          <w:b/>
          <w:bCs/>
        </w:rPr>
        <w:t>Booleovské hodnoty (</w:t>
      </w:r>
      <w:proofErr w:type="spellStart"/>
      <w:r w:rsidRPr="00245703">
        <w:rPr>
          <w:b/>
          <w:bCs/>
        </w:rPr>
        <w:t>Boolean</w:t>
      </w:r>
      <w:proofErr w:type="spellEnd"/>
      <w:r w:rsidRPr="00245703">
        <w:rPr>
          <w:b/>
          <w:bCs/>
        </w:rPr>
        <w:t>)</w:t>
      </w:r>
      <w:r w:rsidRPr="00245703">
        <w:t xml:space="preserve">: Ukládá pravdivostní hodnoty, například </w:t>
      </w:r>
      <w:proofErr w:type="spellStart"/>
      <w:r w:rsidRPr="00245703">
        <w:t>True</w:t>
      </w:r>
      <w:proofErr w:type="spellEnd"/>
      <w:r w:rsidRPr="00245703">
        <w:t xml:space="preserve"> nebo </w:t>
      </w:r>
      <w:proofErr w:type="spellStart"/>
      <w:r w:rsidRPr="00245703">
        <w:t>False</w:t>
      </w:r>
      <w:proofErr w:type="spellEnd"/>
      <w:r w:rsidRPr="00245703">
        <w:t>.</w:t>
      </w:r>
    </w:p>
    <w:p w14:paraId="7A64A4D0" w14:textId="77777777" w:rsidR="00245703" w:rsidRPr="00245703" w:rsidRDefault="00245703" w:rsidP="00245703">
      <w:pPr>
        <w:numPr>
          <w:ilvl w:val="0"/>
          <w:numId w:val="1"/>
        </w:numPr>
      </w:pPr>
      <w:r w:rsidRPr="00245703">
        <w:rPr>
          <w:b/>
          <w:bCs/>
        </w:rPr>
        <w:lastRenderedPageBreak/>
        <w:t>Referenční typy (Reference)</w:t>
      </w:r>
      <w:r w:rsidRPr="00245703">
        <w:t>: Používají se k vytvoření vztahu mezi tabulkami. Například FOREIGN KEY sloupec v jedné tabulce odkazuje na primární klíč v jiné tabulce.</w:t>
      </w:r>
    </w:p>
    <w:p w14:paraId="0213C28B" w14:textId="77777777" w:rsidR="00245703" w:rsidRPr="00245703" w:rsidRDefault="00245703" w:rsidP="00245703"/>
    <w:p w14:paraId="024C6506" w14:textId="77777777" w:rsidR="00577895" w:rsidRDefault="00577895"/>
    <w:sectPr w:rsidR="005778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24BE1"/>
    <w:multiLevelType w:val="multilevel"/>
    <w:tmpl w:val="660C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9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03"/>
    <w:rsid w:val="00245703"/>
    <w:rsid w:val="0053507C"/>
    <w:rsid w:val="00577895"/>
    <w:rsid w:val="00BB032A"/>
    <w:rsid w:val="00BC040C"/>
    <w:rsid w:val="00CD71B0"/>
    <w:rsid w:val="00E738E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7F670D39"/>
  <w15:chartTrackingRefBased/>
  <w15:docId w15:val="{A3985DCC-FC14-D245-9860-83DC9727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s-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Klasik"/>
    <w:qFormat/>
    <w:rsid w:val="00BB032A"/>
    <w:pPr>
      <w:spacing w:before="120" w:after="120"/>
    </w:pPr>
  </w:style>
  <w:style w:type="paragraph" w:styleId="Nadpis1">
    <w:name w:val="heading 1"/>
    <w:basedOn w:val="Normln"/>
    <w:next w:val="Normln"/>
    <w:link w:val="Nadpis1Char"/>
    <w:uiPriority w:val="9"/>
    <w:qFormat/>
    <w:rsid w:val="00245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245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245703"/>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45703"/>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45703"/>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45703"/>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45703"/>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45703"/>
    <w:pPr>
      <w:keepNext/>
      <w:keepLines/>
      <w:spacing w:before="0"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45703"/>
    <w:pPr>
      <w:keepNext/>
      <w:keepLines/>
      <w:spacing w:before="0"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45703"/>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245703"/>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245703"/>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45703"/>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45703"/>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45703"/>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45703"/>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45703"/>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45703"/>
    <w:rPr>
      <w:rFonts w:eastAsiaTheme="majorEastAsia" w:cstheme="majorBidi"/>
      <w:color w:val="272727" w:themeColor="text1" w:themeTint="D8"/>
    </w:rPr>
  </w:style>
  <w:style w:type="paragraph" w:styleId="Nzev">
    <w:name w:val="Title"/>
    <w:basedOn w:val="Normln"/>
    <w:next w:val="Normln"/>
    <w:link w:val="NzevChar"/>
    <w:uiPriority w:val="10"/>
    <w:qFormat/>
    <w:rsid w:val="00245703"/>
    <w:pPr>
      <w:spacing w:before="0"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45703"/>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45703"/>
    <w:pPr>
      <w:numPr>
        <w:ilvl w:val="1"/>
      </w:numPr>
      <w:spacing w:after="160"/>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45703"/>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45703"/>
    <w:pPr>
      <w:spacing w:before="160" w:after="160"/>
      <w:jc w:val="center"/>
    </w:pPr>
    <w:rPr>
      <w:i/>
      <w:iCs/>
      <w:color w:val="404040" w:themeColor="text1" w:themeTint="BF"/>
    </w:rPr>
  </w:style>
  <w:style w:type="character" w:customStyle="1" w:styleId="CittChar">
    <w:name w:val="Citát Char"/>
    <w:basedOn w:val="Standardnpsmoodstavce"/>
    <w:link w:val="Citt"/>
    <w:uiPriority w:val="29"/>
    <w:rsid w:val="00245703"/>
    <w:rPr>
      <w:i/>
      <w:iCs/>
      <w:color w:val="404040" w:themeColor="text1" w:themeTint="BF"/>
    </w:rPr>
  </w:style>
  <w:style w:type="paragraph" w:styleId="Odstavecseseznamem">
    <w:name w:val="List Paragraph"/>
    <w:basedOn w:val="Normln"/>
    <w:uiPriority w:val="34"/>
    <w:qFormat/>
    <w:rsid w:val="00245703"/>
    <w:pPr>
      <w:ind w:left="720"/>
      <w:contextualSpacing/>
    </w:pPr>
  </w:style>
  <w:style w:type="character" w:styleId="Zdraznnintenzivn">
    <w:name w:val="Intense Emphasis"/>
    <w:basedOn w:val="Standardnpsmoodstavce"/>
    <w:uiPriority w:val="21"/>
    <w:qFormat/>
    <w:rsid w:val="00245703"/>
    <w:rPr>
      <w:i/>
      <w:iCs/>
      <w:color w:val="0F4761" w:themeColor="accent1" w:themeShade="BF"/>
    </w:rPr>
  </w:style>
  <w:style w:type="paragraph" w:styleId="Vrazncitt">
    <w:name w:val="Intense Quote"/>
    <w:basedOn w:val="Normln"/>
    <w:next w:val="Normln"/>
    <w:link w:val="VrazncittChar"/>
    <w:uiPriority w:val="30"/>
    <w:qFormat/>
    <w:rsid w:val="00245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45703"/>
    <w:rPr>
      <w:i/>
      <w:iCs/>
      <w:color w:val="0F4761" w:themeColor="accent1" w:themeShade="BF"/>
    </w:rPr>
  </w:style>
  <w:style w:type="character" w:styleId="Odkazintenzivn">
    <w:name w:val="Intense Reference"/>
    <w:basedOn w:val="Standardnpsmoodstavce"/>
    <w:uiPriority w:val="32"/>
    <w:qFormat/>
    <w:rsid w:val="00245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157172">
      <w:bodyDiv w:val="1"/>
      <w:marLeft w:val="0"/>
      <w:marRight w:val="0"/>
      <w:marTop w:val="0"/>
      <w:marBottom w:val="0"/>
      <w:divBdr>
        <w:top w:val="none" w:sz="0" w:space="0" w:color="auto"/>
        <w:left w:val="none" w:sz="0" w:space="0" w:color="auto"/>
        <w:bottom w:val="none" w:sz="0" w:space="0" w:color="auto"/>
        <w:right w:val="none" w:sz="0" w:space="0" w:color="auto"/>
      </w:divBdr>
      <w:divsChild>
        <w:div w:id="871921939">
          <w:marLeft w:val="0"/>
          <w:marRight w:val="0"/>
          <w:marTop w:val="0"/>
          <w:marBottom w:val="0"/>
          <w:divBdr>
            <w:top w:val="none" w:sz="0" w:space="0" w:color="auto"/>
            <w:left w:val="none" w:sz="0" w:space="0" w:color="auto"/>
            <w:bottom w:val="none" w:sz="0" w:space="0" w:color="auto"/>
            <w:right w:val="none" w:sz="0" w:space="0" w:color="auto"/>
          </w:divBdr>
          <w:divsChild>
            <w:div w:id="2049721767">
              <w:marLeft w:val="0"/>
              <w:marRight w:val="0"/>
              <w:marTop w:val="0"/>
              <w:marBottom w:val="0"/>
              <w:divBdr>
                <w:top w:val="none" w:sz="0" w:space="0" w:color="auto"/>
                <w:left w:val="none" w:sz="0" w:space="0" w:color="auto"/>
                <w:bottom w:val="none" w:sz="0" w:space="0" w:color="auto"/>
                <w:right w:val="none" w:sz="0" w:space="0" w:color="auto"/>
              </w:divBdr>
              <w:divsChild>
                <w:div w:id="1646205213">
                  <w:marLeft w:val="0"/>
                  <w:marRight w:val="0"/>
                  <w:marTop w:val="0"/>
                  <w:marBottom w:val="0"/>
                  <w:divBdr>
                    <w:top w:val="none" w:sz="0" w:space="0" w:color="auto"/>
                    <w:left w:val="none" w:sz="0" w:space="0" w:color="auto"/>
                    <w:bottom w:val="none" w:sz="0" w:space="0" w:color="auto"/>
                    <w:right w:val="none" w:sz="0" w:space="0" w:color="auto"/>
                  </w:divBdr>
                </w:div>
              </w:divsChild>
            </w:div>
            <w:div w:id="173304486">
              <w:marLeft w:val="0"/>
              <w:marRight w:val="0"/>
              <w:marTop w:val="0"/>
              <w:marBottom w:val="0"/>
              <w:divBdr>
                <w:top w:val="none" w:sz="0" w:space="0" w:color="auto"/>
                <w:left w:val="none" w:sz="0" w:space="0" w:color="auto"/>
                <w:bottom w:val="none" w:sz="0" w:space="0" w:color="auto"/>
                <w:right w:val="none" w:sz="0" w:space="0" w:color="auto"/>
              </w:divBdr>
              <w:divsChild>
                <w:div w:id="1174807104">
                  <w:marLeft w:val="0"/>
                  <w:marRight w:val="0"/>
                  <w:marTop w:val="0"/>
                  <w:marBottom w:val="0"/>
                  <w:divBdr>
                    <w:top w:val="none" w:sz="0" w:space="0" w:color="auto"/>
                    <w:left w:val="none" w:sz="0" w:space="0" w:color="auto"/>
                    <w:bottom w:val="none" w:sz="0" w:space="0" w:color="auto"/>
                    <w:right w:val="none" w:sz="0" w:space="0" w:color="auto"/>
                  </w:divBdr>
                </w:div>
              </w:divsChild>
            </w:div>
            <w:div w:id="1498226565">
              <w:marLeft w:val="0"/>
              <w:marRight w:val="0"/>
              <w:marTop w:val="0"/>
              <w:marBottom w:val="0"/>
              <w:divBdr>
                <w:top w:val="none" w:sz="0" w:space="0" w:color="auto"/>
                <w:left w:val="none" w:sz="0" w:space="0" w:color="auto"/>
                <w:bottom w:val="none" w:sz="0" w:space="0" w:color="auto"/>
                <w:right w:val="none" w:sz="0" w:space="0" w:color="auto"/>
              </w:divBdr>
              <w:divsChild>
                <w:div w:id="2326025">
                  <w:marLeft w:val="0"/>
                  <w:marRight w:val="0"/>
                  <w:marTop w:val="0"/>
                  <w:marBottom w:val="0"/>
                  <w:divBdr>
                    <w:top w:val="none" w:sz="0" w:space="0" w:color="auto"/>
                    <w:left w:val="none" w:sz="0" w:space="0" w:color="auto"/>
                    <w:bottom w:val="none" w:sz="0" w:space="0" w:color="auto"/>
                    <w:right w:val="none" w:sz="0" w:space="0" w:color="auto"/>
                  </w:divBdr>
                </w:div>
              </w:divsChild>
            </w:div>
            <w:div w:id="591475994">
              <w:marLeft w:val="0"/>
              <w:marRight w:val="0"/>
              <w:marTop w:val="0"/>
              <w:marBottom w:val="0"/>
              <w:divBdr>
                <w:top w:val="none" w:sz="0" w:space="0" w:color="auto"/>
                <w:left w:val="none" w:sz="0" w:space="0" w:color="auto"/>
                <w:bottom w:val="none" w:sz="0" w:space="0" w:color="auto"/>
                <w:right w:val="none" w:sz="0" w:space="0" w:color="auto"/>
              </w:divBdr>
              <w:divsChild>
                <w:div w:id="1192963119">
                  <w:marLeft w:val="0"/>
                  <w:marRight w:val="0"/>
                  <w:marTop w:val="0"/>
                  <w:marBottom w:val="0"/>
                  <w:divBdr>
                    <w:top w:val="none" w:sz="0" w:space="0" w:color="auto"/>
                    <w:left w:val="none" w:sz="0" w:space="0" w:color="auto"/>
                    <w:bottom w:val="none" w:sz="0" w:space="0" w:color="auto"/>
                    <w:right w:val="none" w:sz="0" w:space="0" w:color="auto"/>
                  </w:divBdr>
                </w:div>
              </w:divsChild>
            </w:div>
            <w:div w:id="606932362">
              <w:marLeft w:val="0"/>
              <w:marRight w:val="0"/>
              <w:marTop w:val="0"/>
              <w:marBottom w:val="0"/>
              <w:divBdr>
                <w:top w:val="none" w:sz="0" w:space="0" w:color="auto"/>
                <w:left w:val="none" w:sz="0" w:space="0" w:color="auto"/>
                <w:bottom w:val="none" w:sz="0" w:space="0" w:color="auto"/>
                <w:right w:val="none" w:sz="0" w:space="0" w:color="auto"/>
              </w:divBdr>
              <w:divsChild>
                <w:div w:id="1759058136">
                  <w:marLeft w:val="0"/>
                  <w:marRight w:val="0"/>
                  <w:marTop w:val="0"/>
                  <w:marBottom w:val="0"/>
                  <w:divBdr>
                    <w:top w:val="none" w:sz="0" w:space="0" w:color="auto"/>
                    <w:left w:val="none" w:sz="0" w:space="0" w:color="auto"/>
                    <w:bottom w:val="none" w:sz="0" w:space="0" w:color="auto"/>
                    <w:right w:val="none" w:sz="0" w:space="0" w:color="auto"/>
                  </w:divBdr>
                </w:div>
              </w:divsChild>
            </w:div>
            <w:div w:id="1343901075">
              <w:marLeft w:val="0"/>
              <w:marRight w:val="0"/>
              <w:marTop w:val="0"/>
              <w:marBottom w:val="0"/>
              <w:divBdr>
                <w:top w:val="none" w:sz="0" w:space="0" w:color="auto"/>
                <w:left w:val="none" w:sz="0" w:space="0" w:color="auto"/>
                <w:bottom w:val="none" w:sz="0" w:space="0" w:color="auto"/>
                <w:right w:val="none" w:sz="0" w:space="0" w:color="auto"/>
              </w:divBdr>
              <w:divsChild>
                <w:div w:id="63600997">
                  <w:marLeft w:val="0"/>
                  <w:marRight w:val="0"/>
                  <w:marTop w:val="0"/>
                  <w:marBottom w:val="0"/>
                  <w:divBdr>
                    <w:top w:val="none" w:sz="0" w:space="0" w:color="auto"/>
                    <w:left w:val="none" w:sz="0" w:space="0" w:color="auto"/>
                    <w:bottom w:val="none" w:sz="0" w:space="0" w:color="auto"/>
                    <w:right w:val="none" w:sz="0" w:space="0" w:color="auto"/>
                  </w:divBdr>
                </w:div>
              </w:divsChild>
            </w:div>
            <w:div w:id="1450589483">
              <w:marLeft w:val="0"/>
              <w:marRight w:val="0"/>
              <w:marTop w:val="0"/>
              <w:marBottom w:val="0"/>
              <w:divBdr>
                <w:top w:val="none" w:sz="0" w:space="0" w:color="auto"/>
                <w:left w:val="none" w:sz="0" w:space="0" w:color="auto"/>
                <w:bottom w:val="none" w:sz="0" w:space="0" w:color="auto"/>
                <w:right w:val="none" w:sz="0" w:space="0" w:color="auto"/>
              </w:divBdr>
              <w:divsChild>
                <w:div w:id="13445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96849">
      <w:bodyDiv w:val="1"/>
      <w:marLeft w:val="0"/>
      <w:marRight w:val="0"/>
      <w:marTop w:val="0"/>
      <w:marBottom w:val="0"/>
      <w:divBdr>
        <w:top w:val="none" w:sz="0" w:space="0" w:color="auto"/>
        <w:left w:val="none" w:sz="0" w:space="0" w:color="auto"/>
        <w:bottom w:val="none" w:sz="0" w:space="0" w:color="auto"/>
        <w:right w:val="none" w:sz="0" w:space="0" w:color="auto"/>
      </w:divBdr>
      <w:divsChild>
        <w:div w:id="1487895558">
          <w:marLeft w:val="0"/>
          <w:marRight w:val="0"/>
          <w:marTop w:val="0"/>
          <w:marBottom w:val="0"/>
          <w:divBdr>
            <w:top w:val="none" w:sz="0" w:space="0" w:color="auto"/>
            <w:left w:val="none" w:sz="0" w:space="0" w:color="auto"/>
            <w:bottom w:val="none" w:sz="0" w:space="0" w:color="auto"/>
            <w:right w:val="none" w:sz="0" w:space="0" w:color="auto"/>
          </w:divBdr>
          <w:divsChild>
            <w:div w:id="823937806">
              <w:marLeft w:val="0"/>
              <w:marRight w:val="0"/>
              <w:marTop w:val="0"/>
              <w:marBottom w:val="0"/>
              <w:divBdr>
                <w:top w:val="none" w:sz="0" w:space="0" w:color="auto"/>
                <w:left w:val="none" w:sz="0" w:space="0" w:color="auto"/>
                <w:bottom w:val="none" w:sz="0" w:space="0" w:color="auto"/>
                <w:right w:val="none" w:sz="0" w:space="0" w:color="auto"/>
              </w:divBdr>
              <w:divsChild>
                <w:div w:id="1401710640">
                  <w:marLeft w:val="0"/>
                  <w:marRight w:val="0"/>
                  <w:marTop w:val="0"/>
                  <w:marBottom w:val="0"/>
                  <w:divBdr>
                    <w:top w:val="none" w:sz="0" w:space="0" w:color="auto"/>
                    <w:left w:val="none" w:sz="0" w:space="0" w:color="auto"/>
                    <w:bottom w:val="none" w:sz="0" w:space="0" w:color="auto"/>
                    <w:right w:val="none" w:sz="0" w:space="0" w:color="auto"/>
                  </w:divBdr>
                </w:div>
              </w:divsChild>
            </w:div>
            <w:div w:id="1467698997">
              <w:marLeft w:val="0"/>
              <w:marRight w:val="0"/>
              <w:marTop w:val="0"/>
              <w:marBottom w:val="0"/>
              <w:divBdr>
                <w:top w:val="none" w:sz="0" w:space="0" w:color="auto"/>
                <w:left w:val="none" w:sz="0" w:space="0" w:color="auto"/>
                <w:bottom w:val="none" w:sz="0" w:space="0" w:color="auto"/>
                <w:right w:val="none" w:sz="0" w:space="0" w:color="auto"/>
              </w:divBdr>
              <w:divsChild>
                <w:div w:id="1882203608">
                  <w:marLeft w:val="0"/>
                  <w:marRight w:val="0"/>
                  <w:marTop w:val="0"/>
                  <w:marBottom w:val="0"/>
                  <w:divBdr>
                    <w:top w:val="none" w:sz="0" w:space="0" w:color="auto"/>
                    <w:left w:val="none" w:sz="0" w:space="0" w:color="auto"/>
                    <w:bottom w:val="none" w:sz="0" w:space="0" w:color="auto"/>
                    <w:right w:val="none" w:sz="0" w:space="0" w:color="auto"/>
                  </w:divBdr>
                </w:div>
              </w:divsChild>
            </w:div>
            <w:div w:id="1156989298">
              <w:marLeft w:val="0"/>
              <w:marRight w:val="0"/>
              <w:marTop w:val="0"/>
              <w:marBottom w:val="0"/>
              <w:divBdr>
                <w:top w:val="none" w:sz="0" w:space="0" w:color="auto"/>
                <w:left w:val="none" w:sz="0" w:space="0" w:color="auto"/>
                <w:bottom w:val="none" w:sz="0" w:space="0" w:color="auto"/>
                <w:right w:val="none" w:sz="0" w:space="0" w:color="auto"/>
              </w:divBdr>
              <w:divsChild>
                <w:div w:id="1258294041">
                  <w:marLeft w:val="0"/>
                  <w:marRight w:val="0"/>
                  <w:marTop w:val="0"/>
                  <w:marBottom w:val="0"/>
                  <w:divBdr>
                    <w:top w:val="none" w:sz="0" w:space="0" w:color="auto"/>
                    <w:left w:val="none" w:sz="0" w:space="0" w:color="auto"/>
                    <w:bottom w:val="none" w:sz="0" w:space="0" w:color="auto"/>
                    <w:right w:val="none" w:sz="0" w:space="0" w:color="auto"/>
                  </w:divBdr>
                </w:div>
              </w:divsChild>
            </w:div>
            <w:div w:id="341200420">
              <w:marLeft w:val="0"/>
              <w:marRight w:val="0"/>
              <w:marTop w:val="0"/>
              <w:marBottom w:val="0"/>
              <w:divBdr>
                <w:top w:val="none" w:sz="0" w:space="0" w:color="auto"/>
                <w:left w:val="none" w:sz="0" w:space="0" w:color="auto"/>
                <w:bottom w:val="none" w:sz="0" w:space="0" w:color="auto"/>
                <w:right w:val="none" w:sz="0" w:space="0" w:color="auto"/>
              </w:divBdr>
              <w:divsChild>
                <w:div w:id="1593468068">
                  <w:marLeft w:val="0"/>
                  <w:marRight w:val="0"/>
                  <w:marTop w:val="0"/>
                  <w:marBottom w:val="0"/>
                  <w:divBdr>
                    <w:top w:val="none" w:sz="0" w:space="0" w:color="auto"/>
                    <w:left w:val="none" w:sz="0" w:space="0" w:color="auto"/>
                    <w:bottom w:val="none" w:sz="0" w:space="0" w:color="auto"/>
                    <w:right w:val="none" w:sz="0" w:space="0" w:color="auto"/>
                  </w:divBdr>
                </w:div>
              </w:divsChild>
            </w:div>
            <w:div w:id="527187096">
              <w:marLeft w:val="0"/>
              <w:marRight w:val="0"/>
              <w:marTop w:val="0"/>
              <w:marBottom w:val="0"/>
              <w:divBdr>
                <w:top w:val="none" w:sz="0" w:space="0" w:color="auto"/>
                <w:left w:val="none" w:sz="0" w:space="0" w:color="auto"/>
                <w:bottom w:val="none" w:sz="0" w:space="0" w:color="auto"/>
                <w:right w:val="none" w:sz="0" w:space="0" w:color="auto"/>
              </w:divBdr>
              <w:divsChild>
                <w:div w:id="1396128860">
                  <w:marLeft w:val="0"/>
                  <w:marRight w:val="0"/>
                  <w:marTop w:val="0"/>
                  <w:marBottom w:val="0"/>
                  <w:divBdr>
                    <w:top w:val="none" w:sz="0" w:space="0" w:color="auto"/>
                    <w:left w:val="none" w:sz="0" w:space="0" w:color="auto"/>
                    <w:bottom w:val="none" w:sz="0" w:space="0" w:color="auto"/>
                    <w:right w:val="none" w:sz="0" w:space="0" w:color="auto"/>
                  </w:divBdr>
                </w:div>
              </w:divsChild>
            </w:div>
            <w:div w:id="1772042126">
              <w:marLeft w:val="0"/>
              <w:marRight w:val="0"/>
              <w:marTop w:val="0"/>
              <w:marBottom w:val="0"/>
              <w:divBdr>
                <w:top w:val="none" w:sz="0" w:space="0" w:color="auto"/>
                <w:left w:val="none" w:sz="0" w:space="0" w:color="auto"/>
                <w:bottom w:val="none" w:sz="0" w:space="0" w:color="auto"/>
                <w:right w:val="none" w:sz="0" w:space="0" w:color="auto"/>
              </w:divBdr>
              <w:divsChild>
                <w:div w:id="585766930">
                  <w:marLeft w:val="0"/>
                  <w:marRight w:val="0"/>
                  <w:marTop w:val="0"/>
                  <w:marBottom w:val="0"/>
                  <w:divBdr>
                    <w:top w:val="none" w:sz="0" w:space="0" w:color="auto"/>
                    <w:left w:val="none" w:sz="0" w:space="0" w:color="auto"/>
                    <w:bottom w:val="none" w:sz="0" w:space="0" w:color="auto"/>
                    <w:right w:val="none" w:sz="0" w:space="0" w:color="auto"/>
                  </w:divBdr>
                </w:div>
              </w:divsChild>
            </w:div>
            <w:div w:id="2010516997">
              <w:marLeft w:val="0"/>
              <w:marRight w:val="0"/>
              <w:marTop w:val="0"/>
              <w:marBottom w:val="0"/>
              <w:divBdr>
                <w:top w:val="none" w:sz="0" w:space="0" w:color="auto"/>
                <w:left w:val="none" w:sz="0" w:space="0" w:color="auto"/>
                <w:bottom w:val="none" w:sz="0" w:space="0" w:color="auto"/>
                <w:right w:val="none" w:sz="0" w:space="0" w:color="auto"/>
              </w:divBdr>
              <w:divsChild>
                <w:div w:id="7577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5238</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Petříček</dc:creator>
  <cp:keywords/>
  <dc:description/>
  <cp:lastModifiedBy>Dominik Petříček</cp:lastModifiedBy>
  <cp:revision>1</cp:revision>
  <dcterms:created xsi:type="dcterms:W3CDTF">2024-09-13T09:58:00Z</dcterms:created>
  <dcterms:modified xsi:type="dcterms:W3CDTF">2024-09-13T09:59:00Z</dcterms:modified>
</cp:coreProperties>
</file>