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党员发展管理小程序进展汇报（简版）</w:t>
      </w:r>
    </w:p>
    <w:p>
      <w:pPr>
        <w:pStyle w:val="Author"/>
      </w:pPr>
      <w:r>
        <w:t xml:space="preserve">项目组</w:t>
      </w:r>
    </w:p>
    <w:p>
      <w:pPr>
        <w:pStyle w:val="Date"/>
      </w:pPr>
      <w:r>
        <w:t xml:space="preserve">2026-04-19</w:t>
      </w:r>
    </w:p>
    <w:bookmarkStart w:id="20" w:name="一结论"/>
    <w:p>
      <w:pPr>
        <w:pStyle w:val="Heading1"/>
      </w:pPr>
      <w:r>
        <w:t xml:space="preserve">一、结论</w:t>
      </w:r>
    </w:p>
    <w:p>
      <w:pPr>
        <w:numPr>
          <w:ilvl w:val="0"/>
          <w:numId w:val="1001"/>
        </w:numPr>
        <w:pStyle w:val="Compact"/>
      </w:pPr>
      <w:r>
        <w:t xml:space="preserve">项目技术路线可行，已具备继续建设和内部联调的基础。</w:t>
      </w:r>
    </w:p>
    <w:p>
      <w:pPr>
        <w:numPr>
          <w:ilvl w:val="0"/>
          <w:numId w:val="1001"/>
        </w:numPr>
        <w:pStyle w:val="Compact"/>
      </w:pPr>
      <w:r>
        <w:t xml:space="preserve">当前系统可用于阶段汇报、流程演示和需求核对，暂不宜按</w:t>
      </w:r>
      <w:r>
        <w:t xml:space="preserve">“</w:t>
      </w:r>
      <w:r>
        <w:t xml:space="preserve">可正式上线</w:t>
      </w:r>
      <w:r>
        <w:t xml:space="preserve">”</w:t>
      </w:r>
      <w:r>
        <w:t xml:space="preserve">表述。</w:t>
      </w:r>
    </w:p>
    <w:p>
      <w:pPr>
        <w:numPr>
          <w:ilvl w:val="0"/>
          <w:numId w:val="1001"/>
        </w:numPr>
        <w:pStyle w:val="Compact"/>
      </w:pPr>
      <w:r>
        <w:t xml:space="preserve">现阶段风险不在</w:t>
      </w:r>
      <w:r>
        <w:t xml:space="preserve">“</w:t>
      </w:r>
      <w:r>
        <w:t xml:space="preserve">能不能做出来</w:t>
      </w:r>
      <w:r>
        <w:t xml:space="preserve">”</w:t>
      </w:r>
      <w:r>
        <w:t xml:space="preserve">，而在流程口径、权限边界、验收标准和正式部署条件仍未完全定稿。</w:t>
      </w:r>
    </w:p>
    <w:bookmarkEnd w:id="20"/>
    <w:bookmarkStart w:id="21" w:name="二现状"/>
    <w:p>
      <w:pPr>
        <w:pStyle w:val="Heading1"/>
      </w:pPr>
      <w:r>
        <w:t xml:space="preserve">二、现状</w:t>
      </w:r>
    </w:p>
    <w:p>
      <w:pPr>
        <w:pStyle w:val="FirstParagraph"/>
      </w:pPr>
      <w:r>
        <w:t xml:space="preserve">目前已形成四部分代码：</w:t>
      </w:r>
    </w:p>
    <w:p>
      <w:pPr>
        <w:numPr>
          <w:ilvl w:val="0"/>
          <w:numId w:val="1002"/>
        </w:numPr>
        <w:pStyle w:val="Compact"/>
      </w:pPr>
      <w:r>
        <w:t xml:space="preserve">微信小程序端。</w:t>
      </w:r>
    </w:p>
    <w:p>
      <w:pPr>
        <w:numPr>
          <w:ilvl w:val="0"/>
          <w:numId w:val="1002"/>
        </w:numPr>
        <w:pStyle w:val="Compact"/>
      </w:pPr>
      <w:r>
        <w:t xml:space="preserve">Node.js 服务端。</w:t>
      </w:r>
    </w:p>
    <w:p>
      <w:pPr>
        <w:numPr>
          <w:ilvl w:val="0"/>
          <w:numId w:val="1002"/>
        </w:numPr>
        <w:pStyle w:val="Compact"/>
      </w:pPr>
      <w:r>
        <w:t xml:space="preserve">PC 后台。</w:t>
      </w:r>
    </w:p>
    <w:p>
      <w:pPr>
        <w:numPr>
          <w:ilvl w:val="0"/>
          <w:numId w:val="1002"/>
        </w:numPr>
        <w:pStyle w:val="Compact"/>
      </w:pPr>
      <w:r>
        <w:t xml:space="preserve">移动后台。</w:t>
      </w:r>
    </w:p>
    <w:p>
      <w:pPr>
        <w:pStyle w:val="FirstParagraph"/>
      </w:pPr>
      <w:r>
        <w:t xml:space="preserve">当前已具备的基础能力：</w:t>
      </w:r>
    </w:p>
    <w:p>
      <w:pPr>
        <w:numPr>
          <w:ilvl w:val="0"/>
          <w:numId w:val="1003"/>
        </w:numPr>
        <w:pStyle w:val="Compact"/>
      </w:pPr>
      <w:r>
        <w:t xml:space="preserve">用户、角色、组织、支部、流程、附件、审计等基础数据模型已搭建。</w:t>
      </w:r>
    </w:p>
    <w:p>
      <w:pPr>
        <w:numPr>
          <w:ilvl w:val="0"/>
          <w:numId w:val="1003"/>
        </w:numPr>
        <w:pStyle w:val="Compact"/>
      </w:pPr>
      <w:r>
        <w:t xml:space="preserve">小程序已能展示登录、工作台、流程、资料、步骤详情等主要页面。</w:t>
      </w:r>
    </w:p>
    <w:p>
      <w:pPr>
        <w:numPr>
          <w:ilvl w:val="0"/>
          <w:numId w:val="1003"/>
        </w:numPr>
        <w:pStyle w:val="Compact"/>
      </w:pPr>
      <w:r>
        <w:t xml:space="preserve">服务端已具备登录、权限、流程记录、统计、导出、上传等基础接口。</w:t>
      </w:r>
    </w:p>
    <w:p>
      <w:pPr>
        <w:numPr>
          <w:ilvl w:val="0"/>
          <w:numId w:val="1003"/>
        </w:numPr>
        <w:pStyle w:val="Compact"/>
      </w:pPr>
      <w:r>
        <w:t xml:space="preserve">后台已具备台账、审核、统计、导出、流程配置等入口。</w:t>
      </w:r>
    </w:p>
    <w:p>
      <w:pPr>
        <w:numPr>
          <w:ilvl w:val="0"/>
          <w:numId w:val="1003"/>
        </w:numPr>
        <w:pStyle w:val="Compact"/>
      </w:pPr>
      <w:r>
        <w:t xml:space="preserve">已跑通域名、HTTPS、反向代理、前后端分离等基础部署链路。</w:t>
      </w:r>
    </w:p>
    <w:p>
      <w:pPr>
        <w:pStyle w:val="FirstParagraph"/>
      </w:pPr>
      <w:r>
        <w:t xml:space="preserve">当前不能乐观表述的部分：</w:t>
      </w:r>
    </w:p>
    <w:p>
      <w:pPr>
        <w:numPr>
          <w:ilvl w:val="0"/>
          <w:numId w:val="1004"/>
        </w:numPr>
        <w:pStyle w:val="Compact"/>
      </w:pPr>
      <w:r>
        <w:t xml:space="preserve">25 个流程节点尚未逐项完成正式字段固化和正式验收。</w:t>
      </w:r>
    </w:p>
    <w:p>
      <w:pPr>
        <w:numPr>
          <w:ilvl w:val="0"/>
          <w:numId w:val="1004"/>
        </w:numPr>
        <w:pStyle w:val="Compact"/>
      </w:pPr>
      <w:r>
        <w:t xml:space="preserve">微信绑定和微信快捷登录仍处于接口骨架阶段。</w:t>
      </w:r>
    </w:p>
    <w:p>
      <w:pPr>
        <w:numPr>
          <w:ilvl w:val="0"/>
          <w:numId w:val="1004"/>
        </w:numPr>
        <w:pStyle w:val="Compact"/>
      </w:pPr>
      <w:r>
        <w:t xml:space="preserve">小程序仍保留演示模式，不应视为已完成正式服务端化。</w:t>
      </w:r>
    </w:p>
    <w:p>
      <w:pPr>
        <w:numPr>
          <w:ilvl w:val="0"/>
          <w:numId w:val="1004"/>
        </w:numPr>
        <w:pStyle w:val="Compact"/>
      </w:pPr>
      <w:r>
        <w:t xml:space="preserve">移动后台刚完成重建，仍需继续联调和优化。</w:t>
      </w:r>
    </w:p>
    <w:p>
      <w:pPr>
        <w:numPr>
          <w:ilvl w:val="0"/>
          <w:numId w:val="1004"/>
        </w:numPr>
        <w:pStyle w:val="Compact"/>
      </w:pPr>
      <w:r>
        <w:t xml:space="preserve">安全、备份、审计、告警等正式运维能力明显不足。</w:t>
      </w:r>
    </w:p>
    <w:bookmarkEnd w:id="21"/>
    <w:bookmarkStart w:id="22" w:name="三需求"/>
    <w:p>
      <w:pPr>
        <w:pStyle w:val="Heading1"/>
      </w:pPr>
      <w:r>
        <w:t xml:space="preserve">三、需求</w:t>
      </w:r>
    </w:p>
    <w:p>
      <w:pPr>
        <w:pStyle w:val="FirstParagraph"/>
      </w:pPr>
      <w:r>
        <w:t xml:space="preserve">依据原始设计文档，系统至少要覆盖以下内容：</w:t>
      </w:r>
    </w:p>
    <w:p>
      <w:pPr>
        <w:numPr>
          <w:ilvl w:val="0"/>
          <w:numId w:val="1005"/>
        </w:numPr>
        <w:pStyle w:val="Compact"/>
      </w:pPr>
      <w:r>
        <w:t xml:space="preserve">多角色登录、注册和审核。</w:t>
      </w:r>
    </w:p>
    <w:p>
      <w:pPr>
        <w:numPr>
          <w:ilvl w:val="0"/>
          <w:numId w:val="1005"/>
        </w:numPr>
        <w:pStyle w:val="Compact"/>
      </w:pPr>
      <w:r>
        <w:t xml:space="preserve">发展党员三个阶段、二十五个步骤的顺序化办理。</w:t>
      </w:r>
    </w:p>
    <w:p>
      <w:pPr>
        <w:numPr>
          <w:ilvl w:val="0"/>
          <w:numId w:val="1005"/>
        </w:numPr>
        <w:pStyle w:val="Compact"/>
      </w:pPr>
      <w:r>
        <w:t xml:space="preserve">申请人、支部、单位、组织部、管理员分级权限。</w:t>
      </w:r>
    </w:p>
    <w:p>
      <w:pPr>
        <w:numPr>
          <w:ilvl w:val="0"/>
          <w:numId w:val="1005"/>
        </w:numPr>
        <w:pStyle w:val="Compact"/>
      </w:pPr>
      <w:r>
        <w:t xml:space="preserve">材料上传、审核、统计、导出。</w:t>
      </w:r>
    </w:p>
    <w:p>
      <w:pPr>
        <w:numPr>
          <w:ilvl w:val="0"/>
          <w:numId w:val="1005"/>
        </w:numPr>
        <w:pStyle w:val="Compact"/>
      </w:pPr>
      <w:r>
        <w:t xml:space="preserve">PC 后台和移动端后台。</w:t>
      </w:r>
    </w:p>
    <w:p>
      <w:pPr>
        <w:pStyle w:val="FirstParagraph"/>
      </w:pPr>
      <w:r>
        <w:t xml:space="preserve">需要特别说明的是，原始文档更接近业务设计要求，不是最终制度细则。当前仍需继续明确：</w:t>
      </w:r>
    </w:p>
    <w:p>
      <w:pPr>
        <w:numPr>
          <w:ilvl w:val="0"/>
          <w:numId w:val="1006"/>
        </w:numPr>
        <w:pStyle w:val="Compact"/>
      </w:pPr>
      <w:r>
        <w:t xml:space="preserve">各步骤字段是否必填。</w:t>
      </w:r>
    </w:p>
    <w:p>
      <w:pPr>
        <w:numPr>
          <w:ilvl w:val="0"/>
          <w:numId w:val="1006"/>
        </w:numPr>
        <w:pStyle w:val="Compact"/>
      </w:pPr>
      <w:r>
        <w:t xml:space="preserve">退回、补填、驳回的业务口径。</w:t>
      </w:r>
    </w:p>
    <w:p>
      <w:pPr>
        <w:numPr>
          <w:ilvl w:val="0"/>
          <w:numId w:val="1006"/>
        </w:numPr>
        <w:pStyle w:val="Compact"/>
      </w:pPr>
      <w:r>
        <w:t xml:space="preserve">书记、副书记、组织员、支部书记之间的权限边界。</w:t>
      </w:r>
    </w:p>
    <w:p>
      <w:pPr>
        <w:numPr>
          <w:ilvl w:val="0"/>
          <w:numId w:val="1006"/>
        </w:numPr>
        <w:pStyle w:val="Compact"/>
      </w:pPr>
      <w:r>
        <w:t xml:space="preserve">Excel 导入导出模板。</w:t>
      </w:r>
    </w:p>
    <w:p>
      <w:pPr>
        <w:numPr>
          <w:ilvl w:val="0"/>
          <w:numId w:val="1006"/>
        </w:numPr>
        <w:pStyle w:val="Compact"/>
      </w:pPr>
      <w:r>
        <w:t xml:space="preserve">正式审计和留痕深度。</w:t>
      </w:r>
    </w:p>
    <w:bookmarkEnd w:id="22"/>
    <w:bookmarkStart w:id="23" w:name="四技术可行性"/>
    <w:p>
      <w:pPr>
        <w:pStyle w:val="Heading1"/>
      </w:pPr>
      <w:r>
        <w:t xml:space="preserve">四、技术可行性</w:t>
      </w:r>
    </w:p>
    <w:p>
      <w:pPr>
        <w:pStyle w:val="FirstParagraph"/>
      </w:pPr>
      <w:r>
        <w:t xml:space="preserve">技术上可行，原因主要有三点：</w:t>
      </w:r>
    </w:p>
    <w:p>
      <w:pPr>
        <w:numPr>
          <w:ilvl w:val="0"/>
          <w:numId w:val="1007"/>
        </w:numPr>
        <w:pStyle w:val="Compact"/>
      </w:pPr>
      <w:r>
        <w:t xml:space="preserve">该项目本质上是流程管理、权限管理、台账统计和材料留痕，不属于高并发或高复杂计算场景。</w:t>
      </w:r>
    </w:p>
    <w:p>
      <w:pPr>
        <w:numPr>
          <w:ilvl w:val="0"/>
          <w:numId w:val="1007"/>
        </w:numPr>
        <w:pStyle w:val="Compact"/>
      </w:pPr>
      <w:r>
        <w:t xml:space="preserve">二十五步流程适合用</w:t>
      </w:r>
      <w:r>
        <w:t xml:space="preserve">“</w:t>
      </w:r>
      <w:r>
        <w:t xml:space="preserve">步骤定义 + 步骤记录</w:t>
      </w:r>
      <w:r>
        <w:t xml:space="preserve">”</w:t>
      </w:r>
      <w:r>
        <w:t xml:space="preserve">的统一模型承载，不需要为每一步单独做一套系统。</w:t>
      </w:r>
    </w:p>
    <w:p>
      <w:pPr>
        <w:numPr>
          <w:ilvl w:val="0"/>
          <w:numId w:val="1007"/>
        </w:numPr>
        <w:pStyle w:val="Compact"/>
      </w:pPr>
      <w:r>
        <w:t xml:space="preserve">小程序适合承接申请人和基层角色的移动办理，复杂配置、统计和导出放在后台更合理。</w:t>
      </w:r>
    </w:p>
    <w:p>
      <w:pPr>
        <w:pStyle w:val="FirstParagraph"/>
      </w:pPr>
      <w:r>
        <w:t xml:space="preserve">保守判断如下：</w:t>
      </w:r>
    </w:p>
    <w:p>
      <w:pPr>
        <w:numPr>
          <w:ilvl w:val="0"/>
          <w:numId w:val="1008"/>
        </w:numPr>
        <w:pStyle w:val="Compact"/>
      </w:pPr>
      <w:r>
        <w:t xml:space="preserve">现阶段可以支撑内部演示和试运行准备。</w:t>
      </w:r>
    </w:p>
    <w:p>
      <w:pPr>
        <w:numPr>
          <w:ilvl w:val="0"/>
          <w:numId w:val="1008"/>
        </w:numPr>
        <w:pStyle w:val="Compact"/>
      </w:pPr>
      <w:r>
        <w:t xml:space="preserve">现阶段还不能认定为完成正式上线条件。</w:t>
      </w:r>
    </w:p>
    <w:p>
      <w:pPr>
        <w:numPr>
          <w:ilvl w:val="0"/>
          <w:numId w:val="1008"/>
        </w:numPr>
        <w:pStyle w:val="Compact"/>
      </w:pPr>
      <w:r>
        <w:t xml:space="preserve">若需求继续频繁变化，返工风险仍然较高。</w:t>
      </w:r>
    </w:p>
    <w:bookmarkEnd w:id="23"/>
    <w:bookmarkStart w:id="27" w:name="五规模参考与预算判断"/>
    <w:p>
      <w:pPr>
        <w:pStyle w:val="Heading1"/>
      </w:pPr>
      <w:r>
        <w:t xml:space="preserve">五、规模参考与预算判断</w:t>
      </w:r>
    </w:p>
    <w:p>
      <w:pPr>
        <w:pStyle w:val="FirstParagraph"/>
      </w:pPr>
      <w:r>
        <w:t xml:space="preserve">公开可核验数据中，目前能够稳定查到的是学校在校生规模和党校培训规模，而不是连续发布的</w:t>
      </w:r>
      <w:r>
        <w:t xml:space="preserve">“</w:t>
      </w:r>
      <w:r>
        <w:t xml:space="preserve">每年新发展党员总人数</w:t>
      </w:r>
      <w:r>
        <w:t xml:space="preserve">”</w:t>
      </w:r>
      <w:r>
        <w:t xml:space="preserve">。因此，本报告不直接把公开培训人数等同于最终发展党员人数，只把它作为系统容量和工作量的保守参考。</w:t>
      </w:r>
    </w:p>
    <w:p>
      <w:pPr>
        <w:pStyle w:val="BodyText"/>
      </w:pPr>
      <w:r>
        <w:t xml:space="preserve">公开参考数据如下：</w:t>
      </w:r>
    </w:p>
    <w:p>
      <w:pPr>
        <w:numPr>
          <w:ilvl w:val="0"/>
          <w:numId w:val="1009"/>
        </w:numPr>
        <w:pStyle w:val="Compact"/>
      </w:pPr>
      <w:r>
        <w:t xml:space="preserve">河南师范大学截至 2024 年 12 月折合在校生人数为 57,110.4 人，其中全日制学生 48,274 人。[1]</w:t>
      </w:r>
    </w:p>
    <w:p>
      <w:pPr>
        <w:numPr>
          <w:ilvl w:val="0"/>
          <w:numId w:val="1009"/>
        </w:numPr>
        <w:pStyle w:val="Compact"/>
      </w:pPr>
      <w:r>
        <w:t xml:space="preserve">学校 2022 年上半年入党积极分子培训班校本部培训学员共计 2,200 人。[2]</w:t>
      </w:r>
    </w:p>
    <w:p>
      <w:pPr>
        <w:numPr>
          <w:ilvl w:val="0"/>
          <w:numId w:val="1009"/>
        </w:numPr>
        <w:pStyle w:val="Compact"/>
      </w:pPr>
      <w:r>
        <w:t xml:space="preserve">学校 2024 年上半年入党积极分子培训班培训学员共计 1,678 人。[3]</w:t>
      </w:r>
    </w:p>
    <w:p>
      <w:pPr>
        <w:numPr>
          <w:ilvl w:val="0"/>
          <w:numId w:val="1009"/>
        </w:numPr>
        <w:pStyle w:val="Compact"/>
      </w:pPr>
      <w:r>
        <w:t xml:space="preserve">学校 2025 年上半年继续举办党员发展对象培训班，说明党员发展工作具有持续性和常态化特征。[4]</w:t>
      </w:r>
    </w:p>
    <w:p>
      <w:pPr>
        <w:pStyle w:val="FirstParagraph"/>
      </w:pPr>
      <w:r>
        <w:t xml:space="preserve">据此可作保守判断：</w:t>
      </w:r>
    </w:p>
    <w:p>
      <w:pPr>
        <w:numPr>
          <w:ilvl w:val="0"/>
          <w:numId w:val="1010"/>
        </w:numPr>
        <w:pStyle w:val="Compact"/>
      </w:pPr>
      <w:r>
        <w:t xml:space="preserve">本项目若只服务河南师范大学本校党员发展流程，属于单校、低到中等并发业务。</w:t>
      </w:r>
    </w:p>
    <w:p>
      <w:pPr>
        <w:numPr>
          <w:ilvl w:val="0"/>
          <w:numId w:val="1010"/>
        </w:numPr>
        <w:pStyle w:val="Compact"/>
      </w:pPr>
      <w:r>
        <w:t xml:space="preserve">真正需要稳定承接的不是</w:t>
      </w:r>
      <w:r>
        <w:t xml:space="preserve">“</w:t>
      </w:r>
      <w:r>
        <w:t xml:space="preserve">全校五万多人同时在线</w:t>
      </w:r>
      <w:r>
        <w:t xml:space="preserve">”</w:t>
      </w:r>
      <w:r>
        <w:t xml:space="preserve">，而是若干百到若干千名流程对象、基层管理角色和后台角色的分时使用。</w:t>
      </w:r>
    </w:p>
    <w:p>
      <w:pPr>
        <w:numPr>
          <w:ilvl w:val="0"/>
          <w:numId w:val="1010"/>
        </w:numPr>
        <w:pStyle w:val="Compact"/>
      </w:pPr>
      <w:r>
        <w:t xml:space="preserve">单机方案足以支撑演示和低强度试运行，但不宜直接承诺长期正式运行。</w:t>
      </w:r>
    </w:p>
    <w:p>
      <w:pPr>
        <w:pStyle w:val="FirstParagraph"/>
      </w:pPr>
      <w:r>
        <w:t xml:space="preserve">建议按两档预算理解：</w:t>
      </w:r>
    </w:p>
    <w:bookmarkStart w:id="24" w:name="低成本试运行"/>
    <w:p>
      <w:pPr>
        <w:pStyle w:val="Heading2"/>
      </w:pPr>
      <w:r>
        <w:t xml:space="preserve">5.1 低成本试运行</w:t>
      </w:r>
    </w:p>
    <w:p>
      <w:pPr>
        <w:pStyle w:val="FirstParagraph"/>
      </w:pPr>
      <w:r>
        <w:t xml:space="preserve">适用场景：</w:t>
      </w:r>
    </w:p>
    <w:p>
      <w:pPr>
        <w:numPr>
          <w:ilvl w:val="0"/>
          <w:numId w:val="1011"/>
        </w:numPr>
        <w:pStyle w:val="Compact"/>
      </w:pPr>
      <w:r>
        <w:t xml:space="preserve">内部演示。</w:t>
      </w:r>
    </w:p>
    <w:p>
      <w:pPr>
        <w:numPr>
          <w:ilvl w:val="0"/>
          <w:numId w:val="1011"/>
        </w:numPr>
        <w:pStyle w:val="Compact"/>
      </w:pPr>
      <w:r>
        <w:t xml:space="preserve">流程核对。</w:t>
      </w:r>
    </w:p>
    <w:p>
      <w:pPr>
        <w:numPr>
          <w:ilvl w:val="0"/>
          <w:numId w:val="1011"/>
        </w:numPr>
        <w:pStyle w:val="Compact"/>
      </w:pPr>
      <w:r>
        <w:t xml:space="preserve">小范围试运行。</w:t>
      </w:r>
    </w:p>
    <w:p>
      <w:pPr>
        <w:pStyle w:val="FirstParagraph"/>
      </w:pPr>
      <w:r>
        <w:t xml:space="preserve">建议配置：</w:t>
      </w:r>
    </w:p>
    <w:p>
      <w:pPr>
        <w:numPr>
          <w:ilvl w:val="0"/>
          <w:numId w:val="1012"/>
        </w:numPr>
        <w:pStyle w:val="Compact"/>
      </w:pPr>
      <w:r>
        <w:t xml:space="preserve">1 台 2 核 4GB / 100GB 左右云主机。</w:t>
      </w:r>
    </w:p>
    <w:p>
      <w:pPr>
        <w:numPr>
          <w:ilvl w:val="0"/>
          <w:numId w:val="1012"/>
        </w:numPr>
        <w:pStyle w:val="Compact"/>
      </w:pPr>
      <w:r>
        <w:t xml:space="preserve">同机部署 Nginx、Node.js、MySQL。</w:t>
      </w:r>
    </w:p>
    <w:p>
      <w:pPr>
        <w:numPr>
          <w:ilvl w:val="0"/>
          <w:numId w:val="1012"/>
        </w:numPr>
        <w:pStyle w:val="Compact"/>
      </w:pPr>
      <w:r>
        <w:t xml:space="preserve">1 个 HTTPS 域名。</w:t>
      </w:r>
    </w:p>
    <w:p>
      <w:pPr>
        <w:numPr>
          <w:ilvl w:val="0"/>
          <w:numId w:val="1012"/>
        </w:numPr>
        <w:pStyle w:val="Compact"/>
      </w:pPr>
      <w:r>
        <w:t xml:space="preserve">本地或云端定期备份。</w:t>
      </w:r>
    </w:p>
    <w:p>
      <w:pPr>
        <w:pStyle w:val="FirstParagraph"/>
      </w:pPr>
      <w:r>
        <w:t xml:space="preserve">成本判断：</w:t>
      </w:r>
    </w:p>
    <w:p>
      <w:pPr>
        <w:numPr>
          <w:ilvl w:val="0"/>
          <w:numId w:val="1013"/>
        </w:numPr>
        <w:pStyle w:val="Compact"/>
      </w:pPr>
      <w:r>
        <w:t xml:space="preserve">腾讯云轻量应用服务器 2 核 4GB / 100GB 当前公开价格约为 100 元/月、1020 元/年。[5]</w:t>
      </w:r>
    </w:p>
    <w:p>
      <w:pPr>
        <w:numPr>
          <w:ilvl w:val="0"/>
          <w:numId w:val="1013"/>
        </w:numPr>
        <w:pStyle w:val="Compact"/>
      </w:pPr>
      <w:r>
        <w:t xml:space="preserve">若只用于前期测试，可使用免费 SSL 证书；但免费证书有效期 90 天，且官方明确说明主要用于前期测试。[6]</w:t>
      </w:r>
    </w:p>
    <w:p>
      <w:pPr>
        <w:numPr>
          <w:ilvl w:val="0"/>
          <w:numId w:val="1013"/>
        </w:numPr>
        <w:pStyle w:val="Compact"/>
      </w:pPr>
      <w:r>
        <w:t xml:space="preserve">若部署在中国内地云服务器上，还需满足备案条件。[7]</w:t>
      </w:r>
    </w:p>
    <w:p>
      <w:pPr>
        <w:pStyle w:val="FirstParagraph"/>
      </w:pPr>
      <w:r>
        <w:t xml:space="preserve">保守估计：</w:t>
      </w:r>
    </w:p>
    <w:p>
      <w:pPr>
        <w:numPr>
          <w:ilvl w:val="0"/>
          <w:numId w:val="1014"/>
        </w:numPr>
        <w:pStyle w:val="Compact"/>
      </w:pPr>
      <w:r>
        <w:t xml:space="preserve">纯基础资源现金成本可按约 0.2 万至 0.5 万元/年理解。</w:t>
      </w:r>
    </w:p>
    <w:p>
      <w:pPr>
        <w:numPr>
          <w:ilvl w:val="0"/>
          <w:numId w:val="1014"/>
        </w:numPr>
        <w:pStyle w:val="Compact"/>
      </w:pPr>
      <w:r>
        <w:t xml:space="preserve">该方案能支撑试运行，不适合作为长期正式方案。</w:t>
      </w:r>
    </w:p>
    <w:bookmarkEnd w:id="24"/>
    <w:bookmarkStart w:id="25" w:name="较稳妥试运行"/>
    <w:p>
      <w:pPr>
        <w:pStyle w:val="Heading2"/>
      </w:pPr>
      <w:r>
        <w:t xml:space="preserve">5.2 较稳妥试运行</w:t>
      </w:r>
    </w:p>
    <w:p>
      <w:pPr>
        <w:pStyle w:val="FirstParagraph"/>
      </w:pPr>
      <w:r>
        <w:t xml:space="preserve">适用场景：</w:t>
      </w:r>
    </w:p>
    <w:p>
      <w:pPr>
        <w:numPr>
          <w:ilvl w:val="0"/>
          <w:numId w:val="1015"/>
        </w:numPr>
        <w:pStyle w:val="Compact"/>
      </w:pPr>
      <w:r>
        <w:t xml:space="preserve">较长期校内试运行。</w:t>
      </w:r>
    </w:p>
    <w:p>
      <w:pPr>
        <w:numPr>
          <w:ilvl w:val="0"/>
          <w:numId w:val="1015"/>
        </w:numPr>
        <w:pStyle w:val="Compact"/>
      </w:pPr>
      <w:r>
        <w:t xml:space="preserve">需要更稳的数据库和备份策略。</w:t>
      </w:r>
    </w:p>
    <w:p>
      <w:pPr>
        <w:numPr>
          <w:ilvl w:val="0"/>
          <w:numId w:val="1015"/>
        </w:numPr>
        <w:pStyle w:val="Compact"/>
      </w:pPr>
      <w:r>
        <w:t xml:space="preserve">需要降低运维偶发风险。</w:t>
      </w:r>
    </w:p>
    <w:p>
      <w:pPr>
        <w:pStyle w:val="FirstParagraph"/>
      </w:pPr>
      <w:r>
        <w:t xml:space="preserve">建议配置：</w:t>
      </w:r>
    </w:p>
    <w:p>
      <w:pPr>
        <w:numPr>
          <w:ilvl w:val="0"/>
          <w:numId w:val="1016"/>
        </w:numPr>
        <w:pStyle w:val="Compact"/>
      </w:pPr>
      <w:r>
        <w:t xml:space="preserve">1 台 2 核 4GB 或 4 核 8GB 应用服务器。</w:t>
      </w:r>
    </w:p>
    <w:p>
      <w:pPr>
        <w:numPr>
          <w:ilvl w:val="0"/>
          <w:numId w:val="1016"/>
        </w:numPr>
        <w:pStyle w:val="Compact"/>
      </w:pPr>
      <w:r>
        <w:t xml:space="preserve">托管 MySQL 数据库。</w:t>
      </w:r>
    </w:p>
    <w:p>
      <w:pPr>
        <w:numPr>
          <w:ilvl w:val="0"/>
          <w:numId w:val="1016"/>
        </w:numPr>
        <w:pStyle w:val="Compact"/>
      </w:pPr>
      <w:r>
        <w:t xml:space="preserve">正式 SSL 证书。</w:t>
      </w:r>
    </w:p>
    <w:p>
      <w:pPr>
        <w:numPr>
          <w:ilvl w:val="0"/>
          <w:numId w:val="1016"/>
        </w:numPr>
        <w:pStyle w:val="Compact"/>
      </w:pPr>
      <w:r>
        <w:t xml:space="preserve">独立上传目录、备份和基本监控。</w:t>
      </w:r>
    </w:p>
    <w:p>
      <w:pPr>
        <w:pStyle w:val="FirstParagraph"/>
      </w:pPr>
      <w:r>
        <w:t xml:space="preserve">成本判断：</w:t>
      </w:r>
    </w:p>
    <w:p>
      <w:pPr>
        <w:numPr>
          <w:ilvl w:val="0"/>
          <w:numId w:val="1017"/>
        </w:numPr>
        <w:pStyle w:val="Compact"/>
      </w:pPr>
      <w:r>
        <w:t xml:space="preserve">腾讯云轻量应用服务器 4 核 8GB / 180GB 当前公开价格约为 245 元/月、2499 元/年。[5]</w:t>
      </w:r>
    </w:p>
    <w:p>
      <w:pPr>
        <w:numPr>
          <w:ilvl w:val="0"/>
          <w:numId w:val="1017"/>
        </w:numPr>
        <w:pStyle w:val="Compact"/>
      </w:pPr>
      <w:r>
        <w:t xml:space="preserve">腾讯云托管 MySQL 官方产品页明确提供分钟级部署、自动化运维、备份和高可用能力，但现金成本会明显高于自建 MySQL。[8]</w:t>
      </w:r>
    </w:p>
    <w:p>
      <w:pPr>
        <w:pStyle w:val="FirstParagraph"/>
      </w:pPr>
      <w:r>
        <w:t xml:space="preserve">保守估计：</w:t>
      </w:r>
    </w:p>
    <w:p>
      <w:pPr>
        <w:numPr>
          <w:ilvl w:val="0"/>
          <w:numId w:val="1018"/>
        </w:numPr>
        <w:pStyle w:val="Compact"/>
      </w:pPr>
      <w:r>
        <w:t xml:space="preserve">可按约 0.6 万至 1.5 万元/年预留基础资源预算。</w:t>
      </w:r>
    </w:p>
    <w:p>
      <w:pPr>
        <w:numPr>
          <w:ilvl w:val="0"/>
          <w:numId w:val="1018"/>
        </w:numPr>
        <w:pStyle w:val="Compact"/>
      </w:pPr>
      <w:r>
        <w:t xml:space="preserve">若学校已有可复用服务器、数据库和域名资源，现金成本可下降，但运维责任不会消失。</w:t>
      </w:r>
    </w:p>
    <w:bookmarkEnd w:id="25"/>
    <w:bookmarkStart w:id="26" w:name="运维成本"/>
    <w:p>
      <w:pPr>
        <w:pStyle w:val="Heading2"/>
      </w:pPr>
      <w:r>
        <w:t xml:space="preserve">5.3 运维成本</w:t>
      </w:r>
    </w:p>
    <w:p>
      <w:pPr>
        <w:pStyle w:val="FirstParagraph"/>
      </w:pPr>
      <w:r>
        <w:t xml:space="preserve">正式试运行前，至少要有人承担以下工作：</w:t>
      </w:r>
    </w:p>
    <w:p>
      <w:pPr>
        <w:numPr>
          <w:ilvl w:val="0"/>
          <w:numId w:val="1019"/>
        </w:numPr>
        <w:pStyle w:val="Compact"/>
      </w:pPr>
      <w:r>
        <w:t xml:space="preserve">域名、证书、备案和到期处理。</w:t>
      </w:r>
    </w:p>
    <w:p>
      <w:pPr>
        <w:numPr>
          <w:ilvl w:val="0"/>
          <w:numId w:val="1019"/>
        </w:numPr>
        <w:pStyle w:val="Compact"/>
      </w:pPr>
      <w:r>
        <w:t xml:space="preserve">数据库备份与恢复。</w:t>
      </w:r>
    </w:p>
    <w:p>
      <w:pPr>
        <w:numPr>
          <w:ilvl w:val="0"/>
          <w:numId w:val="1019"/>
        </w:numPr>
        <w:pStyle w:val="Compact"/>
      </w:pPr>
      <w:r>
        <w:t xml:space="preserve">上传文件备份。</w:t>
      </w:r>
    </w:p>
    <w:p>
      <w:pPr>
        <w:numPr>
          <w:ilvl w:val="0"/>
          <w:numId w:val="1019"/>
        </w:numPr>
        <w:pStyle w:val="Compact"/>
      </w:pPr>
      <w:r>
        <w:t xml:space="preserve">配置变更和故障排查。</w:t>
      </w:r>
    </w:p>
    <w:p>
      <w:pPr>
        <w:numPr>
          <w:ilvl w:val="0"/>
          <w:numId w:val="1019"/>
        </w:numPr>
        <w:pStyle w:val="Compact"/>
      </w:pPr>
      <w:r>
        <w:t xml:space="preserve">微信平台、小程序域名、WebView 域名配置。</w:t>
      </w:r>
    </w:p>
    <w:p>
      <w:pPr>
        <w:pStyle w:val="FirstParagraph"/>
      </w:pPr>
      <w:r>
        <w:t xml:space="preserve">保守看，运维成本主要不是服务器费用，而是持续的配置维护和回归测试工作量。</w:t>
      </w:r>
    </w:p>
    <w:bookmarkEnd w:id="26"/>
    <w:bookmarkEnd w:id="27"/>
    <w:bookmarkStart w:id="28" w:name="六难点"/>
    <w:p>
      <w:pPr>
        <w:pStyle w:val="Heading1"/>
      </w:pPr>
      <w:r>
        <w:t xml:space="preserve">六、难点</w:t>
      </w:r>
    </w:p>
    <w:p>
      <w:pPr>
        <w:numPr>
          <w:ilvl w:val="0"/>
          <w:numId w:val="1020"/>
        </w:numPr>
        <w:pStyle w:val="Compact"/>
      </w:pPr>
      <w:r>
        <w:t xml:space="preserve">二十五个步骤的字段边界尚未逐项定稿。</w:t>
      </w:r>
    </w:p>
    <w:p>
      <w:pPr>
        <w:numPr>
          <w:ilvl w:val="0"/>
          <w:numId w:val="1020"/>
        </w:numPr>
        <w:pStyle w:val="Compact"/>
      </w:pPr>
      <w:r>
        <w:t xml:space="preserve">角色边界和组织层级口径仍需继续确认。</w:t>
      </w:r>
    </w:p>
    <w:p>
      <w:pPr>
        <w:numPr>
          <w:ilvl w:val="0"/>
          <w:numId w:val="1020"/>
        </w:numPr>
        <w:pStyle w:val="Compact"/>
      </w:pPr>
      <w:r>
        <w:t xml:space="preserve">Excel 导入导出模板尚未制度化。</w:t>
      </w:r>
    </w:p>
    <w:p>
      <w:pPr>
        <w:numPr>
          <w:ilvl w:val="0"/>
          <w:numId w:val="1020"/>
        </w:numPr>
        <w:pStyle w:val="Compact"/>
      </w:pPr>
      <w:r>
        <w:t xml:space="preserve">敏感信息较多，正式投用前的安全和审计要求会明显提高。</w:t>
      </w:r>
    </w:p>
    <w:p>
      <w:pPr>
        <w:numPr>
          <w:ilvl w:val="0"/>
          <w:numId w:val="1020"/>
        </w:numPr>
        <w:pStyle w:val="Compact"/>
      </w:pPr>
      <w:r>
        <w:t xml:space="preserve">小程序正式投用仍受 HTTPS、备案、微信平台配置等外部条件约束。</w:t>
      </w:r>
    </w:p>
    <w:bookmarkEnd w:id="28"/>
    <w:bookmarkStart w:id="29" w:name="七验收建议"/>
    <w:p>
      <w:pPr>
        <w:pStyle w:val="Heading1"/>
      </w:pPr>
      <w:r>
        <w:t xml:space="preserve">七、验收建议</w:t>
      </w:r>
    </w:p>
    <w:p>
      <w:pPr>
        <w:pStyle w:val="FirstParagraph"/>
      </w:pPr>
      <w:r>
        <w:t xml:space="preserve">建议分三步推进：</w:t>
      </w:r>
    </w:p>
    <w:p>
      <w:pPr>
        <w:numPr>
          <w:ilvl w:val="0"/>
          <w:numId w:val="1021"/>
        </w:numPr>
        <w:pStyle w:val="Compact"/>
      </w:pPr>
      <w:r>
        <w:t xml:space="preserve">演示验收：角色可登录、流程可展示、关键步骤可提交或审核、后台可查看台账和导出基础报表。</w:t>
      </w:r>
    </w:p>
    <w:p>
      <w:pPr>
        <w:numPr>
          <w:ilvl w:val="0"/>
          <w:numId w:val="1021"/>
        </w:numPr>
        <w:pStyle w:val="Compact"/>
      </w:pPr>
      <w:r>
        <w:t xml:space="preserve">试运行验收：角色边界明确、字段口径确认、导入导出模板确定、HTTPS 和备份策略可用。</w:t>
      </w:r>
    </w:p>
    <w:p>
      <w:pPr>
        <w:numPr>
          <w:ilvl w:val="0"/>
          <w:numId w:val="1021"/>
        </w:numPr>
        <w:pStyle w:val="Compact"/>
      </w:pPr>
      <w:r>
        <w:t xml:space="preserve">正式投用验收：二十五步全部固化、真实环境稳定、备份审计安全达到基本要求。</w:t>
      </w:r>
    </w:p>
    <w:bookmarkEnd w:id="29"/>
    <w:bookmarkStart w:id="31" w:name="八数据流图"/>
    <w:p>
      <w:pPr>
        <w:pStyle w:val="Heading1"/>
      </w:pPr>
      <w:r>
        <w:t xml:space="preserve">八、数据流图</w:t>
      </w:r>
    </w:p>
    <w:p>
      <w:pPr>
        <w:pStyle w:val="CaptionedFigure"/>
      </w:pPr>
      <w:r>
        <w:drawing>
          <wp:inline>
            <wp:extent cx="5334000" cy="3318933"/>
            <wp:effectExtent b="0" l="0" r="0" t="0"/>
            <wp:docPr descr="数据流图" title="" id="1" name="Picture"/>
            <a:graphic>
              <a:graphicData uri="http://schemas.openxmlformats.org/drawingml/2006/picture">
                <pic:pic>
                  <pic:nvPicPr>
                    <pic:cNvPr descr="assets/report-df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数据流图</w:t>
      </w:r>
    </w:p>
    <w:bookmarkEnd w:id="31"/>
    <w:bookmarkStart w:id="33" w:name="九er-图"/>
    <w:p>
      <w:pPr>
        <w:pStyle w:val="Heading1"/>
      </w:pPr>
      <w:r>
        <w:t xml:space="preserve">九、ER 图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ER 图" title="" id="1" name="Picture"/>
            <a:graphic>
              <a:graphicData uri="http://schemas.openxmlformats.org/drawingml/2006/picture">
                <pic:pic>
                  <pic:nvPicPr>
                    <pic:cNvPr descr="assets/report-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 图</w:t>
      </w:r>
    </w:p>
    <w:bookmarkEnd w:id="33"/>
    <w:bookmarkStart w:id="34" w:name="十下一步建议"/>
    <w:p>
      <w:pPr>
        <w:pStyle w:val="Heading1"/>
      </w:pPr>
      <w:r>
        <w:t xml:space="preserve">十、下一步建议</w:t>
      </w:r>
    </w:p>
    <w:p>
      <w:pPr>
        <w:numPr>
          <w:ilvl w:val="0"/>
          <w:numId w:val="1022"/>
        </w:numPr>
        <w:pStyle w:val="Compact"/>
      </w:pPr>
      <w:r>
        <w:t xml:space="preserve">先把二十五个步骤的字段、状态、退回口径逐项定稿。</w:t>
      </w:r>
    </w:p>
    <w:p>
      <w:pPr>
        <w:numPr>
          <w:ilvl w:val="0"/>
          <w:numId w:val="1022"/>
        </w:numPr>
        <w:pStyle w:val="Compact"/>
      </w:pPr>
      <w:r>
        <w:t xml:space="preserve">明确各角色的数据范围和操作边界。</w:t>
      </w:r>
    </w:p>
    <w:p>
      <w:pPr>
        <w:numPr>
          <w:ilvl w:val="0"/>
          <w:numId w:val="1022"/>
        </w:numPr>
        <w:pStyle w:val="Compact"/>
      </w:pPr>
      <w:r>
        <w:t xml:space="preserve">固化 Excel 模板和错误反馈规则。</w:t>
      </w:r>
    </w:p>
    <w:p>
      <w:pPr>
        <w:numPr>
          <w:ilvl w:val="0"/>
          <w:numId w:val="1022"/>
        </w:numPr>
        <w:pStyle w:val="Compact"/>
      </w:pPr>
      <w:r>
        <w:t xml:space="preserve">补齐备份、审计、日志和账号安全要求。</w:t>
      </w:r>
    </w:p>
    <w:p>
      <w:pPr>
        <w:numPr>
          <w:ilvl w:val="0"/>
          <w:numId w:val="1022"/>
        </w:numPr>
        <w:pStyle w:val="Compact"/>
      </w:pPr>
      <w:r>
        <w:t xml:space="preserve">以</w:t>
      </w:r>
      <w:r>
        <w:t xml:space="preserve">“</w:t>
      </w:r>
      <w:r>
        <w:t xml:space="preserve">试运行</w:t>
      </w:r>
      <w:r>
        <w:t xml:space="preserve">”</w:t>
      </w:r>
      <w:r>
        <w:t xml:space="preserve">为近期目标，不宜直接按</w:t>
      </w:r>
      <w:r>
        <w:t xml:space="preserve">“</w:t>
      </w:r>
      <w:r>
        <w:t xml:space="preserve">正式上线</w:t>
      </w:r>
      <w:r>
        <w:t xml:space="preserve">”</w:t>
      </w:r>
      <w:r>
        <w:t xml:space="preserve">推动。</w:t>
      </w:r>
    </w:p>
    <w:bookmarkEnd w:id="34"/>
    <w:bookmarkStart w:id="43" w:name="参考依据"/>
    <w:p>
      <w:pPr>
        <w:pStyle w:val="Heading1"/>
      </w:pPr>
      <w:r>
        <w:t xml:space="preserve">参考依据</w:t>
      </w:r>
    </w:p>
    <w:p>
      <w:pPr>
        <w:numPr>
          <w:ilvl w:val="0"/>
          <w:numId w:val="1023"/>
        </w:numPr>
        <w:pStyle w:val="Compact"/>
      </w:pPr>
      <w:r>
        <w:t xml:space="preserve">原始设计要求：《党员发展流程.docx》。</w:t>
      </w:r>
    </w:p>
    <w:p>
      <w:pPr>
        <w:numPr>
          <w:ilvl w:val="0"/>
          <w:numId w:val="1023"/>
        </w:numPr>
        <w:pStyle w:val="Compact"/>
      </w:pPr>
      <w:r>
        <w:t xml:space="preserve">当前项目代码与仓库文档。</w:t>
      </w:r>
    </w:p>
    <w:p>
      <w:pPr>
        <w:numPr>
          <w:ilvl w:val="0"/>
          <w:numId w:val="1023"/>
        </w:numPr>
        <w:pStyle w:val="Compact"/>
      </w:pPr>
      <w:r>
        <w:t xml:space="preserve">河南师范大学各类在校生数量（截至 2024 年 12 月）：</w:t>
      </w:r>
      <w:hyperlink r:id="rId35">
        <w:r>
          <w:rPr>
            <w:rStyle w:val="Hyperlink"/>
          </w:rPr>
          <w:t xml:space="preserve">https://www.htu.edu.cn/xwxxgk/2025/0424/c8489a343374/page.htm</w:t>
        </w:r>
      </w:hyperlink>
    </w:p>
    <w:p>
      <w:pPr>
        <w:numPr>
          <w:ilvl w:val="0"/>
          <w:numId w:val="1023"/>
        </w:numPr>
        <w:pStyle w:val="Compact"/>
      </w:pPr>
      <w:r>
        <w:t xml:space="preserve">关于举办 2022 年上半年入党积极分子培训班的通知：</w:t>
      </w:r>
      <w:hyperlink r:id="rId36">
        <w:r>
          <w:rPr>
            <w:rStyle w:val="Hyperlink"/>
          </w:rPr>
          <w:t xml:space="preserve">https://www.htu.edu.cn/zzb/2022/0330/c17150a238477/page.htm</w:t>
        </w:r>
      </w:hyperlink>
    </w:p>
    <w:p>
      <w:pPr>
        <w:numPr>
          <w:ilvl w:val="0"/>
          <w:numId w:val="1023"/>
        </w:numPr>
        <w:pStyle w:val="Compact"/>
      </w:pPr>
      <w:r>
        <w:t xml:space="preserve">关于举办 2024 年上半年入党积极分子培训班的通知：</w:t>
      </w:r>
      <w:hyperlink r:id="rId37">
        <w:r>
          <w:rPr>
            <w:rStyle w:val="Hyperlink"/>
          </w:rPr>
          <w:t xml:space="preserve">https://www.htu.edu.cn/zzb/2024/0318/c17150a308424/page.htm</w:t>
        </w:r>
      </w:hyperlink>
    </w:p>
    <w:p>
      <w:pPr>
        <w:numPr>
          <w:ilvl w:val="0"/>
          <w:numId w:val="1023"/>
        </w:numPr>
        <w:pStyle w:val="Compact"/>
      </w:pPr>
      <w:r>
        <w:t xml:space="preserve">关于举办 2025 年上半年党员发展对象培训班的通知：</w:t>
      </w:r>
      <w:hyperlink r:id="rId38">
        <w:r>
          <w:rPr>
            <w:rStyle w:val="Hyperlink"/>
          </w:rPr>
          <w:t xml:space="preserve">https://www.htu.edu.cn/zzb/2025/0409/c1524a341605/page.htm</w:t>
        </w:r>
      </w:hyperlink>
    </w:p>
    <w:p>
      <w:pPr>
        <w:numPr>
          <w:ilvl w:val="0"/>
          <w:numId w:val="1023"/>
        </w:numPr>
        <w:pStyle w:val="Compact"/>
      </w:pPr>
      <w:r>
        <w:t xml:space="preserve">腾讯云轻量应用服务器定价页：</w:t>
      </w:r>
      <w:hyperlink r:id="rId39">
        <w:r>
          <w:rPr>
            <w:rStyle w:val="Hyperlink"/>
          </w:rPr>
          <w:t xml:space="preserve">https://cloud.tencent.com/product/lighthouse/pricing</w:t>
        </w:r>
      </w:hyperlink>
    </w:p>
    <w:p>
      <w:pPr>
        <w:numPr>
          <w:ilvl w:val="0"/>
          <w:numId w:val="1023"/>
        </w:numPr>
        <w:pStyle w:val="Compact"/>
      </w:pPr>
      <w:r>
        <w:t xml:space="preserve">腾讯云免费 SSL 证书概述：</w:t>
      </w:r>
      <w:hyperlink r:id="rId40">
        <w:r>
          <w:rPr>
            <w:rStyle w:val="Hyperlink"/>
          </w:rPr>
          <w:t xml:space="preserve">https://cloud.tencent.com/document/product/400/89868</w:t>
        </w:r>
      </w:hyperlink>
    </w:p>
    <w:p>
      <w:pPr>
        <w:numPr>
          <w:ilvl w:val="0"/>
          <w:numId w:val="1023"/>
        </w:numPr>
        <w:pStyle w:val="Compact"/>
      </w:pPr>
      <w:r>
        <w:t xml:space="preserve">腾讯云备案云资源说明：</w:t>
      </w:r>
      <w:hyperlink r:id="rId41">
        <w:r>
          <w:rPr>
            <w:rStyle w:val="Hyperlink"/>
          </w:rPr>
          <w:t xml:space="preserve">https://cloud.tencent.com/document/product/243/18908</w:t>
        </w:r>
      </w:hyperlink>
    </w:p>
    <w:p>
      <w:pPr>
        <w:numPr>
          <w:ilvl w:val="0"/>
          <w:numId w:val="1023"/>
        </w:numPr>
        <w:pStyle w:val="Compact"/>
      </w:pPr>
      <w:r>
        <w:t xml:space="preserve">腾讯云云数据库 MySQL 产品页：</w:t>
      </w:r>
      <w:hyperlink r:id="rId42">
        <w:r>
          <w:rPr>
            <w:rStyle w:val="Hyperlink"/>
          </w:rPr>
          <w:t xml:space="preserve">https://cloud.tencent.com/product/cdb</w:t>
        </w:r>
      </w:hyperlink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C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hyperlink" Id="rId41" Target="https://cloud.tencent.com/document/product/243/18908" TargetMode="External" /><Relationship Type="http://schemas.openxmlformats.org/officeDocument/2006/relationships/hyperlink" Id="rId40" Target="https://cloud.tencent.com/document/product/400/89868" TargetMode="External" /><Relationship Type="http://schemas.openxmlformats.org/officeDocument/2006/relationships/hyperlink" Id="rId42" Target="https://cloud.tencent.com/product/cdb" TargetMode="External" /><Relationship Type="http://schemas.openxmlformats.org/officeDocument/2006/relationships/hyperlink" Id="rId39" Target="https://cloud.tencent.com/product/lighthouse/pricing" TargetMode="External" /><Relationship Type="http://schemas.openxmlformats.org/officeDocument/2006/relationships/hyperlink" Id="rId35" Target="https://www.htu.edu.cn/xwxxgk/2025/0424/c8489a343374/page.htm" TargetMode="External" /><Relationship Type="http://schemas.openxmlformats.org/officeDocument/2006/relationships/hyperlink" Id="rId36" Target="https://www.htu.edu.cn/zzb/2022/0330/c17150a238477/page.htm" TargetMode="External" /><Relationship Type="http://schemas.openxmlformats.org/officeDocument/2006/relationships/hyperlink" Id="rId37" Target="https://www.htu.edu.cn/zzb/2024/0318/c17150a308424/page.htm" TargetMode="External" /><Relationship Type="http://schemas.openxmlformats.org/officeDocument/2006/relationships/hyperlink" Id="rId38" Target="https://www.htu.edu.cn/zzb/2025/0409/c1524a341605/page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cloud.tencent.com/document/product/243/18908" TargetMode="External" /><Relationship Type="http://schemas.openxmlformats.org/officeDocument/2006/relationships/hyperlink" Id="rId40" Target="https://cloud.tencent.com/document/product/400/89868" TargetMode="External" /><Relationship Type="http://schemas.openxmlformats.org/officeDocument/2006/relationships/hyperlink" Id="rId42" Target="https://cloud.tencent.com/product/cdb" TargetMode="External" /><Relationship Type="http://schemas.openxmlformats.org/officeDocument/2006/relationships/hyperlink" Id="rId39" Target="https://cloud.tencent.com/product/lighthouse/pricing" TargetMode="External" /><Relationship Type="http://schemas.openxmlformats.org/officeDocument/2006/relationships/hyperlink" Id="rId35" Target="https://www.htu.edu.cn/xwxxgk/2025/0424/c8489a343374/page.htm" TargetMode="External" /><Relationship Type="http://schemas.openxmlformats.org/officeDocument/2006/relationships/hyperlink" Id="rId36" Target="https://www.htu.edu.cn/zzb/2022/0330/c17150a238477/page.htm" TargetMode="External" /><Relationship Type="http://schemas.openxmlformats.org/officeDocument/2006/relationships/hyperlink" Id="rId37" Target="https://www.htu.edu.cn/zzb/2024/0318/c17150a308424/page.htm" TargetMode="External" /><Relationship Type="http://schemas.openxmlformats.org/officeDocument/2006/relationships/hyperlink" Id="rId38" Target="https://www.htu.edu.cn/zzb/2025/0409/c1524a341605/page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党员发展管理小程序进展汇报（简版）</dc:title>
  <dc:creator>项目组</dc:creator>
  <dc:language>zh-CN</dc:language>
  <cp:keywords/>
  <dcterms:created xsi:type="dcterms:W3CDTF">2026-04-19T10:19:26Z</dcterms:created>
  <dcterms:modified xsi:type="dcterms:W3CDTF">2026-04-19T10:19:26Z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2026-04-19</vt:lpwstr>
  </property>
</Properties>
</file>