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FB7C" w14:textId="77777777" w:rsidR="00FB7350" w:rsidRPr="00A3667F" w:rsidRDefault="00252232" w:rsidP="00A3667F">
      <w:pPr>
        <w:spacing w:line="480" w:lineRule="auto"/>
      </w:pPr>
      <w:r w:rsidRPr="00A3667F">
        <w:t>Lukas Brkovic Leighton</w:t>
      </w:r>
    </w:p>
    <w:p w14:paraId="1843981F" w14:textId="77777777" w:rsidR="00FB7350" w:rsidRPr="00A3667F" w:rsidRDefault="00252232" w:rsidP="00A3667F">
      <w:pPr>
        <w:spacing w:line="480" w:lineRule="auto"/>
      </w:pPr>
      <w:r w:rsidRPr="00A3667F">
        <w:t>CS-330: Computational Graphics and Visualization</w:t>
      </w:r>
    </w:p>
    <w:p w14:paraId="742F8918" w14:textId="77777777" w:rsidR="00FB7350" w:rsidRPr="00A3667F" w:rsidRDefault="00252232" w:rsidP="00A3667F">
      <w:pPr>
        <w:spacing w:line="480" w:lineRule="auto"/>
      </w:pPr>
      <w:r w:rsidRPr="00A3667F">
        <w:t>Southern New Hampshire University</w:t>
      </w:r>
    </w:p>
    <w:p w14:paraId="5EAB4186" w14:textId="77777777" w:rsidR="00FB7350" w:rsidRPr="00A3667F" w:rsidRDefault="00252232" w:rsidP="00A3667F">
      <w:pPr>
        <w:spacing w:after="200" w:line="480" w:lineRule="auto"/>
      </w:pPr>
      <w:r w:rsidRPr="00A3667F">
        <w:t>April 13, 2026</w:t>
      </w:r>
    </w:p>
    <w:p w14:paraId="6AFD896B" w14:textId="77777777" w:rsidR="00FB7350" w:rsidRPr="00A3667F" w:rsidRDefault="00252232" w:rsidP="00A3667F">
      <w:pPr>
        <w:spacing w:after="360" w:line="480" w:lineRule="auto"/>
        <w:jc w:val="center"/>
      </w:pPr>
      <w:r w:rsidRPr="00A3667F">
        <w:rPr>
          <w:b/>
          <w:bCs/>
        </w:rPr>
        <w:t>Design Decisions: Computer Monitor Desk Scene</w:t>
      </w:r>
    </w:p>
    <w:p w14:paraId="1B8DC29D" w14:textId="77777777" w:rsidR="00FB7350" w:rsidRPr="00A3667F" w:rsidRDefault="00252232" w:rsidP="00A3667F">
      <w:pPr>
        <w:pStyle w:val="Heading1"/>
        <w:spacing w:line="480" w:lineRule="auto"/>
        <w:rPr>
          <w:sz w:val="24"/>
          <w:szCs w:val="24"/>
        </w:rPr>
      </w:pPr>
      <w:r w:rsidRPr="00A3667F">
        <w:rPr>
          <w:sz w:val="24"/>
          <w:szCs w:val="24"/>
        </w:rPr>
        <w:t>Development Choices</w:t>
      </w:r>
    </w:p>
    <w:p w14:paraId="286FB483" w14:textId="58FC4230" w:rsidR="00FB7350" w:rsidRPr="00A3667F" w:rsidRDefault="00A3667F" w:rsidP="00A3667F">
      <w:pPr>
        <w:spacing w:after="200" w:line="480" w:lineRule="auto"/>
      </w:pPr>
      <w:r>
        <w:t xml:space="preserve"> </w:t>
      </w:r>
      <w:r>
        <w:tab/>
      </w:r>
      <w:r w:rsidR="00252232" w:rsidRPr="00A3667F">
        <w:t>The goal of this project was to recreate a 3D version of a 2D photograph depicting a computer monitor sitting on a desk. I selected this image because it presented a clear opportunity to combine multiple primitive shapes into a recognizable, real-world object while also building a surrounding environment that grounds the scene. The monitor itself is a complex object assembled from several primitives: a box for the outer housing, a second thinner box for the inner bezel frame, a cylinder for the screen surfa</w:t>
      </w:r>
      <w:r w:rsidR="00252232" w:rsidRPr="00A3667F">
        <w:t xml:space="preserve">ce, a cylinder for the </w:t>
      </w:r>
      <w:proofErr w:type="gramStart"/>
      <w:r w:rsidR="00252232" w:rsidRPr="00A3667F">
        <w:t>stand</w:t>
      </w:r>
      <w:proofErr w:type="gramEnd"/>
      <w:r w:rsidR="00252232" w:rsidRPr="00A3667F">
        <w:t xml:space="preserve"> base, and a narrower cylinder for the neck connecting the base to the monitor body. By composing the monitor from five separate shapes, I was able to practice affine transformations extensively, scaling each piece independently and positioning them precisely relative to one another so they appear as a single cohesive object.</w:t>
      </w:r>
    </w:p>
    <w:p w14:paraId="606CD743" w14:textId="4332ED52" w:rsidR="00FB7350" w:rsidRPr="00A3667F" w:rsidRDefault="00A3667F" w:rsidP="00A3667F">
      <w:pPr>
        <w:spacing w:after="200" w:line="480" w:lineRule="auto"/>
      </w:pPr>
      <w:r>
        <w:t xml:space="preserve"> </w:t>
      </w:r>
      <w:r>
        <w:tab/>
      </w:r>
      <w:r w:rsidR="00252232" w:rsidRPr="00A3667F">
        <w:t>The desk surface is a box with a wood plank texture tiled across it using UV scaling to prevent stretching. I chose a box instead of a plane for the desk so that it would have visible thickness, which prevents smaller objects like the mouse from clipping through the surface. Beneath the desk I added four tapered cylinders as table legs, which introduced a new primitive shape and gave the desk a realistic furniture appearance. The tapered cylinder shape naturally narrows from top to bottom, which is characte</w:t>
      </w:r>
      <w:r w:rsidR="00252232" w:rsidRPr="00A3667F">
        <w:t xml:space="preserve">ristic of many real desk and table designs. I </w:t>
      </w:r>
      <w:r w:rsidR="00252232" w:rsidRPr="00A3667F">
        <w:lastRenderedPageBreak/>
        <w:t xml:space="preserve">positioned the legs </w:t>
      </w:r>
      <w:proofErr w:type="gramStart"/>
      <w:r w:rsidR="00252232" w:rsidRPr="00A3667F">
        <w:t>inset</w:t>
      </w:r>
      <w:proofErr w:type="gramEnd"/>
      <w:r w:rsidR="00252232" w:rsidRPr="00A3667F">
        <w:t xml:space="preserve"> slightly from each corner of the </w:t>
      </w:r>
      <w:proofErr w:type="gramStart"/>
      <w:r w:rsidR="00252232" w:rsidRPr="00A3667F">
        <w:t>desk</w:t>
      </w:r>
      <w:proofErr w:type="gramEnd"/>
      <w:r w:rsidR="00252232" w:rsidRPr="00A3667F">
        <w:t xml:space="preserve"> so they look structurally plausible when the camera orbits the scene.</w:t>
      </w:r>
    </w:p>
    <w:p w14:paraId="4A8AFEBB" w14:textId="5B99333D" w:rsidR="00FB7350" w:rsidRPr="00A3667F" w:rsidRDefault="00A3667F" w:rsidP="00A3667F">
      <w:pPr>
        <w:spacing w:after="200" w:line="480" w:lineRule="auto"/>
      </w:pPr>
      <w:r>
        <w:t xml:space="preserve"> </w:t>
      </w:r>
      <w:r>
        <w:tab/>
      </w:r>
      <w:r w:rsidR="00252232" w:rsidRPr="00A3667F">
        <w:t>To fill the desk with additional objects and increase the variety of primitive shapes used, I added a keyboard and a mouse. The keyboard is a flat, dark-colored box placed in front of the monitor, while the mouse is a half-sphere positioned to the right of the keyboard. I used a thin cylinder at the base of the mouse to seal the hollow bottom of the half-sphere, creating a solid-looking peripheral. This approach demonstrates how multiple instances of the same primitive, combined with careful positioning and</w:t>
      </w:r>
      <w:r w:rsidR="00252232" w:rsidRPr="00A3667F">
        <w:t xml:space="preserve"> scaling, can produce more complex geometry without requiring custom mesh data. Finally, I enclosed the scene in a room by adding a floor plane beneath the table legs and a back wall plane rotated 90 degrees on the X </w:t>
      </w:r>
      <w:proofErr w:type="gramStart"/>
      <w:r w:rsidR="00252232" w:rsidRPr="00A3667F">
        <w:t>axis</w:t>
      </w:r>
      <w:proofErr w:type="gramEnd"/>
      <w:r w:rsidR="00252232" w:rsidRPr="00A3667F">
        <w:t xml:space="preserve"> so it stands vertically behind the desk. Each surface received its own texture: a hardwood floor texture for the ground and a plaster wall texture for the back wall, both sourced as royalty-free CC0 images from Poly Haven (Poly Haven, n.d.). These additions transformed the scene from objec</w:t>
      </w:r>
      <w:r w:rsidR="00252232" w:rsidRPr="00A3667F">
        <w:t>ts floating in a black void into a recognizable indoor environment, which significantly improved the overall visual quality of the final presentation.</w:t>
      </w:r>
    </w:p>
    <w:p w14:paraId="515B1A28" w14:textId="4B8B21B2" w:rsidR="00FB7350" w:rsidRPr="00A3667F" w:rsidRDefault="00A3667F" w:rsidP="00A3667F">
      <w:pPr>
        <w:spacing w:after="200" w:line="480" w:lineRule="auto"/>
      </w:pPr>
      <w:r>
        <w:t xml:space="preserve"> </w:t>
      </w:r>
      <w:r>
        <w:tab/>
      </w:r>
      <w:r w:rsidR="00252232" w:rsidRPr="00A3667F">
        <w:t xml:space="preserve">One challenge I encountered during development was getting the mouse shape to look correct. The half-sphere primitive is hollow on one side, so depending on the camera angle, the interior was visible. I initially attempted to close it with a mirrored half-sphere using a negative Z </w:t>
      </w:r>
      <w:proofErr w:type="gramStart"/>
      <w:r w:rsidR="00252232" w:rsidRPr="00A3667F">
        <w:t>scale, but</w:t>
      </w:r>
      <w:proofErr w:type="gramEnd"/>
      <w:r w:rsidR="00252232" w:rsidRPr="00A3667F">
        <w:t xml:space="preserve"> ultimately found that a thin cylinder at the base produced a cleaner result. Another challenge was </w:t>
      </w:r>
      <w:proofErr w:type="gramStart"/>
      <w:r w:rsidR="00252232" w:rsidRPr="00A3667F">
        <w:t>the desk</w:t>
      </w:r>
      <w:proofErr w:type="gramEnd"/>
      <w:r w:rsidR="00252232" w:rsidRPr="00A3667F">
        <w:t xml:space="preserve"> thickness; the original plane mesh had no volume, which caused the mouse to clip through the surface. Switching</w:t>
      </w:r>
      <w:r w:rsidR="00252232" w:rsidRPr="00A3667F">
        <w:t xml:space="preserve"> the desk to a box mesh and carefully adjusting its scale resolved this issue. These experiences reinforced the importance of </w:t>
      </w:r>
      <w:proofErr w:type="gramStart"/>
      <w:r w:rsidR="00252232" w:rsidRPr="00A3667F">
        <w:t>iterating on</w:t>
      </w:r>
      <w:proofErr w:type="gramEnd"/>
      <w:r w:rsidR="00252232" w:rsidRPr="00A3667F">
        <w:t xml:space="preserve"> transformations and testing from multiple camera angles before finalizing object placement.</w:t>
      </w:r>
    </w:p>
    <w:p w14:paraId="2F0762A6" w14:textId="77777777" w:rsidR="00FB7350" w:rsidRPr="00A3667F" w:rsidRDefault="00252232" w:rsidP="00A3667F">
      <w:pPr>
        <w:pStyle w:val="Heading1"/>
        <w:spacing w:line="480" w:lineRule="auto"/>
        <w:rPr>
          <w:sz w:val="24"/>
          <w:szCs w:val="24"/>
        </w:rPr>
      </w:pPr>
      <w:r w:rsidRPr="00A3667F">
        <w:rPr>
          <w:sz w:val="24"/>
          <w:szCs w:val="24"/>
        </w:rPr>
        <w:lastRenderedPageBreak/>
        <w:t>Lighting and Materials</w:t>
      </w:r>
    </w:p>
    <w:p w14:paraId="49604648" w14:textId="7AA6B84D" w:rsidR="00FB7350" w:rsidRPr="00A3667F" w:rsidRDefault="00A3667F" w:rsidP="00A3667F">
      <w:pPr>
        <w:spacing w:after="200" w:line="480" w:lineRule="auto"/>
      </w:pPr>
      <w:r>
        <w:t xml:space="preserve"> </w:t>
      </w:r>
      <w:r>
        <w:tab/>
      </w:r>
      <w:r w:rsidR="00252232" w:rsidRPr="00A3667F">
        <w:t xml:space="preserve">The scene uses </w:t>
      </w:r>
      <w:proofErr w:type="gramStart"/>
      <w:r w:rsidR="00252232" w:rsidRPr="00A3667F">
        <w:t>four point</w:t>
      </w:r>
      <w:proofErr w:type="gramEnd"/>
      <w:r w:rsidR="00252232" w:rsidRPr="00A3667F">
        <w:t xml:space="preserve"> light sources configured through the Phong shading model, which calculates ambient, diffuse, and specular components for every fragment (Shreiner et al., 2013). Light 0 is the key light, a warm overhead source positioned high and to the right that provides the primary illumination for the desk and monitor. Light 1 is a cool-toned fill light placed to the front-left, which prevents harsh shadows on the opposite side and adds a subtle blue tint for color contrast. Light 2 is a monito</w:t>
      </w:r>
      <w:r w:rsidR="00252232" w:rsidRPr="00A3667F">
        <w:t xml:space="preserve">r glow light, a dim blue-white accent positioned just in front of the screen to simulate the light that an active display would cast onto the desk and stand. Light 3 is a strong warm overhead light from the opposite side of the key light, ensuring the entire scene remains well-lit when the camera orbits to different angles. Having at least one colored light (the cool blue fill) satisfies the rubric requirement, and the combination of four lights from different positions ensures no part of the scene appears </w:t>
      </w:r>
      <w:r w:rsidR="00252232" w:rsidRPr="00A3667F">
        <w:t>dark regardless of camera orientation.</w:t>
      </w:r>
    </w:p>
    <w:p w14:paraId="0D75190B" w14:textId="4382BB4C" w:rsidR="00FB7350" w:rsidRPr="00A3667F" w:rsidRDefault="00A3667F" w:rsidP="00A3667F">
      <w:pPr>
        <w:spacing w:after="200" w:line="480" w:lineRule="auto"/>
      </w:pPr>
      <w:r>
        <w:t xml:space="preserve"> </w:t>
      </w:r>
      <w:r>
        <w:tab/>
      </w:r>
      <w:r w:rsidR="00252232" w:rsidRPr="00A3667F">
        <w:t>I defined three material types to control how each surface interacts with the lights. The wood material has warm ambient tones and moderate specular reflection with low shininess, simulating a polished or varnished wood finish. The metal material uses neutral gray diffuse values with higher shininess, producing the tight specular highlights characteristic of brushed metallic surfaces on the monitor housing and stand. The screen material has an elevated ambient strength to simulate self-illumination, along w</w:t>
      </w:r>
      <w:r w:rsidR="00252232" w:rsidRPr="00A3667F">
        <w:t>ith high specular values that create glass-like reflections on the display surface. The keyboard and mouse use a solid dark gray color with the metal material applied, giving them a subtle plastic sheen that looks natural under the scene lighting.</w:t>
      </w:r>
    </w:p>
    <w:p w14:paraId="604E6926" w14:textId="77777777" w:rsidR="00FB7350" w:rsidRPr="00A3667F" w:rsidRDefault="00252232" w:rsidP="00A3667F">
      <w:pPr>
        <w:pStyle w:val="Heading1"/>
        <w:spacing w:line="480" w:lineRule="auto"/>
        <w:rPr>
          <w:sz w:val="24"/>
          <w:szCs w:val="24"/>
        </w:rPr>
      </w:pPr>
      <w:r w:rsidRPr="00A3667F">
        <w:rPr>
          <w:sz w:val="24"/>
          <w:szCs w:val="24"/>
        </w:rPr>
        <w:lastRenderedPageBreak/>
        <w:t>Navigation</w:t>
      </w:r>
    </w:p>
    <w:p w14:paraId="3B24D2D0" w14:textId="16AB2995" w:rsidR="00FB7350" w:rsidRPr="00A3667F" w:rsidRDefault="00A3667F" w:rsidP="00A3667F">
      <w:pPr>
        <w:spacing w:after="200" w:line="480" w:lineRule="auto"/>
      </w:pPr>
      <w:r>
        <w:t xml:space="preserve"> </w:t>
      </w:r>
      <w:r>
        <w:tab/>
      </w:r>
      <w:r w:rsidR="00252232" w:rsidRPr="00A3667F">
        <w:t>The camera navigation system allows a user to fully explore the 3D scene using both keyboard and mouse input. The W, A, S, and D keys control forward, left, backward, and right movement respectively, translating the camera position along the horizontal plane. The Q and E keys control vertical movement, allowing the user to raise or lower the camera to view the scene from above or at desk level. Mouse cursor movement controls the camera orientation through pitch and yaw, enabling the user to look up, down, l</w:t>
      </w:r>
      <w:r w:rsidR="00252232" w:rsidRPr="00A3667F">
        <w:t>eft, and right without changing the camera position. The mouse scroll wheel adjusts the movement speed, giving the user finer control when examining small details like the monitor bezel or broader control when surveying the entire room.</w:t>
      </w:r>
    </w:p>
    <w:p w14:paraId="0EB840A5" w14:textId="6B1CA1A4" w:rsidR="00FB7350" w:rsidRPr="00A3667F" w:rsidRDefault="00A3667F" w:rsidP="00A3667F">
      <w:pPr>
        <w:spacing w:after="200" w:line="480" w:lineRule="auto"/>
      </w:pPr>
      <w:r>
        <w:t xml:space="preserve"> </w:t>
      </w:r>
      <w:r>
        <w:tab/>
      </w:r>
      <w:r w:rsidR="00252232" w:rsidRPr="00A3667F">
        <w:t>The application supports switching between perspective and orthographic projection modes by pressing the O key on the keyboard. When the user taps O, the viewport toggles between the two projection types while the camera maintains its current position and orientation. Perspective projection provides the natural depth perception that makes the 3D scene feel realistic, with objects appearing smaller as they recede into the distance. Orthographic projection removes this depth distortion and displays all object</w:t>
      </w:r>
      <w:r w:rsidR="00252232" w:rsidRPr="00A3667F">
        <w:t>s at their true relative sizes regardless of distance from the camera, which is useful for evaluating the alignment and proportions of the scene layout. This toggle is implemented by switching the function call that retrieves the projection matrix: in perspective mode, the application uses a perspective projection matrix with a defined field of view, and in orthographic mode, it uses an orthographic projection matrix that maps the scene without perspective foreshortening. The ability to dynamically switch b</w:t>
      </w:r>
      <w:r w:rsidR="00252232" w:rsidRPr="00A3667F">
        <w:t>etween these two modes at runtime while the simulation is running gives the user a comprehensive way to analyze the 3D scene from both a realistic and a technical perspective.</w:t>
      </w:r>
    </w:p>
    <w:p w14:paraId="4D94AD91" w14:textId="77777777" w:rsidR="00FB7350" w:rsidRPr="00A3667F" w:rsidRDefault="00252232" w:rsidP="00A3667F">
      <w:pPr>
        <w:pStyle w:val="Heading1"/>
        <w:spacing w:line="480" w:lineRule="auto"/>
        <w:rPr>
          <w:sz w:val="24"/>
          <w:szCs w:val="24"/>
        </w:rPr>
      </w:pPr>
      <w:r w:rsidRPr="00A3667F">
        <w:rPr>
          <w:sz w:val="24"/>
          <w:szCs w:val="24"/>
        </w:rPr>
        <w:lastRenderedPageBreak/>
        <w:t>Custom Functions</w:t>
      </w:r>
    </w:p>
    <w:p w14:paraId="5BD37348" w14:textId="65654CB6" w:rsidR="00FB7350" w:rsidRPr="00A3667F" w:rsidRDefault="00A3667F" w:rsidP="00A3667F">
      <w:pPr>
        <w:spacing w:after="200" w:line="480" w:lineRule="auto"/>
      </w:pPr>
      <w:r>
        <w:t xml:space="preserve"> </w:t>
      </w:r>
      <w:r>
        <w:tab/>
      </w:r>
      <w:r w:rsidR="00252232" w:rsidRPr="00A3667F">
        <w:t xml:space="preserve">The codebase is organized into several custom functions that promote modularity and reusability. The </w:t>
      </w:r>
      <w:proofErr w:type="spellStart"/>
      <w:r w:rsidR="00252232" w:rsidRPr="00A3667F">
        <w:t>SetTransformations</w:t>
      </w:r>
      <w:proofErr w:type="spellEnd"/>
      <w:r w:rsidR="00252232" w:rsidRPr="00A3667F">
        <w:t xml:space="preserve"> function accepts scale, rotation, and position parameters and combines them into a single model-view matrix that is sent to the shader. This function is called before every </w:t>
      </w:r>
      <w:proofErr w:type="gramStart"/>
      <w:r w:rsidR="00252232" w:rsidRPr="00A3667F">
        <w:t>draw</w:t>
      </w:r>
      <w:proofErr w:type="gramEnd"/>
      <w:r w:rsidR="00252232" w:rsidRPr="00A3667F">
        <w:t xml:space="preserve"> operation, which means any object in the scene can be independently positioned, rotated, and scaled with a single function call. Because it accepts generic parameters, it is fully reusable for any shape type and co</w:t>
      </w:r>
      <w:r w:rsidR="00252232" w:rsidRPr="00A3667F">
        <w:t>uld be transferred to an entirely different scene without modification.</w:t>
      </w:r>
    </w:p>
    <w:p w14:paraId="59FA88AA" w14:textId="09E076B4" w:rsidR="00FB7350" w:rsidRPr="00A3667F" w:rsidRDefault="00A3667F" w:rsidP="00A3667F">
      <w:pPr>
        <w:spacing w:after="200" w:line="480" w:lineRule="auto"/>
      </w:pPr>
      <w:r>
        <w:t xml:space="preserve"> </w:t>
      </w:r>
      <w:r>
        <w:tab/>
      </w:r>
      <w:r w:rsidR="00252232" w:rsidRPr="00A3667F">
        <w:t xml:space="preserve">The </w:t>
      </w:r>
      <w:proofErr w:type="spellStart"/>
      <w:r w:rsidR="00252232" w:rsidRPr="00A3667F">
        <w:t>SetShaderTexture</w:t>
      </w:r>
      <w:proofErr w:type="spellEnd"/>
      <w:r w:rsidR="00252232" w:rsidRPr="00A3667F">
        <w:t xml:space="preserve"> and </w:t>
      </w:r>
      <w:proofErr w:type="spellStart"/>
      <w:r w:rsidR="00252232" w:rsidRPr="00A3667F">
        <w:t>SetShaderMaterial</w:t>
      </w:r>
      <w:proofErr w:type="spellEnd"/>
      <w:r w:rsidR="00252232" w:rsidRPr="00A3667F">
        <w:t xml:space="preserve"> functions handle the binding of visual properties to the GPU pipeline. </w:t>
      </w:r>
      <w:proofErr w:type="spellStart"/>
      <w:r w:rsidR="00252232" w:rsidRPr="00A3667F">
        <w:t>SetShaderTexture</w:t>
      </w:r>
      <w:proofErr w:type="spellEnd"/>
      <w:r w:rsidR="00252232" w:rsidRPr="00A3667F">
        <w:t xml:space="preserve"> looks up a texture by its string tag and binds it to the active sampler, while </w:t>
      </w:r>
      <w:proofErr w:type="spellStart"/>
      <w:r w:rsidR="00252232" w:rsidRPr="00A3667F">
        <w:t>SetShaderMaterial</w:t>
      </w:r>
      <w:proofErr w:type="spellEnd"/>
      <w:r w:rsidR="00252232" w:rsidRPr="00A3667F">
        <w:t xml:space="preserve"> retrieves a material definition by tag and passes its ambient, diffuse, specular, and shininess values to the fragment shader. This tag-based lookup system means that adding a new texture or material to the scene requires only defining it once in </w:t>
      </w:r>
      <w:proofErr w:type="spellStart"/>
      <w:r w:rsidR="00252232" w:rsidRPr="00A3667F">
        <w:t>PrepareScene</w:t>
      </w:r>
      <w:proofErr w:type="spellEnd"/>
      <w:r w:rsidR="00252232" w:rsidRPr="00A3667F">
        <w:t xml:space="preserve"> or </w:t>
      </w:r>
      <w:proofErr w:type="spellStart"/>
      <w:r w:rsidR="00252232" w:rsidRPr="00A3667F">
        <w:t>DefineObjectMaterials</w:t>
      </w:r>
      <w:proofErr w:type="spellEnd"/>
      <w:r w:rsidR="00252232" w:rsidRPr="00A3667F">
        <w:t xml:space="preserve"> and then referencing it by name anywhere in </w:t>
      </w:r>
      <w:proofErr w:type="spellStart"/>
      <w:r w:rsidR="00252232" w:rsidRPr="00A3667F">
        <w:t>RenderScene</w:t>
      </w:r>
      <w:proofErr w:type="spellEnd"/>
      <w:r w:rsidR="00252232" w:rsidRPr="00A3667F">
        <w:t xml:space="preserve">. The </w:t>
      </w:r>
      <w:proofErr w:type="spellStart"/>
      <w:r w:rsidR="00252232" w:rsidRPr="00A3667F">
        <w:t>SetShaderColor</w:t>
      </w:r>
      <w:proofErr w:type="spellEnd"/>
      <w:r w:rsidR="00252232" w:rsidRPr="00A3667F">
        <w:t xml:space="preserve"> function provides an alternative path for objects that use solid colors instead of textures, such as the keyboard and mouse. If I were to extend this project, I could encapsulate repeated draw patterns into higher-level functions; for example, a </w:t>
      </w:r>
      <w:proofErr w:type="spellStart"/>
      <w:r w:rsidR="00252232" w:rsidRPr="00A3667F">
        <w:t>DrawTableLeg</w:t>
      </w:r>
      <w:proofErr w:type="spellEnd"/>
      <w:r w:rsidR="00252232" w:rsidRPr="00A3667F">
        <w:t xml:space="preserve"> function that accepts only a position and internally sets the scale, texture, and material, since all four legs share identical properties. This kind of encapsulation would red</w:t>
      </w:r>
      <w:r w:rsidR="00252232" w:rsidRPr="00A3667F">
        <w:t xml:space="preserve">uce duplication in </w:t>
      </w:r>
      <w:proofErr w:type="spellStart"/>
      <w:r w:rsidR="00252232" w:rsidRPr="00A3667F">
        <w:t>RenderScene</w:t>
      </w:r>
      <w:proofErr w:type="spellEnd"/>
      <w:r w:rsidR="00252232" w:rsidRPr="00A3667F">
        <w:t xml:space="preserve"> and make it easier to add or rearrange furniture in the scene.</w:t>
      </w:r>
    </w:p>
    <w:p w14:paraId="7B59D718" w14:textId="5C2A12F6" w:rsidR="00FB7350" w:rsidRPr="00A3667F" w:rsidRDefault="00A3667F" w:rsidP="00A3667F">
      <w:pPr>
        <w:spacing w:after="200" w:line="480" w:lineRule="auto"/>
      </w:pPr>
      <w:r>
        <w:t xml:space="preserve"> </w:t>
      </w:r>
      <w:r>
        <w:tab/>
      </w:r>
      <w:r w:rsidR="00252232" w:rsidRPr="00A3667F">
        <w:t xml:space="preserve">The </w:t>
      </w:r>
      <w:proofErr w:type="spellStart"/>
      <w:r w:rsidR="00252232" w:rsidRPr="00A3667F">
        <w:t>PrepareScene</w:t>
      </w:r>
      <w:proofErr w:type="spellEnd"/>
      <w:r w:rsidR="00252232" w:rsidRPr="00A3667F">
        <w:t xml:space="preserve"> function centralizes all one-time setup work: loading mesh data, creating textures, defining materials, and configuring lights. By isolating this initialization from the per-frame </w:t>
      </w:r>
      <w:proofErr w:type="spellStart"/>
      <w:r w:rsidR="00252232" w:rsidRPr="00A3667F">
        <w:t>RenderScene</w:t>
      </w:r>
      <w:proofErr w:type="spellEnd"/>
      <w:r w:rsidR="00252232" w:rsidRPr="00A3667F">
        <w:t xml:space="preserve"> function, the code avoids redundant GPU operations and keeps the </w:t>
      </w:r>
      <w:r w:rsidR="00252232" w:rsidRPr="00A3667F">
        <w:lastRenderedPageBreak/>
        <w:t xml:space="preserve">rendering loop focused solely on drawing. The </w:t>
      </w:r>
      <w:proofErr w:type="spellStart"/>
      <w:r w:rsidR="00252232" w:rsidRPr="00A3667F">
        <w:t>SetupSceneLights</w:t>
      </w:r>
      <w:proofErr w:type="spellEnd"/>
      <w:r w:rsidR="00252232" w:rsidRPr="00A3667F">
        <w:t xml:space="preserve"> and </w:t>
      </w:r>
      <w:proofErr w:type="spellStart"/>
      <w:r w:rsidR="00252232" w:rsidRPr="00A3667F">
        <w:t>DefineObjectMaterials</w:t>
      </w:r>
      <w:proofErr w:type="spellEnd"/>
      <w:r w:rsidR="00252232" w:rsidRPr="00A3667F">
        <w:t xml:space="preserve"> functions further decompose the setup logic into focused, self-contained units. Each of these functions could be extended or replaced independently; </w:t>
      </w:r>
      <w:r w:rsidR="00252232" w:rsidRPr="00A3667F">
        <w:t xml:space="preserve">for example, a different scene could reuse the same lighting setup with entirely different objects, or the same objects could be rendered under different lighting conditions by swapping only the </w:t>
      </w:r>
      <w:proofErr w:type="spellStart"/>
      <w:r w:rsidR="00252232" w:rsidRPr="00A3667F">
        <w:t>SetupSceneLights</w:t>
      </w:r>
      <w:proofErr w:type="spellEnd"/>
      <w:r w:rsidR="00252232" w:rsidRPr="00A3667F">
        <w:t xml:space="preserve"> implementation. This modular design made it straightforward to iterate on the project across milestones, adding new objects, textures, and lights without restructuring existing code.</w:t>
      </w:r>
    </w:p>
    <w:p w14:paraId="409D9ECB" w14:textId="77777777" w:rsidR="00FB7350" w:rsidRPr="00A3667F" w:rsidRDefault="00252232" w:rsidP="00A3667F">
      <w:pPr>
        <w:pageBreakBefore/>
        <w:spacing w:line="480" w:lineRule="auto"/>
      </w:pPr>
      <w:r w:rsidRPr="00A3667F">
        <w:lastRenderedPageBreak/>
        <w:br/>
      </w:r>
    </w:p>
    <w:p w14:paraId="79E19AF3" w14:textId="77777777" w:rsidR="00FB7350" w:rsidRPr="00A3667F" w:rsidRDefault="00252232" w:rsidP="00A3667F">
      <w:pPr>
        <w:spacing w:after="240" w:line="480" w:lineRule="auto"/>
        <w:jc w:val="center"/>
      </w:pPr>
      <w:r w:rsidRPr="00A3667F">
        <w:rPr>
          <w:b/>
          <w:bCs/>
        </w:rPr>
        <w:t>References</w:t>
      </w:r>
    </w:p>
    <w:p w14:paraId="5F0247DF" w14:textId="25665385" w:rsidR="00FB7350" w:rsidRPr="00A3667F" w:rsidRDefault="00252232" w:rsidP="00A3667F">
      <w:pPr>
        <w:spacing w:after="200" w:line="480" w:lineRule="auto"/>
        <w:ind w:left="720" w:hanging="720"/>
        <w:jc w:val="center"/>
      </w:pPr>
      <w:r w:rsidRPr="00A3667F">
        <w:t xml:space="preserve">Khronos Group. (n.d.). OpenGL overview. Khronos Group. </w:t>
      </w:r>
      <w:hyperlink r:id="rId9" w:history="1">
        <w:r w:rsidRPr="00A3667F">
          <w:rPr>
            <w:rStyle w:val="Hyperlink"/>
          </w:rPr>
          <w:t>https://www.opengl.org/about/</w:t>
        </w:r>
      </w:hyperlink>
    </w:p>
    <w:p w14:paraId="758C2FEB" w14:textId="568F38BF" w:rsidR="00FB7350" w:rsidRPr="00A3667F" w:rsidRDefault="00252232" w:rsidP="00A3667F">
      <w:pPr>
        <w:spacing w:after="200" w:line="480" w:lineRule="auto"/>
        <w:ind w:left="720" w:hanging="720"/>
        <w:jc w:val="center"/>
      </w:pPr>
      <w:r w:rsidRPr="00A3667F">
        <w:t xml:space="preserve">de Vries, J. (n.d.). Learn OpenGL: Lighting. </w:t>
      </w:r>
      <w:proofErr w:type="spellStart"/>
      <w:r w:rsidRPr="00A3667F">
        <w:t>LearnOpenGL</w:t>
      </w:r>
      <w:proofErr w:type="spellEnd"/>
      <w:r w:rsidRPr="00A3667F">
        <w:t xml:space="preserve">. </w:t>
      </w:r>
      <w:hyperlink r:id="rId10" w:history="1">
        <w:r w:rsidRPr="00A3667F">
          <w:rPr>
            <w:rStyle w:val="Hyperlink"/>
          </w:rPr>
          <w:t>https://learnopengl.com/Lighting/Basic-Lighting</w:t>
        </w:r>
      </w:hyperlink>
    </w:p>
    <w:p w14:paraId="1E173885" w14:textId="0D09EFEB" w:rsidR="00FB7350" w:rsidRPr="00A3667F" w:rsidRDefault="00252232" w:rsidP="00A3667F">
      <w:pPr>
        <w:spacing w:after="200" w:line="480" w:lineRule="auto"/>
        <w:ind w:left="720" w:hanging="720"/>
        <w:jc w:val="center"/>
      </w:pPr>
      <w:r w:rsidRPr="00A3667F">
        <w:t xml:space="preserve">Poly Haven. (n.d.). Free PBR textures. Poly Haven. </w:t>
      </w:r>
      <w:hyperlink r:id="rId11" w:history="1">
        <w:r w:rsidRPr="00A3667F">
          <w:rPr>
            <w:rStyle w:val="Hyperlink"/>
          </w:rPr>
          <w:t>https://polyhaven.com/textures</w:t>
        </w:r>
      </w:hyperlink>
    </w:p>
    <w:p w14:paraId="7BDFFA63" w14:textId="30896D81" w:rsidR="00FB7350" w:rsidRPr="00A3667F" w:rsidRDefault="00252232" w:rsidP="00A3667F">
      <w:pPr>
        <w:spacing w:after="200" w:line="480" w:lineRule="auto"/>
        <w:ind w:left="720" w:hanging="720"/>
        <w:jc w:val="center"/>
      </w:pPr>
      <w:r w:rsidRPr="00A3667F">
        <w:t xml:space="preserve">Shreiner, D., Sellers, G., Kessenich, J., &amp; Licea-Kane, B. (2013). OpenGL programming guide: The official guide to learning OpenGL, version 4.3 (8th ed.). Addison-Wesley. </w:t>
      </w:r>
      <w:hyperlink r:id="rId12" w:history="1">
        <w:r w:rsidRPr="00A3667F">
          <w:rPr>
            <w:rStyle w:val="Hyperlink"/>
          </w:rPr>
          <w:t>https://www.opengl-redbook.com/</w:t>
        </w:r>
      </w:hyperlink>
    </w:p>
    <w:p w14:paraId="5A95B162" w14:textId="2837AF92" w:rsidR="00FB7350" w:rsidRPr="00A3667F" w:rsidRDefault="00252232" w:rsidP="00A3667F">
      <w:pPr>
        <w:spacing w:after="200" w:line="480" w:lineRule="auto"/>
        <w:ind w:left="720" w:hanging="720"/>
        <w:jc w:val="center"/>
      </w:pPr>
      <w:r w:rsidRPr="00A3667F">
        <w:t xml:space="preserve">GLFW. (n.d.). GLFW: An OpenGL library. GLFW. </w:t>
      </w:r>
      <w:hyperlink r:id="rId13" w:history="1">
        <w:r w:rsidRPr="00A3667F">
          <w:rPr>
            <w:rStyle w:val="Hyperlink"/>
          </w:rPr>
          <w:t>https://www.glfw.org/</w:t>
        </w:r>
      </w:hyperlink>
    </w:p>
    <w:p w14:paraId="3BC2DB89" w14:textId="09056B4C" w:rsidR="00FB7350" w:rsidRPr="00A3667F" w:rsidRDefault="00252232" w:rsidP="00A3667F">
      <w:pPr>
        <w:spacing w:after="200" w:line="480" w:lineRule="auto"/>
        <w:ind w:left="720" w:hanging="720"/>
        <w:jc w:val="center"/>
      </w:pPr>
      <w:r w:rsidRPr="00A3667F">
        <w:t xml:space="preserve">GLM. (n.d.). OpenGL Mathematics (GLM). GitHub. </w:t>
      </w:r>
      <w:hyperlink r:id="rId14" w:history="1">
        <w:r w:rsidRPr="00A3667F">
          <w:rPr>
            <w:rStyle w:val="Hyperlink"/>
          </w:rPr>
          <w:t>https://github.com/g-truc/glm</w:t>
        </w:r>
      </w:hyperlink>
    </w:p>
    <w:sectPr w:rsidR="00FB7350" w:rsidRPr="00A366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1C9"/>
    <w:multiLevelType w:val="hybridMultilevel"/>
    <w:tmpl w:val="9A6E006E"/>
    <w:lvl w:ilvl="0" w:tplc="E8545D74">
      <w:start w:val="1"/>
      <w:numFmt w:val="bullet"/>
      <w:lvlText w:val="●"/>
      <w:lvlJc w:val="left"/>
      <w:pPr>
        <w:ind w:left="720" w:hanging="360"/>
      </w:pPr>
    </w:lvl>
    <w:lvl w:ilvl="1" w:tplc="A15CF154">
      <w:start w:val="1"/>
      <w:numFmt w:val="bullet"/>
      <w:lvlText w:val="○"/>
      <w:lvlJc w:val="left"/>
      <w:pPr>
        <w:ind w:left="1440" w:hanging="360"/>
      </w:pPr>
    </w:lvl>
    <w:lvl w:ilvl="2" w:tplc="A5B0F404">
      <w:start w:val="1"/>
      <w:numFmt w:val="bullet"/>
      <w:lvlText w:val="■"/>
      <w:lvlJc w:val="left"/>
      <w:pPr>
        <w:ind w:left="2160" w:hanging="360"/>
      </w:pPr>
    </w:lvl>
    <w:lvl w:ilvl="3" w:tplc="CB68E912">
      <w:start w:val="1"/>
      <w:numFmt w:val="bullet"/>
      <w:lvlText w:val="●"/>
      <w:lvlJc w:val="left"/>
      <w:pPr>
        <w:ind w:left="2880" w:hanging="360"/>
      </w:pPr>
    </w:lvl>
    <w:lvl w:ilvl="4" w:tplc="17E64DF0">
      <w:start w:val="1"/>
      <w:numFmt w:val="bullet"/>
      <w:lvlText w:val="○"/>
      <w:lvlJc w:val="left"/>
      <w:pPr>
        <w:ind w:left="3600" w:hanging="360"/>
      </w:pPr>
    </w:lvl>
    <w:lvl w:ilvl="5" w:tplc="5F1E6E50">
      <w:start w:val="1"/>
      <w:numFmt w:val="bullet"/>
      <w:lvlText w:val="■"/>
      <w:lvlJc w:val="left"/>
      <w:pPr>
        <w:ind w:left="4320" w:hanging="360"/>
      </w:pPr>
    </w:lvl>
    <w:lvl w:ilvl="6" w:tplc="59323C1E">
      <w:start w:val="1"/>
      <w:numFmt w:val="bullet"/>
      <w:lvlText w:val="●"/>
      <w:lvlJc w:val="left"/>
      <w:pPr>
        <w:ind w:left="5040" w:hanging="360"/>
      </w:pPr>
    </w:lvl>
    <w:lvl w:ilvl="7" w:tplc="C7EE9FAE">
      <w:start w:val="1"/>
      <w:numFmt w:val="bullet"/>
      <w:lvlText w:val="●"/>
      <w:lvlJc w:val="left"/>
      <w:pPr>
        <w:ind w:left="5760" w:hanging="360"/>
      </w:pPr>
    </w:lvl>
    <w:lvl w:ilvl="8" w:tplc="71228B82">
      <w:start w:val="1"/>
      <w:numFmt w:val="bullet"/>
      <w:lvlText w:val="●"/>
      <w:lvlJc w:val="left"/>
      <w:pPr>
        <w:ind w:left="6480" w:hanging="360"/>
      </w:pPr>
    </w:lvl>
  </w:abstractNum>
  <w:num w:numId="1" w16cid:durableId="1432701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50"/>
    <w:rsid w:val="00252232"/>
    <w:rsid w:val="00A3667F"/>
    <w:rsid w:val="00C727EC"/>
    <w:rsid w:val="00FB7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60D0B"/>
  <w15:docId w15:val="{E95661E7-ABD6-4B11-9A40-8B368570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36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lfw.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opengl-redbook.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olyhaven.com/textur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learnopengl.com/Lighting/Basic-Lighting" TargetMode="External"/><Relationship Id="rId4" Type="http://schemas.openxmlformats.org/officeDocument/2006/relationships/customXml" Target="../customXml/item4.xml"/><Relationship Id="rId9" Type="http://schemas.openxmlformats.org/officeDocument/2006/relationships/hyperlink" Target="https://www.opengl.org/about/" TargetMode="External"/><Relationship Id="rId14" Type="http://schemas.openxmlformats.org/officeDocument/2006/relationships/hyperlink" Target="https://github.com/g-truc/g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A01DAB1C4A9C54EB9EA2E0686955E21" ma:contentTypeVersion="9" ma:contentTypeDescription="Create a new document." ma:contentTypeScope="" ma:versionID="1f71aad2047a2ed712063a6f0b104a08">
  <xsd:schema xmlns:xsd="http://www.w3.org/2001/XMLSchema" xmlns:xs="http://www.w3.org/2001/XMLSchema" xmlns:p="http://schemas.microsoft.com/office/2006/metadata/properties" xmlns:ns3="cdce5414-1031-4407-a982-980a98a8618f" targetNamespace="http://schemas.microsoft.com/office/2006/metadata/properties" ma:root="true" ma:fieldsID="b17b5cf2b654ca99bd0614e7030f1963" ns3:_="">
    <xsd:import namespace="cdce5414-1031-4407-a982-980a98a861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e5414-1031-4407-a982-980a98a861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dce5414-1031-4407-a982-980a98a8618f" xsi:nil="true"/>
  </documentManagement>
</p:properties>
</file>

<file path=customXml/itemProps1.xml><?xml version="1.0" encoding="utf-8"?>
<ds:datastoreItem xmlns:ds="http://schemas.openxmlformats.org/officeDocument/2006/customXml" ds:itemID="{8DEE8CC7-D132-41F7-B3C7-CCCA8FEB52BA}">
  <ds:schemaRefs>
    <ds:schemaRef ds:uri="http://schemas.openxmlformats.org/officeDocument/2006/bibliography"/>
  </ds:schemaRefs>
</ds:datastoreItem>
</file>

<file path=customXml/itemProps2.xml><?xml version="1.0" encoding="utf-8"?>
<ds:datastoreItem xmlns:ds="http://schemas.openxmlformats.org/officeDocument/2006/customXml" ds:itemID="{97A0B619-5B07-4BCD-86FE-6264DD9F0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e5414-1031-4407-a982-980a98a86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6DD53-05CE-42A7-ACE5-5C4F55AFBA56}">
  <ds:schemaRefs>
    <ds:schemaRef ds:uri="http://schemas.microsoft.com/sharepoint/v3/contenttype/forms"/>
  </ds:schemaRefs>
</ds:datastoreItem>
</file>

<file path=customXml/itemProps4.xml><?xml version="1.0" encoding="utf-8"?>
<ds:datastoreItem xmlns:ds="http://schemas.openxmlformats.org/officeDocument/2006/customXml" ds:itemID="{37690213-F4B3-4DAE-9ECB-2ED62E34F4B5}">
  <ds:schemaRefs>
    <ds:schemaRef ds:uri="http://schemas.microsoft.com/office/2006/metadata/properties"/>
    <ds:schemaRef ds:uri="http://schemas.microsoft.com/office/infopath/2007/PartnerControls"/>
    <ds:schemaRef ds:uri="cdce5414-1031-4407-a982-980a98a861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1647</Words>
  <Characters>9388</Characters>
  <Application>Microsoft Office Word</Application>
  <DocSecurity>0</DocSecurity>
  <Lines>78</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Brkovic Leighton, Lukas</cp:lastModifiedBy>
  <cp:revision>2</cp:revision>
  <dcterms:created xsi:type="dcterms:W3CDTF">2026-04-14T02:39:00Z</dcterms:created>
  <dcterms:modified xsi:type="dcterms:W3CDTF">2026-04-14T02:39:00Z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0x0101007A01DAB1C4A9C54EB9EA2E0686955E21</vt:lpwstr>
  </property>
</Properties>
</file>