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Aptos" w:hAnsi="Aptos"/>
          <w:color w:val="6B7280"/>
          <w:sz w:val="19"/>
        </w:rPr>
        <w:t>RECREALINK | DOCUMENTAÇÃO DO MÓDULO</w:t>
      </w:r>
    </w:p>
    <w:p>
      <w:pPr>
        <w:spacing w:before="0" w:after="0" w:line="276" w:lineRule="auto"/>
      </w:pPr>
      <w:r>
        <w:rPr>
          <w:rFonts w:ascii="Aptos Display" w:hAnsi="Aptos Display"/>
          <w:b/>
          <w:color w:val="1F5A6B"/>
          <w:sz w:val="52"/>
        </w:rPr>
        <w:t>Documentação do módulo Recreador</w:t>
      </w:r>
    </w:p>
    <w:p>
      <w:pPr>
        <w:spacing w:before="0" w:after="200" w:line="276" w:lineRule="auto"/>
      </w:pPr>
      <w:r>
        <w:rPr>
          <w:rFonts w:ascii="Aptos" w:hAnsi="Aptos"/>
          <w:color w:val="5B6473"/>
          <w:sz w:val="25"/>
        </w:rPr>
        <w:t>Fechamento da etapa estrutural, funcional, visual e de testes; base oficial para replicação em Hotelaria, Empresa e demais módulos.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616"/>
      </w:tblGrid>
      <w:tr>
        <w:tc>
          <w:tcPr>
            <w:tcW w:type="dxa" w:w="4968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2"/>
              </w:rPr>
              <w:t>Projeto</w:t>
            </w:r>
          </w:p>
        </w:tc>
        <w:tc>
          <w:tcPr>
            <w:tcW w:type="dxa" w:w="4968"/>
            <w:shd w:fill="FFFFFF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1F2937"/>
                <w:sz w:val="22"/>
              </w:rPr>
              <w:t>RecreaLink</w:t>
            </w:r>
          </w:p>
        </w:tc>
      </w:tr>
      <w:tr>
        <w:tc>
          <w:tcPr>
            <w:tcW w:type="dxa" w:w="4968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2"/>
              </w:rPr>
              <w:t>Módulo</w:t>
            </w:r>
          </w:p>
        </w:tc>
        <w:tc>
          <w:tcPr>
            <w:tcW w:type="dxa" w:w="4968"/>
            <w:shd w:fill="FFFFFF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1F2937"/>
                <w:sz w:val="22"/>
              </w:rPr>
              <w:t>Recreador</w:t>
            </w:r>
          </w:p>
        </w:tc>
      </w:tr>
      <w:tr>
        <w:tc>
          <w:tcPr>
            <w:tcW w:type="dxa" w:w="4968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2"/>
              </w:rPr>
              <w:t>Documento</w:t>
            </w:r>
          </w:p>
        </w:tc>
        <w:tc>
          <w:tcPr>
            <w:tcW w:type="dxa" w:w="4968"/>
            <w:shd w:fill="FFFFFF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1F2937"/>
                <w:sz w:val="22"/>
              </w:rPr>
              <w:t>Documentação do módulo Recreador</w:t>
            </w:r>
          </w:p>
        </w:tc>
      </w:tr>
    </w:tbl>
    <w:p/>
    <w:p>
      <w:pPr>
        <w:spacing w:before="140" w:after="60" w:line="276" w:lineRule="auto"/>
        <w:jc w:val="left"/>
      </w:pPr>
      <w:r>
        <w:rPr>
          <w:rFonts w:ascii="Aptos" w:hAnsi="Aptos"/>
          <w:b/>
          <w:color w:val="1F5A6B"/>
          <w:sz w:val="30"/>
        </w:rPr>
        <w:t>1. Visão geral e objetivo</w:t>
      </w:r>
    </w:p>
    <w:p>
      <w:pPr>
        <w:spacing w:before="0" w:after="80" w:line="276" w:lineRule="auto"/>
      </w:pPr>
      <w:r>
        <w:rPr>
          <w:rFonts w:ascii="Aptos" w:hAnsi="Aptos"/>
          <w:color w:val="1F2937"/>
          <w:sz w:val="22"/>
        </w:rPr>
        <w:t>Este documento consolida a metodologia oficial de execução por módulo dentro da RecreaLink.</w:t>
      </w:r>
    </w:p>
    <w:p>
      <w:pPr>
        <w:spacing w:before="0" w:after="80" w:line="276" w:lineRule="auto"/>
      </w:pPr>
      <w:r>
        <w:rPr>
          <w:rFonts w:ascii="Aptos" w:hAnsi="Aptos"/>
          <w:color w:val="1F2937"/>
          <w:sz w:val="22"/>
        </w:rPr>
        <w:t>A intenção é manter uma referência curta, objetiva e reutilizável para arquitetura, prompts, validação e continuidade do projeto.</w:t>
      </w:r>
    </w:p>
    <w:p>
      <w:pPr>
        <w:spacing w:before="0" w:after="80" w:line="276" w:lineRule="auto"/>
      </w:pPr>
      <w:r>
        <w:rPr>
          <w:rFonts w:ascii="Aptos" w:hAnsi="Aptos"/>
          <w:color w:val="1F2937"/>
          <w:sz w:val="22"/>
        </w:rPr>
        <w:t>O Recreador é a base de exemplo já concluída e deve servir como modelo para Hotelaria, Empresa/Eventos e futuras frentes.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9936"/>
            <w:shd w:fill="EEF4FA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1"/>
              </w:rPr>
              <w:t>Regra de compactação: antes de abrir uma nova fase, tentar absorver o trabalho na fase atual. Só separar fases quando houver mudança clara de responsabilidade, risco, dependência ou checkpoint.</w:t>
            </w:r>
          </w:p>
        </w:tc>
      </w:tr>
    </w:tbl>
    <w:p>
      <w:r>
        <w:br w:type="page"/>
      </w:r>
    </w:p>
    <w:p>
      <w:pPr>
        <w:spacing w:before="140" w:after="60" w:line="276" w:lineRule="auto"/>
        <w:jc w:val="left"/>
      </w:pPr>
      <w:r>
        <w:rPr>
          <w:rFonts w:ascii="Aptos" w:hAnsi="Aptos"/>
          <w:b/>
          <w:color w:val="1F5A6B"/>
          <w:sz w:val="30"/>
        </w:rPr>
        <w:t>2. Linha oficial de trabalho por módulo</w:t>
      </w:r>
    </w:p>
    <w:p>
      <w:pPr>
        <w:spacing w:before="0" w:after="120" w:line="276" w:lineRule="auto"/>
      </w:pPr>
      <w:r>
        <w:rPr>
          <w:rFonts w:ascii="Aptos" w:hAnsi="Aptos"/>
          <w:color w:val="1F2937"/>
          <w:sz w:val="22"/>
        </w:rPr>
        <w:t>Cada módulo da RecreaLink deve seguir quatro macro fases. A documentação e a passagem ficam concentradas no fechamento da última fase, para evitar fragmentação de prompts e gasto desnecessário de tokens.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816"/>
        <w:gridCol w:w="4464"/>
      </w:tblGrid>
      <w:tr>
        <w:tc>
          <w:tcPr>
            <w:tcW w:type="dxa" w:w="3312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Fase</w:t>
            </w:r>
          </w:p>
        </w:tc>
        <w:tc>
          <w:tcPr>
            <w:tcW w:type="dxa" w:w="3312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Foco</w:t>
            </w:r>
          </w:p>
        </w:tc>
        <w:tc>
          <w:tcPr>
            <w:tcW w:type="dxa" w:w="3312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Resultado esperado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1. Estrutural e saneamento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Reestruturar páginas e rotas, consolidar o módulo, limpar legado e definir núcleo/complementar/futuro.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Base limpa e pronta para as próximas decisões.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2. Funcional e regras de domínio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Revisar ações, destinos, modais, estados, fluxos e regras de interação entre páginas.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Fluxos principais coerentes e prontos para a camada funcional.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3. Visual, responsividade e refinamento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Refinar UI, hierarquia, ritmo, legibilidade, shared e comportamento por viewport.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Produto visualmente maduro e responsivo.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4. Validação, testes e documentação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Executar smoke, regressão, suíte permanente e fechar com documentação, sitemap e comandos.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Módulo fechado com confiança e pronto para replicação.</w:t>
            </w:r>
          </w:p>
        </w:tc>
      </w:tr>
    </w:tbl>
    <w:p>
      <w:r>
        <w:br w:type="page"/>
      </w:r>
    </w:p>
    <w:p>
      <w:pPr>
        <w:spacing w:before="140" w:after="60" w:line="276" w:lineRule="auto"/>
        <w:jc w:val="left"/>
      </w:pPr>
      <w:r>
        <w:rPr>
          <w:rFonts w:ascii="Aptos" w:hAnsi="Aptos"/>
          <w:b/>
          <w:color w:val="1F5A6B"/>
          <w:sz w:val="30"/>
        </w:rPr>
        <w:t>3. Registro do Recreador — visão consolidada</w:t>
      </w:r>
    </w:p>
    <w:p>
      <w:pPr>
        <w:spacing w:before="0" w:after="80" w:line="276" w:lineRule="auto"/>
      </w:pPr>
      <w:r>
        <w:rPr>
          <w:rFonts w:ascii="Aptos" w:hAnsi="Aptos"/>
          <w:color w:val="1F2937"/>
          <w:sz w:val="22"/>
        </w:rPr>
        <w:t>O Recreador foi usado como módulo piloto para consolidar estrutura, funcionalidade, visual, testes e documentação. A seguir estão o mapa final, as regras consolidadas e o resumo da suíte permanente de validação.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096"/>
        <w:gridCol w:w="4464"/>
      </w:tblGrid>
      <w:tr>
        <w:tc>
          <w:tcPr>
            <w:tcW w:type="dxa" w:w="3312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Página</w:t>
            </w:r>
          </w:p>
        </w:tc>
        <w:tc>
          <w:tcPr>
            <w:tcW w:type="dxa" w:w="3312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Rota</w:t>
            </w:r>
          </w:p>
        </w:tc>
        <w:tc>
          <w:tcPr>
            <w:tcW w:type="dxa" w:w="3312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Papel no módulo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dashboard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/app/recreador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Hub operacional do Recreador.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onboarding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/app/recreador/onboarding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Entrada inicial e cadastro mínimo.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perfil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/app/recreador/perfil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Agregado principal de dados e avaliações.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disponibilidade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/app/recreador/disponibilidade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Agenda operacional, compromissos e bloqueios.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oportunidades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/app/recreador/oportunidades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Lista e detalhe das oportunidades disponíveis.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convites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/app/recreador/convites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Convites diretos, aguardando, aceitos e recusados.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checklist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/app/recreador/checklist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Ferramenta complementar de apoio.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configurações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/app/recreador/configuracoes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Conta, preferências e segurança.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/>
                <w:color w:val="1F2937"/>
                <w:sz w:val="20"/>
              </w:rPr>
              <w:t>suporte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/app/recreador/suporte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b w:val="0"/>
                <w:color w:val="1F2937"/>
                <w:sz w:val="20"/>
              </w:rPr>
              <w:t>Contato, chamados e ajuda.</w:t>
            </w:r>
          </w:p>
        </w:tc>
      </w:tr>
    </w:tbl>
    <w:p>
      <w:pPr>
        <w:spacing w:before="140" w:after="60" w:line="276" w:lineRule="auto"/>
        <w:jc w:val="left"/>
      </w:pPr>
      <w:r>
        <w:rPr>
          <w:rFonts w:ascii="Aptos" w:hAnsi="Aptos"/>
          <w:b/>
          <w:color w:val="1F5A6B"/>
          <w:sz w:val="30"/>
        </w:rPr>
        <w:t>4. Regras funcionais consolidadas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O mini dashboard inicial foi removido do painel principal; a avaliação média foi mantida dentro da seção de avaliações recentes.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O detalhe da oportunidade abre por navegação direta ao clicar no card; não deve existir modal indevido de abertura nem duplicação de conteúdo.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O modal de conflito só aparece em candidatura e aceite, quando houver conflito real de agenda.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Conflito real considera sobreposição de intervalo completo entre compromisso confirmado/bloqueio manual e a oportunidade ou convite.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Recorrência/disponibilidade recorrente sozinha não dispara conflito crítico.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Alertas nativos foram substituídos por modal no fluxo do módulo, mantendo consistência de UX.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O fluxo de chat, notificações e shell passou a sincronizar unread com fonte global coerente.</w:t>
      </w:r>
    </w:p>
    <w:p>
      <w:r>
        <w:br w:type="page"/>
      </w:r>
    </w:p>
    <w:p>
      <w:pPr>
        <w:spacing w:before="140" w:after="60" w:line="276" w:lineRule="auto"/>
        <w:jc w:val="left"/>
      </w:pPr>
      <w:r>
        <w:rPr>
          <w:rFonts w:ascii="Aptos" w:hAnsi="Aptos"/>
          <w:b/>
          <w:color w:val="1F5A6B"/>
          <w:sz w:val="30"/>
        </w:rPr>
        <w:t>5. Testes consolidados e suíte permanente</w:t>
      </w:r>
    </w:p>
    <w:p>
      <w:pPr>
        <w:spacing w:before="0" w:after="100" w:line="276" w:lineRule="auto"/>
      </w:pPr>
      <w:r>
        <w:rPr>
          <w:rFonts w:ascii="Aptos" w:hAnsi="Aptos"/>
          <w:color w:val="1F2937"/>
          <w:sz w:val="22"/>
        </w:rPr>
        <w:t>A etapa de testes foi fechada com uma suíte permanente no repositório e com validação por fases. O objetivo foi manter o Recreador confiável, sem precisar gerar teste do zero toda vez que uma nova fase surgir.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8"/>
        <w:gridCol w:w="4608"/>
        <w:gridCol w:w="4464"/>
      </w:tblGrid>
      <w:tr>
        <w:tc>
          <w:tcPr>
            <w:tcW w:type="dxa" w:w="3312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Fase</w:t>
            </w:r>
          </w:p>
        </w:tc>
        <w:tc>
          <w:tcPr>
            <w:tcW w:type="dxa" w:w="3312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Cobertura</w:t>
            </w:r>
          </w:p>
        </w:tc>
        <w:tc>
          <w:tcPr>
            <w:tcW w:type="dxa" w:w="3312"/>
            <w:shd w:fill="DCE6F1"/>
            <w:tcBorders>
              <w:left w:val="single" w:sz="10" w:color="B9C9D8"/>
              <w:top w:val="single" w:sz="10" w:color="B9C9D8"/>
              <w:right w:val="single" w:sz="10" w:color="B9C9D8"/>
              <w:bottom w:val="single" w:sz="10" w:color="B9C9D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1"/>
              </w:rPr>
              <w:t>Resultado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0"/>
              </w:rPr>
              <w:t>T1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Auditoria de teste + mapa de cenários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3/3 passando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0"/>
              </w:rPr>
              <w:t>T2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Smoke do núcleo do módulo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10/10 passando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0"/>
              </w:rPr>
              <w:t>T3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Complementares + shared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10/10 passando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0"/>
              </w:rPr>
              <w:t>T4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Regressão visual/funcional e responsividade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5/5 passando</w:t>
            </w:r>
          </w:p>
        </w:tc>
      </w:tr>
      <w:tr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ptos" w:hAnsi="Aptos"/>
                <w:b/>
                <w:color w:val="1F2937"/>
                <w:sz w:val="20"/>
              </w:rPr>
              <w:t>T5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Fechamento de testes + decisão de passagem</w:t>
            </w:r>
          </w:p>
        </w:tc>
        <w:tc>
          <w:tcPr>
            <w:tcW w:type="dxa" w:w="3312"/>
            <w:tcBorders>
              <w:left w:val="single" w:sz="8" w:color="D4DDE8"/>
              <w:top w:val="single" w:sz="8" w:color="D4DDE8"/>
              <w:right w:val="single" w:sz="8" w:color="D4DDE8"/>
              <w:bottom w:val="single" w:sz="8" w:color="D4DDE8"/>
            </w:tcBorders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Aptos" w:hAnsi="Aptos"/>
                <w:b w:val="0"/>
                <w:color w:val="1F2937"/>
                <w:sz w:val="20"/>
              </w:rPr>
              <w:t>2/2 passando</w:t>
            </w:r>
          </w:p>
        </w:tc>
      </w:tr>
    </w:tbl>
    <w:p>
      <w:pPr>
        <w:spacing w:before="80" w:after="80" w:line="276" w:lineRule="auto"/>
      </w:pPr>
      <w:r>
        <w:rPr>
          <w:rFonts w:ascii="Aptos" w:hAnsi="Aptos"/>
          <w:b/>
          <w:color w:val="1F2937"/>
          <w:sz w:val="22"/>
        </w:rPr>
        <w:t>Resultado consolidado da rodada final: 37 testes passando; build passando; pipeline end-to-end validada.</w:t>
      </w:r>
    </w:p>
    <w:p>
      <w:pPr>
        <w:spacing w:before="140" w:after="60" w:line="276" w:lineRule="auto"/>
        <w:jc w:val="left"/>
      </w:pPr>
      <w:r>
        <w:rPr>
          <w:rFonts w:ascii="Aptos" w:hAnsi="Aptos"/>
          <w:b/>
          <w:color w:val="1F5A6B"/>
          <w:sz w:val="30"/>
        </w:rPr>
        <w:t>6. Suíte permanente e comandos de execução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c>
          <w:tcPr>
            <w:tcW w:type="dxa" w:w="9936"/>
            <w:shd w:fill="F8FBFD"/>
            <w:tcBorders>
              <w:left w:val="single" w:sz="10" w:color="D4DDE8"/>
              <w:top w:val="single" w:sz="10" w:color="D4DDE8"/>
              <w:right w:val="single" w:sz="10" w:color="D4DDE8"/>
              <w:bottom w:val="single" w:sz="10" w:color="D4DDE8"/>
            </w:tcBorders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0" w:line="276" w:lineRule="auto"/>
            </w:pPr>
            <w:r>
              <w:rPr>
                <w:rFonts w:ascii="Aptos" w:hAnsi="Aptos"/>
                <w:color w:val="1F2937"/>
                <w:sz w:val="21"/>
              </w:rPr>
              <w:t>Comandos-base:</w:t>
              <w:br/>
              <w:t>• npm run test</w:t>
              <w:br/>
              <w:t>• npm run test:watch</w:t>
              <w:br/>
              <w:t>• npm run test:recreador</w:t>
              <w:br/>
              <w:t>• npm run test:e2e</w:t>
              <w:br/>
              <w:t>• npm run test:e2e:recreador</w:t>
              <w:br/>
              <w:t>• npm run test:all</w:t>
            </w:r>
          </w:p>
        </w:tc>
      </w:tr>
    </w:tbl>
    <w:p>
      <w:pPr>
        <w:spacing w:before="80" w:after="80" w:line="276" w:lineRule="auto"/>
      </w:pPr>
      <w:r>
        <w:rPr>
          <w:rFonts w:ascii="Aptos" w:hAnsi="Aptos"/>
          <w:color w:val="1F2937"/>
          <w:sz w:val="22"/>
        </w:rPr>
        <w:t>Uso prático: mudança pequena → rodar o conjunto afetado; fechamento de fase → rodar a suíte da fase; fechamento do módulo → suíte completa + build; depuração → revisar test-results e artefatos do runner.</w:t>
      </w:r>
    </w:p>
    <w:p>
      <w:pPr>
        <w:spacing w:before="140" w:after="60" w:line="276" w:lineRule="auto"/>
        <w:jc w:val="left"/>
      </w:pPr>
      <w:r>
        <w:rPr>
          <w:rFonts w:ascii="Aptos" w:hAnsi="Aptos"/>
          <w:b/>
          <w:color w:val="1F5A6B"/>
          <w:sz w:val="30"/>
        </w:rPr>
        <w:t>7. O que fica para backend e próximos módulos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Persistência real de perfil, disponibilidade, convites e avaliações.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Contratos de API e tratamento de rede/erro em produção.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Integração entre módulos com dados reais, sem mocks.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Fluxos de hotelaria, eventos e pais com o mesmo padrão de amarração.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Hardening final, observabilidade e ajustes de UX com uso real.</w:t>
      </w:r>
    </w:p>
    <w:p>
      <w:pPr>
        <w:spacing w:before="140" w:after="60" w:line="276" w:lineRule="auto"/>
        <w:jc w:val="left"/>
      </w:pPr>
      <w:r>
        <w:rPr>
          <w:rFonts w:ascii="Aptos" w:hAnsi="Aptos"/>
          <w:b/>
          <w:color w:val="1F5A6B"/>
          <w:sz w:val="30"/>
        </w:rPr>
        <w:t>8. Fechamento e uso como referência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O Recreador encerrou a etapa de documentação com todas as fases anteriores consolidadas.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O módulo passa a ser a referência-base para Hotelaria, Empresa/Eventos e demais módulos do projeto.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O documento deve ser atualizado sempre que uma nova fase de módulo for concluída.</w:t>
      </w:r>
    </w:p>
    <w:p>
      <w:pPr>
        <w:pStyle w:val="ListBullet"/>
        <w:spacing w:before="0" w:after="20" w:line="276" w:lineRule="auto"/>
      </w:pPr>
      <w:r>
        <w:rPr>
          <w:rFonts w:ascii="Aptos" w:hAnsi="Aptos"/>
          <w:color w:val="1F2937"/>
          <w:sz w:val="22"/>
        </w:rPr>
        <w:t>A linha principal do projeto permanece: estrutural → funcional → visual → validação/testes → documentação.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Aptos" w:hAnsi="Aptos"/>
        <w:color w:val="64748B"/>
        <w:sz w:val="18"/>
      </w:rPr>
      <w:t>RecreaLink | Documento editável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Aptos" w:hAnsi="Aptos"/>
        <w:color w:val="64748B"/>
        <w:sz w:val="18"/>
      </w:rPr>
      <w:t>RecreaLink | Documento de módulo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5A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A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5A6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5A6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