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BA86" w14:textId="34D312C6" w:rsidR="0030706C" w:rsidRPr="00A82FC9" w:rsidRDefault="00A35F14" w:rsidP="00DC3A5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MACROBUTTON MTEditEquationSection2 </w:instrText>
      </w:r>
      <w:r w:rsidRPr="00A35F14">
        <w:rPr>
          <w:rStyle w:val="MTEquationSection"/>
        </w:rPr>
        <w:instrText>Equation Chapter 1 Section 1</w:instrText>
      </w: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SEQ MTEqn \r \h \* MERGEFORMAT </w:instrText>
      </w: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SEQ MTSec \r 1 \h \* MERGEFORMAT </w:instrText>
      </w: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SEQ MTChap \r 1 \h \* MERGEFORMAT </w:instrText>
      </w: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fldChar w:fldCharType="end"/>
      </w:r>
      <w:r w:rsidR="0030706C" w:rsidRPr="00A82FC9">
        <w:rPr>
          <w:rFonts w:cs="Times New Roman"/>
          <w:b/>
          <w:bCs/>
        </w:rPr>
        <w:t>Temperature calculations</w:t>
      </w:r>
    </w:p>
    <w:p w14:paraId="138B8843" w14:textId="77777777" w:rsidR="00A9551F" w:rsidRPr="00A82FC9" w:rsidRDefault="0030706C" w:rsidP="00DC3A56">
      <w:pPr>
        <w:rPr>
          <w:rFonts w:cs="Times New Roman"/>
        </w:rPr>
      </w:pPr>
      <w:r w:rsidRPr="00A82FC9">
        <w:rPr>
          <w:rFonts w:cs="Times New Roman"/>
        </w:rPr>
        <w:t>To determine the 1-D effective viscosity and yield stress envelope, a temperature profile is required. The 1-D temperature profile is calculated by solving the 1-D heat equation (so far only with a radiogenic heat source)</w:t>
      </w:r>
      <w:r w:rsidR="00783D6D" w:rsidRPr="00A82FC9">
        <w:rPr>
          <w:rFonts w:cs="Times New Roman"/>
        </w:rPr>
        <w:t xml:space="preserve"> for variable thermal parameters with a proper conserving finite difference scheme. That is the heat flow is calculated on the centered and the remaining parameters on the regular grid points, respectively. The discretization scheme </w:t>
      </w:r>
      <w:r w:rsidR="00011441" w:rsidRPr="00A82FC9">
        <w:rPr>
          <w:rFonts w:cs="Times New Roman"/>
        </w:rPr>
        <w:t xml:space="preserve">for </w:t>
      </w:r>
      <w:r w:rsidR="00783D6D" w:rsidRPr="00A82FC9">
        <w:rPr>
          <w:rFonts w:cs="Times New Roman"/>
        </w:rPr>
        <w:t xml:space="preserve">variable thermal parameters </w:t>
      </w:r>
      <w:r w:rsidR="00011441" w:rsidRPr="00A82FC9">
        <w:rPr>
          <w:rFonts w:cs="Times New Roman"/>
        </w:rPr>
        <w:t xml:space="preserve">is picked to solve for a temperature profile of a continental lithosphere with upper, lower crust, and mantle. </w:t>
      </w:r>
    </w:p>
    <w:p w14:paraId="7BCC7909" w14:textId="71EC9BF4" w:rsidR="00A35F14" w:rsidRPr="00A82FC9" w:rsidRDefault="00A9551F" w:rsidP="00DC3A56">
      <w:pPr>
        <w:rPr>
          <w:rFonts w:cs="Times New Roman"/>
        </w:rPr>
      </w:pPr>
      <w:r w:rsidRPr="00A82FC9">
        <w:rPr>
          <w:rFonts w:cs="Times New Roman"/>
        </w:rPr>
        <w:t xml:space="preserve">The 1-D heat equation is </w:t>
      </w:r>
      <w:r w:rsidR="00A35F14" w:rsidRPr="00A82FC9">
        <w:rPr>
          <w:rFonts w:cs="Times New Roman"/>
        </w:rPr>
        <w:t>given by</w:t>
      </w:r>
      <w:r w:rsidR="004566DB">
        <w:rPr>
          <w:rFonts w:cs="Times New Roman"/>
        </w:rPr>
        <w:t xml:space="preserve">: </w:t>
      </w:r>
    </w:p>
    <w:p w14:paraId="7EBC1D19" w14:textId="47186A12" w:rsidR="00A35F14" w:rsidRPr="00A82FC9" w:rsidRDefault="00A35F14" w:rsidP="00DC3A56">
      <w:pPr>
        <w:pStyle w:val="MTDisplayEquation"/>
      </w:pPr>
      <w:r w:rsidRPr="00A82FC9">
        <w:tab/>
      </w:r>
      <w:r w:rsidR="00885956" w:rsidRPr="00A82FC9">
        <w:rPr>
          <w:position w:val="-28"/>
        </w:rPr>
        <w:object w:dxaOrig="2620" w:dyaOrig="680" w14:anchorId="79842C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4pt" o:ole="">
            <v:imagedata r:id="rId8" o:title=""/>
          </v:shape>
          <o:OLEObject Type="Embed" ProgID="Equation.DSMT4" ShapeID="_x0000_i1025" DrawAspect="Content" ObjectID="_1740814997" r:id="rId9"/>
        </w:object>
      </w:r>
      <w:r w:rsidRPr="00A82FC9">
        <w:t xml:space="preserve">, 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1</w:instrText>
        </w:r>
      </w:fldSimple>
      <w:r w:rsidRPr="00A82FC9">
        <w:instrText>)</w:instrText>
      </w:r>
      <w:r w:rsidRPr="00A82FC9">
        <w:fldChar w:fldCharType="end"/>
      </w:r>
    </w:p>
    <w:p w14:paraId="712C3432" w14:textId="2CB66D87" w:rsidR="00140CD6" w:rsidRPr="00A82FC9" w:rsidRDefault="00A35F14" w:rsidP="00DC3A56">
      <w:pPr>
        <w:rPr>
          <w:rFonts w:cs="Times New Roman"/>
        </w:rPr>
      </w:pPr>
      <w:r w:rsidRPr="00A82FC9">
        <w:rPr>
          <w:rFonts w:cs="Times New Roman"/>
        </w:rPr>
        <w:t xml:space="preserve">where </w:t>
      </w:r>
      <w:r w:rsidRPr="00A82FC9">
        <w:rPr>
          <w:rFonts w:cs="Times New Roman"/>
          <w:i/>
          <w:iCs/>
        </w:rPr>
        <w:t>ρ</w:t>
      </w:r>
      <w:r w:rsidRPr="00A82FC9">
        <w:rPr>
          <w:rFonts w:cs="Times New Roman"/>
        </w:rPr>
        <w:t xml:space="preserve">, </w:t>
      </w:r>
      <w:r w:rsidRPr="00A82FC9">
        <w:rPr>
          <w:rFonts w:cs="Times New Roman"/>
          <w:i/>
          <w:iCs/>
        </w:rPr>
        <w:t>c</w:t>
      </w:r>
      <w:r w:rsidRPr="00A82FC9">
        <w:rPr>
          <w:rFonts w:cs="Times New Roman"/>
          <w:i/>
          <w:iCs/>
          <w:vertAlign w:val="subscript"/>
        </w:rPr>
        <w:t>p</w:t>
      </w:r>
      <w:r w:rsidRPr="00A82FC9">
        <w:rPr>
          <w:rFonts w:cs="Times New Roman"/>
        </w:rPr>
        <w:t xml:space="preserve">, </w:t>
      </w:r>
      <w:r w:rsidRPr="00A82FC9">
        <w:rPr>
          <w:rFonts w:cs="Times New Roman"/>
          <w:i/>
          <w:iCs/>
        </w:rPr>
        <w:t>T</w:t>
      </w:r>
      <w:r w:rsidRPr="00A82FC9">
        <w:rPr>
          <w:rFonts w:cs="Times New Roman"/>
        </w:rPr>
        <w:t xml:space="preserve">, </w:t>
      </w:r>
      <w:r w:rsidRPr="00A82FC9">
        <w:rPr>
          <w:rFonts w:cs="Times New Roman"/>
          <w:i/>
          <w:iCs/>
        </w:rPr>
        <w:t>t</w:t>
      </w:r>
      <w:r w:rsidRPr="00A82FC9">
        <w:rPr>
          <w:rFonts w:cs="Times New Roman"/>
        </w:rPr>
        <w:t xml:space="preserve">, </w:t>
      </w:r>
      <w:r w:rsidRPr="00A82FC9">
        <w:rPr>
          <w:rFonts w:cs="Times New Roman"/>
          <w:i/>
          <w:iCs/>
        </w:rPr>
        <w:t>k</w:t>
      </w:r>
      <w:r w:rsidRPr="00A82FC9">
        <w:rPr>
          <w:rFonts w:cs="Times New Roman"/>
        </w:rPr>
        <w:t xml:space="preserve">, </w:t>
      </w:r>
      <w:r w:rsidRPr="00A82FC9">
        <w:rPr>
          <w:rFonts w:cs="Times New Roman"/>
          <w:i/>
          <w:iCs/>
        </w:rPr>
        <w:t>H</w:t>
      </w:r>
      <w:r w:rsidRPr="00A82FC9">
        <w:rPr>
          <w:rFonts w:cs="Times New Roman"/>
        </w:rPr>
        <w:t xml:space="preserve"> are the</w:t>
      </w:r>
      <w:r w:rsidR="00BB0695" w:rsidRPr="00A82FC9">
        <w:rPr>
          <w:rFonts w:cs="Times New Roman"/>
        </w:rPr>
        <w:t xml:space="preserve"> density [kg/m</w:t>
      </w:r>
      <w:r w:rsidR="00BB0695" w:rsidRPr="00A82FC9">
        <w:rPr>
          <w:rFonts w:cs="Times New Roman"/>
          <w:vertAlign w:val="superscript"/>
        </w:rPr>
        <w:t>3</w:t>
      </w:r>
      <w:r w:rsidR="00BB0695" w:rsidRPr="00A82FC9">
        <w:rPr>
          <w:rFonts w:cs="Times New Roman"/>
        </w:rPr>
        <w:t>] the specific heat [J/kg/K], the temperature [K], the time [s], the thermal conductivity [W/m/K], and volumetric heat generation rate [W/m</w:t>
      </w:r>
      <w:r w:rsidR="00BB0695" w:rsidRPr="00A82FC9">
        <w:rPr>
          <w:rFonts w:cs="Times New Roman"/>
          <w:vertAlign w:val="superscript"/>
        </w:rPr>
        <w:t>3</w:t>
      </w:r>
      <w:r w:rsidR="00BB0695" w:rsidRPr="00A82FC9">
        <w:rPr>
          <w:rFonts w:cs="Times New Roman"/>
        </w:rPr>
        <w:t xml:space="preserve">], respectively. </w:t>
      </w:r>
    </w:p>
    <w:p w14:paraId="6D94AC15" w14:textId="35890755" w:rsidR="00C35665" w:rsidRPr="00A82FC9" w:rsidRDefault="00C35665" w:rsidP="00DC3A56">
      <w:pPr>
        <w:rPr>
          <w:rFonts w:cs="Times New Roman"/>
        </w:rPr>
      </w:pPr>
      <w:r w:rsidRPr="00A82FC9">
        <w:rPr>
          <w:rFonts w:cs="Times New Roman"/>
        </w:rPr>
        <w:t xml:space="preserve">Here, a proper conservative finite difference scheme means the heat flux is calculate on the centered grid points (A, B, etc.). </w:t>
      </w:r>
      <w:r w:rsidR="00AA1F71" w:rsidRPr="00A82FC9">
        <w:rPr>
          <w:rFonts w:cs="Times New Roman"/>
        </w:rPr>
        <w:t xml:space="preserve">The 1-D vertical heat flux is given by the </w:t>
      </w:r>
      <w:r w:rsidR="00750B05">
        <w:rPr>
          <w:rFonts w:cs="Times New Roman"/>
        </w:rPr>
        <w:t>F</w:t>
      </w:r>
      <w:r w:rsidR="00AA1F71" w:rsidRPr="00A82FC9">
        <w:rPr>
          <w:rFonts w:cs="Times New Roman"/>
        </w:rPr>
        <w:t>ourier’s law:</w:t>
      </w:r>
    </w:p>
    <w:p w14:paraId="6749D9AD" w14:textId="7B6254AE" w:rsidR="00AA1F71" w:rsidRDefault="00AA1F71" w:rsidP="00DC3A56">
      <w:pPr>
        <w:pStyle w:val="MTDisplayEquation"/>
      </w:pPr>
      <w:r w:rsidRPr="00A82FC9">
        <w:tab/>
      </w:r>
      <w:r w:rsidRPr="00A82FC9">
        <w:rPr>
          <w:position w:val="-24"/>
        </w:rPr>
        <w:object w:dxaOrig="999" w:dyaOrig="620" w14:anchorId="1EF1B54D">
          <v:shape id="_x0000_i1026" type="#_x0000_t75" style="width:50pt;height:31pt" o:ole="">
            <v:imagedata r:id="rId10" o:title=""/>
          </v:shape>
          <o:OLEObject Type="Embed" ProgID="Equation.DSMT4" ShapeID="_x0000_i1026" DrawAspect="Content" ObjectID="_1740814998" r:id="rId11"/>
        </w:object>
      </w:r>
      <w:r w:rsidRPr="00A82FC9">
        <w:t>.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2</w:instrText>
        </w:r>
      </w:fldSimple>
      <w:r w:rsidRPr="00A82FC9">
        <w:instrText>)</w:instrText>
      </w:r>
      <w:r w:rsidRPr="00A82FC9">
        <w:fldChar w:fldCharType="end"/>
      </w:r>
    </w:p>
    <w:p w14:paraId="21C69069" w14:textId="4E5427EF" w:rsidR="00CD66C2" w:rsidRPr="00CD66C2" w:rsidRDefault="00CD66C2" w:rsidP="00DC3A56">
      <w:pPr>
        <w:rPr>
          <w:i/>
          <w:iCs/>
        </w:rPr>
      </w:pPr>
      <w:r w:rsidRPr="00CD66C2">
        <w:rPr>
          <w:i/>
          <w:iCs/>
        </w:rPr>
        <w:t>Solving the equation</w:t>
      </w:r>
    </w:p>
    <w:p w14:paraId="40780D99" w14:textId="2C16A92B" w:rsidR="00AA1F71" w:rsidRPr="00A82FC9" w:rsidRDefault="005813D5" w:rsidP="00DC3A56">
      <w:pPr>
        <w:rPr>
          <w:rFonts w:cs="Times New Roman"/>
        </w:rPr>
      </w:pPr>
      <w:r w:rsidRPr="00A82FC9">
        <w:rPr>
          <w:rFonts w:cs="Times New Roman"/>
        </w:rPr>
        <w:t xml:space="preserve">Following the discretization shown in Figure 1 we need to solve the following equation (in an implicit finite difference formulation): </w:t>
      </w:r>
      <w:r w:rsidR="00885956" w:rsidRPr="00A82FC9">
        <w:rPr>
          <w:rFonts w:cs="Times New Roman"/>
        </w:rPr>
        <w:tab/>
      </w:r>
    </w:p>
    <w:p w14:paraId="7CA445C2" w14:textId="240EEB6F" w:rsidR="005813D5" w:rsidRPr="00A82FC9" w:rsidRDefault="00C441D4" w:rsidP="00DC3A56">
      <w:pPr>
        <w:pStyle w:val="MTDisplayEquation"/>
      </w:pPr>
      <w:r w:rsidRPr="00A82FC9">
        <w:tab/>
      </w:r>
      <w:r w:rsidR="00885956" w:rsidRPr="00A82FC9">
        <w:rPr>
          <w:position w:val="-24"/>
        </w:rPr>
        <w:object w:dxaOrig="3940" w:dyaOrig="680" w14:anchorId="00BB9671">
          <v:shape id="_x0000_i1027" type="#_x0000_t75" style="width:197pt;height:34pt" o:ole="">
            <v:imagedata r:id="rId12" o:title=""/>
          </v:shape>
          <o:OLEObject Type="Embed" ProgID="Equation.DSMT4" ShapeID="_x0000_i1027" DrawAspect="Content" ObjectID="_1740814999" r:id="rId13"/>
        </w:object>
      </w:r>
      <w:r w:rsidRPr="00A82FC9">
        <w:t>,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bookmarkStart w:id="0" w:name="ZEqnNum199958"/>
      <w:r w:rsidRPr="00A82FC9">
        <w:instrText>(</w:instrText>
      </w:r>
      <w:fldSimple w:instr=" SEQ MTEqn \c \* Arabic \* MERGEFORMAT ">
        <w:r w:rsidR="00BE7F37">
          <w:rPr>
            <w:noProof/>
          </w:rPr>
          <w:instrText>3</w:instrText>
        </w:r>
      </w:fldSimple>
      <w:r w:rsidRPr="00A82FC9">
        <w:instrText>)</w:instrText>
      </w:r>
      <w:bookmarkEnd w:id="0"/>
      <w:r w:rsidRPr="00A82FC9">
        <w:fldChar w:fldCharType="end"/>
      </w:r>
    </w:p>
    <w:p w14:paraId="0D27E4E4" w14:textId="06FC4E1F" w:rsidR="00C441D4" w:rsidRPr="00A82FC9" w:rsidRDefault="00C441D4" w:rsidP="00DC3A56">
      <w:pPr>
        <w:pStyle w:val="MTDisplayEquation"/>
      </w:pPr>
      <w:r w:rsidRPr="00A82FC9">
        <w:tab/>
      </w:r>
      <w:r w:rsidR="00DB7818" w:rsidRPr="00A82FC9">
        <w:rPr>
          <w:position w:val="-24"/>
        </w:rPr>
        <w:object w:dxaOrig="5820" w:dyaOrig="960" w14:anchorId="39E0F887">
          <v:shape id="_x0000_i1028" type="#_x0000_t75" style="width:291pt;height:48pt" o:ole="">
            <v:imagedata r:id="rId14" o:title=""/>
          </v:shape>
          <o:OLEObject Type="Embed" ProgID="Equation.DSMT4" ShapeID="_x0000_i1028" DrawAspect="Content" ObjectID="_1740815000" r:id="rId15"/>
        </w:object>
      </w:r>
      <w:r w:rsidRPr="00A82FC9">
        <w:t>.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4</w:instrText>
        </w:r>
      </w:fldSimple>
      <w:r w:rsidRPr="00A82FC9">
        <w:instrText>)</w:instrText>
      </w:r>
      <w:r w:rsidRPr="00A82FC9">
        <w:fldChar w:fldCharType="end"/>
      </w:r>
    </w:p>
    <w:p w14:paraId="3683A4A7" w14:textId="20593288" w:rsidR="00C441D4" w:rsidRPr="00A82FC9" w:rsidRDefault="00A52736" w:rsidP="00DC3A56">
      <w:pPr>
        <w:rPr>
          <w:rFonts w:cs="Times New Roman"/>
        </w:rPr>
      </w:pPr>
      <w:r w:rsidRPr="00A82FC9">
        <w:rPr>
          <w:rFonts w:cs="Times New Roman"/>
        </w:rPr>
        <w:t xml:space="preserve">Sorting the variables (known variables on the </w:t>
      </w:r>
      <w:r w:rsidR="005379E8" w:rsidRPr="00A82FC9">
        <w:rPr>
          <w:rFonts w:cs="Times New Roman"/>
        </w:rPr>
        <w:t>right-hand</w:t>
      </w:r>
      <w:r w:rsidRPr="00A82FC9">
        <w:rPr>
          <w:rFonts w:cs="Times New Roman"/>
        </w:rPr>
        <w:t xml:space="preserve"> side, unknown on the left</w:t>
      </w:r>
      <w:r w:rsidR="005379E8">
        <w:rPr>
          <w:rFonts w:cs="Times New Roman"/>
        </w:rPr>
        <w:t>-</w:t>
      </w:r>
      <w:r w:rsidRPr="00A82FC9">
        <w:rPr>
          <w:rFonts w:cs="Times New Roman"/>
        </w:rPr>
        <w:t xml:space="preserve">hand side): </w:t>
      </w:r>
    </w:p>
    <w:p w14:paraId="10AC315C" w14:textId="029E2B97" w:rsidR="00DB7818" w:rsidRPr="00A82FC9" w:rsidRDefault="00DB7818" w:rsidP="00DC3A56">
      <w:pPr>
        <w:pStyle w:val="MTDisplayEquation"/>
      </w:pPr>
      <w:r w:rsidRPr="00A82FC9">
        <w:tab/>
      </w:r>
      <w:r w:rsidR="00CD66C2" w:rsidRPr="00A82FC9">
        <w:rPr>
          <w:position w:val="-24"/>
        </w:rPr>
        <w:object w:dxaOrig="7479" w:dyaOrig="660" w14:anchorId="504C0146">
          <v:shape id="_x0000_i1029" type="#_x0000_t75" style="width:374pt;height:33pt" o:ole="">
            <v:imagedata r:id="rId16" o:title=""/>
          </v:shape>
          <o:OLEObject Type="Embed" ProgID="Equation.DSMT4" ShapeID="_x0000_i1029" DrawAspect="Content" ObjectID="_1740815001" r:id="rId17"/>
        </w:object>
      </w:r>
      <w:r w:rsidRPr="00A82FC9">
        <w:t xml:space="preserve"> 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5</w:instrText>
        </w:r>
      </w:fldSimple>
      <w:r w:rsidRPr="00A82FC9">
        <w:instrText>)</w:instrText>
      </w:r>
      <w:r w:rsidRPr="00A82FC9">
        <w:fldChar w:fldCharType="end"/>
      </w:r>
    </w:p>
    <w:p w14:paraId="677AC6D5" w14:textId="13700521" w:rsidR="00DB7818" w:rsidRPr="00A82FC9" w:rsidRDefault="00DB7818" w:rsidP="00DC3A56">
      <w:pPr>
        <w:pStyle w:val="MTDisplayEquation"/>
      </w:pPr>
      <w:r w:rsidRPr="00A82FC9">
        <w:lastRenderedPageBreak/>
        <w:tab/>
      </w:r>
      <w:r w:rsidR="00CD66C2" w:rsidRPr="00A82FC9">
        <w:rPr>
          <w:position w:val="-32"/>
        </w:rPr>
        <w:object w:dxaOrig="8080" w:dyaOrig="760" w14:anchorId="0D99D10E">
          <v:shape id="_x0000_i1030" type="#_x0000_t75" style="width:404.5pt;height:38pt" o:ole="">
            <v:imagedata r:id="rId18" o:title=""/>
          </v:shape>
          <o:OLEObject Type="Embed" ProgID="Equation.DSMT4" ShapeID="_x0000_i1030" DrawAspect="Content" ObjectID="_1740815002" r:id="rId19"/>
        </w:object>
      </w:r>
      <w:r w:rsidRPr="00A82FC9">
        <w:t xml:space="preserve"> 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6</w:instrText>
        </w:r>
      </w:fldSimple>
      <w:r w:rsidRPr="00A82FC9">
        <w:instrText>)</w:instrText>
      </w:r>
      <w:r w:rsidRPr="00A82FC9">
        <w:fldChar w:fldCharType="end"/>
      </w:r>
    </w:p>
    <w:p w14:paraId="65BFE897" w14:textId="7E8F18DF" w:rsidR="00DB7818" w:rsidRPr="00A82FC9" w:rsidRDefault="00DB7818" w:rsidP="00DC3A56">
      <w:pPr>
        <w:pStyle w:val="MTDisplayEquation"/>
      </w:pPr>
      <w:r w:rsidRPr="00A82FC9">
        <w:tab/>
      </w:r>
      <w:r w:rsidR="00CD66C2" w:rsidRPr="00A82FC9">
        <w:rPr>
          <w:position w:val="-34"/>
        </w:rPr>
        <w:object w:dxaOrig="8040" w:dyaOrig="800" w14:anchorId="31A2610D">
          <v:shape id="_x0000_i1031" type="#_x0000_t75" style="width:402pt;height:40pt" o:ole="">
            <v:imagedata r:id="rId20" o:title=""/>
          </v:shape>
          <o:OLEObject Type="Embed" ProgID="Equation.DSMT4" ShapeID="_x0000_i1031" DrawAspect="Content" ObjectID="_1740815003" r:id="rId21"/>
        </w:object>
      </w:r>
      <w:r w:rsidRPr="00A82FC9">
        <w:t xml:space="preserve"> 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7</w:instrText>
        </w:r>
      </w:fldSimple>
      <w:r w:rsidRPr="00A82FC9">
        <w:instrText>)</w:instrText>
      </w:r>
      <w:r w:rsidRPr="00A82FC9">
        <w:fldChar w:fldCharType="end"/>
      </w:r>
    </w:p>
    <w:p w14:paraId="5FC77982" w14:textId="06991E40" w:rsidR="00A52736" w:rsidRPr="00A82FC9" w:rsidRDefault="00A52736" w:rsidP="00DC3A56">
      <w:pPr>
        <w:pStyle w:val="MTDisplayEquation"/>
      </w:pPr>
      <w:r w:rsidRPr="00A82FC9">
        <w:tab/>
      </w:r>
      <w:r w:rsidR="00B5655A" w:rsidRPr="00A82FC9">
        <w:rPr>
          <w:position w:val="-32"/>
        </w:rPr>
        <w:object w:dxaOrig="3300" w:dyaOrig="740" w14:anchorId="231EDEFB">
          <v:shape id="_x0000_i1032" type="#_x0000_t75" style="width:165pt;height:37pt" o:ole="">
            <v:imagedata r:id="rId22" o:title=""/>
          </v:shape>
          <o:OLEObject Type="Embed" ProgID="Equation.DSMT4" ShapeID="_x0000_i1032" DrawAspect="Content" ObjectID="_1740815004" r:id="rId23"/>
        </w:object>
      </w:r>
      <w:r w:rsidRPr="00A82FC9">
        <w:t xml:space="preserve"> 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8</w:instrText>
        </w:r>
      </w:fldSimple>
      <w:r w:rsidRPr="00A82FC9">
        <w:instrText>)</w:instrText>
      </w:r>
      <w:r w:rsidRPr="00A82FC9">
        <w:fldChar w:fldCharType="end"/>
      </w:r>
    </w:p>
    <w:p w14:paraId="043C3EE0" w14:textId="4C365122" w:rsidR="00A52736" w:rsidRPr="00A82FC9" w:rsidRDefault="00011B5A" w:rsidP="00DC3A56">
      <w:pPr>
        <w:rPr>
          <w:rFonts w:cs="Times New Roman"/>
        </w:rPr>
      </w:pPr>
      <w:r w:rsidRPr="00A82FC9">
        <w:rPr>
          <w:rFonts w:cs="Times New Roman"/>
        </w:rPr>
        <w:t>with</w:t>
      </w:r>
    </w:p>
    <w:p w14:paraId="18706FB7" w14:textId="64731DB0" w:rsidR="00B5655A" w:rsidRPr="00A82FC9" w:rsidRDefault="00B5655A" w:rsidP="00DC3A56">
      <w:pPr>
        <w:pStyle w:val="MTDisplayEquation"/>
      </w:pPr>
      <w:r w:rsidRPr="00A82FC9">
        <w:tab/>
      </w:r>
      <w:r w:rsidRPr="00A82FC9">
        <w:rPr>
          <w:position w:val="-112"/>
        </w:rPr>
        <w:object w:dxaOrig="3000" w:dyaOrig="2360" w14:anchorId="251FB556">
          <v:shape id="_x0000_i1033" type="#_x0000_t75" style="width:150pt;height:118pt" o:ole="">
            <v:imagedata r:id="rId24" o:title=""/>
          </v:shape>
          <o:OLEObject Type="Embed" ProgID="Equation.DSMT4" ShapeID="_x0000_i1033" DrawAspect="Content" ObjectID="_1740815005" r:id="rId25"/>
        </w:object>
      </w:r>
      <w:r w:rsidRPr="00A82FC9">
        <w:t xml:space="preserve"> ,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9</w:instrText>
        </w:r>
      </w:fldSimple>
      <w:r w:rsidRPr="00A82FC9">
        <w:instrText>)</w:instrText>
      </w:r>
      <w:r w:rsidRPr="00A82FC9">
        <w:fldChar w:fldCharType="end"/>
      </w:r>
    </w:p>
    <w:p w14:paraId="0D1CE24F" w14:textId="7657F56D" w:rsidR="00B5655A" w:rsidRPr="00A82FC9" w:rsidRDefault="00B5655A" w:rsidP="00DC3A56">
      <w:pPr>
        <w:rPr>
          <w:rFonts w:cs="Times New Roman"/>
        </w:rPr>
      </w:pPr>
      <w:r w:rsidRPr="00A82FC9">
        <w:rPr>
          <w:rFonts w:cs="Times New Roman"/>
        </w:rPr>
        <w:t>and</w:t>
      </w:r>
    </w:p>
    <w:p w14:paraId="7FCB9D2C" w14:textId="1EEECD15" w:rsidR="00CD66C2" w:rsidRDefault="00B218F1" w:rsidP="00DC3A56">
      <w:pPr>
        <w:pStyle w:val="MTDisplayEquation"/>
      </w:pPr>
      <w:r w:rsidRPr="00A82FC9">
        <w:tab/>
      </w:r>
      <w:r w:rsidRPr="00A82FC9">
        <w:rPr>
          <w:position w:val="-60"/>
        </w:rPr>
        <w:object w:dxaOrig="1579" w:dyaOrig="1320" w14:anchorId="649D2D17">
          <v:shape id="_x0000_i1034" type="#_x0000_t75" style="width:79pt;height:66pt" o:ole="">
            <v:imagedata r:id="rId26" o:title=""/>
          </v:shape>
          <o:OLEObject Type="Embed" ProgID="Equation.DSMT4" ShapeID="_x0000_i1034" DrawAspect="Content" ObjectID="_1740815006" r:id="rId27"/>
        </w:object>
      </w:r>
      <w:r w:rsidR="001675C5" w:rsidRPr="00A82FC9">
        <w:t>.</w:t>
      </w:r>
      <w:r w:rsidRPr="00A82FC9">
        <w:tab/>
      </w:r>
      <w:r w:rsidRPr="00A82FC9">
        <w:fldChar w:fldCharType="begin"/>
      </w:r>
      <w:r w:rsidRPr="00A82FC9">
        <w:instrText xml:space="preserve"> MACROBUTTON MTPlaceRef \* MERGEFORMAT </w:instrText>
      </w:r>
      <w:r w:rsidRPr="00A82FC9">
        <w:fldChar w:fldCharType="begin"/>
      </w:r>
      <w:r w:rsidRPr="00A82FC9">
        <w:instrText xml:space="preserve"> SEQ MTEqn \h \* MERGEFORMAT </w:instrText>
      </w:r>
      <w:r w:rsidRPr="00A82FC9">
        <w:fldChar w:fldCharType="end"/>
      </w:r>
      <w:r w:rsidRPr="00A82FC9">
        <w:instrText>(</w:instrText>
      </w:r>
      <w:fldSimple w:instr=" SEQ MTEqn \c \* Arabic \* MERGEFORMAT ">
        <w:r w:rsidR="00BE7F37">
          <w:rPr>
            <w:noProof/>
          </w:rPr>
          <w:instrText>10</w:instrText>
        </w:r>
      </w:fldSimple>
      <w:r w:rsidRPr="00A82FC9">
        <w:instrText>)</w:instrText>
      </w:r>
      <w:r w:rsidRPr="00A82FC9">
        <w:fldChar w:fldCharType="end"/>
      </w:r>
    </w:p>
    <w:p w14:paraId="46813312" w14:textId="7EBC6951" w:rsidR="00CD66C2" w:rsidRPr="00CD66C2" w:rsidRDefault="00CD66C2" w:rsidP="00DC3A56">
      <w:pPr>
        <w:rPr>
          <w:rFonts w:cs="Times New Roman"/>
          <w:i/>
          <w:iCs/>
        </w:rPr>
      </w:pPr>
      <w:r w:rsidRPr="00CD66C2">
        <w:rPr>
          <w:rFonts w:cs="Times New Roman"/>
          <w:i/>
          <w:iCs/>
        </w:rPr>
        <w:t>Thermal boundary conditions</w:t>
      </w:r>
    </w:p>
    <w:p w14:paraId="57DF0721" w14:textId="09BC2B34" w:rsidR="002F093B" w:rsidRDefault="00CD66C2" w:rsidP="00DC3A56">
      <w:r>
        <w:t xml:space="preserve">The thermal boundary conditions are defined as: </w:t>
      </w:r>
    </w:p>
    <w:p w14:paraId="12D21A5F" w14:textId="7AA4BA34" w:rsidR="00CD66C2" w:rsidRDefault="00CD66C2" w:rsidP="00DC3A56">
      <w:pPr>
        <w:pStyle w:val="ListParagraph"/>
        <w:numPr>
          <w:ilvl w:val="0"/>
          <w:numId w:val="1"/>
        </w:numPr>
      </w:pPr>
      <w:r>
        <w:t>Constant temperature</w:t>
      </w:r>
      <w:r w:rsidR="00344149">
        <w:t xml:space="preserve"> (</w:t>
      </w:r>
      <w:r w:rsidR="00344149">
        <w:rPr>
          <w:i/>
          <w:iCs/>
        </w:rPr>
        <w:t>Dirichlet</w:t>
      </w:r>
      <w:r w:rsidR="00344149">
        <w:t>)</w:t>
      </w:r>
    </w:p>
    <w:p w14:paraId="199C55E9" w14:textId="53A33924" w:rsidR="00302AAC" w:rsidRPr="00302AAC" w:rsidRDefault="00302AAC" w:rsidP="00DC3A56">
      <w:pPr>
        <w:pStyle w:val="ListParagraph"/>
      </w:pPr>
      <w:r>
        <w:t xml:space="preserve">The temperature at the top or bottom can just be set as constant to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top</w:t>
      </w:r>
      <w:proofErr w:type="spellEnd"/>
      <w:r>
        <w:rPr>
          <w:i/>
          <w:iCs/>
        </w:rPr>
        <w:t xml:space="preserve"> </w:t>
      </w:r>
      <w:r>
        <w:t xml:space="preserve">or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bot</w:t>
      </w:r>
      <w:proofErr w:type="spellEnd"/>
      <w:r>
        <w:t>, respectively.</w:t>
      </w:r>
    </w:p>
    <w:p w14:paraId="50886D05" w14:textId="33315652" w:rsidR="00CD66C2" w:rsidRDefault="00CD66C2" w:rsidP="00DC3A56">
      <w:pPr>
        <w:pStyle w:val="ListParagraph"/>
        <w:numPr>
          <w:ilvl w:val="0"/>
          <w:numId w:val="1"/>
        </w:numPr>
      </w:pPr>
      <w:r>
        <w:t>Constant temperature gradient</w:t>
      </w:r>
      <w:r w:rsidR="00344149">
        <w:t xml:space="preserve"> (</w:t>
      </w:r>
      <w:r w:rsidR="00344149">
        <w:rPr>
          <w:i/>
          <w:iCs/>
        </w:rPr>
        <w:t>Neumann</w:t>
      </w:r>
      <w:r w:rsidR="00344149">
        <w:t>)</w:t>
      </w:r>
    </w:p>
    <w:p w14:paraId="73666DE2" w14:textId="291AFEDF" w:rsidR="0042235B" w:rsidRDefault="0042235B" w:rsidP="00DC3A56">
      <w:pPr>
        <w:pStyle w:val="ListParagraph"/>
      </w:pPr>
      <w:r>
        <w:t xml:space="preserve">The gradient of temperature (and thus the vertical heat flux) can be defined using so called ghost nodes at the top and the bottom of the profile. </w:t>
      </w:r>
      <w:proofErr w:type="gramStart"/>
      <w:r>
        <w:t>Therefore</w:t>
      </w:r>
      <w:proofErr w:type="gramEnd"/>
      <w:r>
        <w:t xml:space="preserve"> we define the condition at the top and bottom as: </w:t>
      </w:r>
    </w:p>
    <w:p w14:paraId="0BB07C65" w14:textId="589A25B1" w:rsidR="0042235B" w:rsidRDefault="0042235B" w:rsidP="00DC3A56">
      <w:pPr>
        <w:pStyle w:val="MTDisplayEquation"/>
      </w:pPr>
      <w:r>
        <w:lastRenderedPageBreak/>
        <w:tab/>
      </w:r>
      <w:r w:rsidRPr="0042235B">
        <w:rPr>
          <w:position w:val="-68"/>
        </w:rPr>
        <w:object w:dxaOrig="2799" w:dyaOrig="1480" w14:anchorId="7F8039B5">
          <v:shape id="_x0000_i1035" type="#_x0000_t75" style="width:140pt;height:74pt" o:ole="">
            <v:imagedata r:id="rId28" o:title=""/>
          </v:shape>
          <o:OLEObject Type="Embed" ProgID="Equation.DSMT4" ShapeID="_x0000_i1035" DrawAspect="Content" ObjectID="_1740815007" r:id="rId29"/>
        </w:object>
      </w:r>
      <w:r w:rsidR="00DC3A56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E7F3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D04BCBC" w14:textId="77ABE449" w:rsidR="00DC3A56" w:rsidRDefault="00DC3A56" w:rsidP="00DC3A56">
      <w:pPr>
        <w:tabs>
          <w:tab w:val="left" w:pos="720"/>
        </w:tabs>
        <w:ind w:left="720" w:hanging="720"/>
      </w:pPr>
      <w:r>
        <w:tab/>
        <w:t xml:space="preserve">Where </w:t>
      </w:r>
      <w:r>
        <w:rPr>
          <w:i/>
          <w:iCs/>
        </w:rPr>
        <w:t>T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</w:t>
      </w:r>
      <w:r>
        <w:rPr>
          <w:i/>
          <w:iCs/>
          <w:vertAlign w:val="subscript"/>
        </w:rPr>
        <w:t>nz+1</w:t>
      </w:r>
      <w:r>
        <w:t xml:space="preserve"> are the ghost nodes for temperature at the top and bottom, respectively. The constants </w:t>
      </w:r>
      <w:proofErr w:type="spellStart"/>
      <w:r w:rsidRPr="00DC3A56">
        <w:rPr>
          <w:i/>
          <w:iCs/>
        </w:rPr>
        <w:t>c</w:t>
      </w:r>
      <w:r w:rsidRPr="00DC3A56">
        <w:rPr>
          <w:i/>
          <w:iCs/>
          <w:vertAlign w:val="subscript"/>
        </w:rPr>
        <w:t>top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 w:rsidRPr="00DC3A56">
        <w:rPr>
          <w:i/>
          <w:iCs/>
        </w:rPr>
        <w:t>c</w:t>
      </w:r>
      <w:r w:rsidRPr="00DC3A56">
        <w:rPr>
          <w:i/>
          <w:iCs/>
          <w:vertAlign w:val="subscript"/>
        </w:rPr>
        <w:t>bottom</w:t>
      </w:r>
      <w:proofErr w:type="spellEnd"/>
      <w:r>
        <w:rPr>
          <w:vertAlign w:val="subscript"/>
        </w:rPr>
        <w:t xml:space="preserve"> </w:t>
      </w:r>
      <w:r>
        <w:t xml:space="preserve">are defined as </w:t>
      </w:r>
    </w:p>
    <w:p w14:paraId="1861A9C0" w14:textId="32BD48EE" w:rsidR="00DC3A56" w:rsidRPr="00DC3A56" w:rsidRDefault="00DC3A56" w:rsidP="00DC3A56">
      <w:pPr>
        <w:pStyle w:val="MTDisplayEquation"/>
      </w:pPr>
      <w:r>
        <w:tab/>
      </w:r>
      <w:r w:rsidRPr="00DC3A56">
        <w:rPr>
          <w:position w:val="-32"/>
        </w:rPr>
        <w:object w:dxaOrig="2000" w:dyaOrig="740" w14:anchorId="1989AC5E">
          <v:shape id="_x0000_i1036" type="#_x0000_t75" style="width:100pt;height:37pt" o:ole="">
            <v:imagedata r:id="rId30" o:title=""/>
          </v:shape>
          <o:OLEObject Type="Embed" ProgID="Equation.DSMT4" ShapeID="_x0000_i1036" DrawAspect="Content" ObjectID="_1740815008" r:id="rId3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E7F3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7DF92F9" w14:textId="17F470FE" w:rsidR="00DC3A56" w:rsidRDefault="00DC3A56" w:rsidP="00DC3A56">
      <w:pPr>
        <w:tabs>
          <w:tab w:val="left" w:pos="720"/>
        </w:tabs>
        <w:ind w:left="720" w:hanging="720"/>
      </w:pPr>
      <w:r>
        <w:tab/>
        <w:t xml:space="preserve">Using these conditions, we can define formulations for the temperature at the ghost nodes as: </w:t>
      </w:r>
    </w:p>
    <w:p w14:paraId="500DE8C5" w14:textId="40CCCD3E" w:rsidR="001612D8" w:rsidRDefault="00DC3A56" w:rsidP="001612D8">
      <w:pPr>
        <w:pStyle w:val="MTDisplayEquation"/>
      </w:pPr>
      <w:r>
        <w:tab/>
      </w:r>
      <w:r w:rsidRPr="00DC3A56">
        <w:rPr>
          <w:position w:val="-32"/>
        </w:rPr>
        <w:object w:dxaOrig="2180" w:dyaOrig="760" w14:anchorId="245115A5">
          <v:shape id="_x0000_i1037" type="#_x0000_t75" style="width:109pt;height:38pt" o:ole="">
            <v:imagedata r:id="rId32" o:title=""/>
          </v:shape>
          <o:OLEObject Type="Embed" ProgID="Equation.DSMT4" ShapeID="_x0000_i1037" DrawAspect="Content" ObjectID="_1740815009" r:id="rId33"/>
        </w:object>
      </w:r>
      <w:r w:rsidR="001612D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89645"/>
      <w:r>
        <w:instrText>(</w:instrText>
      </w:r>
      <w:fldSimple w:instr=" SEQ MTEqn \c \* Arabic \* MERGEFORMAT ">
        <w:r w:rsidR="00BE7F37">
          <w:rPr>
            <w:noProof/>
          </w:rPr>
          <w:instrText>13</w:instrText>
        </w:r>
      </w:fldSimple>
      <w:r>
        <w:instrText>)</w:instrText>
      </w:r>
      <w:bookmarkEnd w:id="1"/>
      <w:r>
        <w:fldChar w:fldCharType="end"/>
      </w:r>
    </w:p>
    <w:p w14:paraId="632460E2" w14:textId="7B9E32DF" w:rsidR="001612D8" w:rsidRDefault="001465E4" w:rsidP="001612D8">
      <w:pPr>
        <w:ind w:left="720"/>
        <w:rPr>
          <w:iCs/>
        </w:rPr>
      </w:pPr>
      <w:r>
        <w:t xml:space="preserve">Now one can solve equation </w:t>
      </w:r>
      <w:r>
        <w:rPr>
          <w:iCs/>
        </w:rPr>
        <w:fldChar w:fldCharType="begin"/>
      </w:r>
      <w:r>
        <w:rPr>
          <w:iCs/>
        </w:rPr>
        <w:instrText xml:space="preserve"> GOTOBUTTON ZEqnNum199958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ZEqnNum199958 \* Charformat \! \* MERGEFORMAT </w:instrText>
      </w:r>
      <w:r>
        <w:rPr>
          <w:iCs/>
        </w:rPr>
        <w:fldChar w:fldCharType="separate"/>
      </w:r>
      <w:r w:rsidR="00BE7F37" w:rsidRPr="00BE7F37">
        <w:rPr>
          <w:iCs/>
        </w:rPr>
        <w:instrText>(3)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 xml:space="preserve"> for the top and the bottom using the formulations of the temperature at the ghost nodes with equation </w:t>
      </w:r>
      <w:r>
        <w:rPr>
          <w:iCs/>
        </w:rPr>
        <w:fldChar w:fldCharType="begin"/>
      </w:r>
      <w:r>
        <w:rPr>
          <w:iCs/>
        </w:rPr>
        <w:instrText xml:space="preserve"> GOTOBUTTON ZEqnNum789645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ZEqnNum789645 \* Charformat \! \* MERGEFORMAT </w:instrText>
      </w:r>
      <w:r>
        <w:rPr>
          <w:iCs/>
        </w:rPr>
        <w:fldChar w:fldCharType="separate"/>
      </w:r>
      <w:r w:rsidR="00BE7F37" w:rsidRPr="00BE7F37">
        <w:rPr>
          <w:iCs/>
        </w:rPr>
        <w:instrText>(13)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C4067D">
        <w:rPr>
          <w:iCs/>
        </w:rPr>
        <w:t xml:space="preserve">, which results in: </w:t>
      </w:r>
    </w:p>
    <w:p w14:paraId="114D31FB" w14:textId="027F32B9" w:rsidR="00C4067D" w:rsidRDefault="00C4067D" w:rsidP="00C4067D">
      <w:pPr>
        <w:pStyle w:val="MTDisplayEquation"/>
      </w:pPr>
      <w:r>
        <w:tab/>
      </w:r>
      <w:r w:rsidR="00BE7F37" w:rsidRPr="00270FAD">
        <w:rPr>
          <w:position w:val="-36"/>
        </w:rPr>
        <w:object w:dxaOrig="6820" w:dyaOrig="5960" w14:anchorId="2D9C4A47">
          <v:shape id="_x0000_i1038" type="#_x0000_t75" style="width:341pt;height:298.5pt" o:ole="">
            <v:imagedata r:id="rId34" o:title=""/>
          </v:shape>
          <o:OLEObject Type="Embed" ProgID="Equation.DSMT4" ShapeID="_x0000_i1038" DrawAspect="Content" ObjectID="_1740815010" r:id="rId35"/>
        </w:object>
      </w:r>
      <w:r w:rsidR="00BE7F37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E7F37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9291576" w14:textId="68622DF2" w:rsidR="004F25B9" w:rsidRDefault="004F25B9" w:rsidP="004F25B9">
      <w:pPr>
        <w:ind w:left="720"/>
      </w:pPr>
      <w:r>
        <w:t>with</w:t>
      </w:r>
    </w:p>
    <w:p w14:paraId="19898032" w14:textId="78556829" w:rsidR="004F25B9" w:rsidRPr="004F25B9" w:rsidRDefault="008D4CC9" w:rsidP="008D4CC9">
      <w:pPr>
        <w:pStyle w:val="MTDisplayEquation"/>
      </w:pPr>
      <w:r>
        <w:lastRenderedPageBreak/>
        <w:tab/>
      </w:r>
      <w:r w:rsidR="00BE7F37" w:rsidRPr="008D4CC9">
        <w:rPr>
          <w:position w:val="-110"/>
        </w:rPr>
        <w:object w:dxaOrig="2460" w:dyaOrig="2220" w14:anchorId="41C28C14">
          <v:shape id="_x0000_i1039" type="#_x0000_t75" style="width:123pt;height:111pt" o:ole="">
            <v:imagedata r:id="rId36" o:title=""/>
          </v:shape>
          <o:OLEObject Type="Embed" ProgID="Equation.DSMT4" ShapeID="_x0000_i1039" DrawAspect="Content" ObjectID="_1740815011" r:id="rId37"/>
        </w:object>
      </w:r>
      <w:r w:rsidR="00BE7F37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E7F37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758ABDA9" w14:textId="60BE9BFE" w:rsidR="00270FAD" w:rsidRDefault="00270FAD" w:rsidP="00BE7F37">
      <w:pPr>
        <w:ind w:left="720"/>
      </w:pPr>
      <w:r>
        <w:t>Similar for the bottom boundary</w:t>
      </w:r>
      <w:r w:rsidR="00BE7F37">
        <w:t xml:space="preserve"> with</w:t>
      </w:r>
      <w:r>
        <w:t xml:space="preserve">: </w:t>
      </w:r>
    </w:p>
    <w:p w14:paraId="0B7337EB" w14:textId="179A5482" w:rsidR="00BE7F37" w:rsidRPr="00270FAD" w:rsidRDefault="00BE7F37" w:rsidP="00BE7F37">
      <w:pPr>
        <w:pStyle w:val="MTDisplayEquation"/>
      </w:pPr>
      <w:r>
        <w:tab/>
      </w:r>
      <w:r w:rsidR="008F4C4A" w:rsidRPr="008F4C4A">
        <w:rPr>
          <w:position w:val="-126"/>
        </w:rPr>
        <w:object w:dxaOrig="2620" w:dyaOrig="2640" w14:anchorId="1F1EAEA3">
          <v:shape id="_x0000_i1040" type="#_x0000_t75" style="width:131pt;height:132pt" o:ole="">
            <v:imagedata r:id="rId38" o:title=""/>
          </v:shape>
          <o:OLEObject Type="Embed" ProgID="Equation.DSMT4" ShapeID="_x0000_i1040" DrawAspect="Content" ObjectID="_1740815012" r:id="rId3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7EF3DD2F" w14:textId="04921E5F" w:rsidR="002F093B" w:rsidRDefault="00A55F40" w:rsidP="00DC3A56">
      <w:pPr>
        <w:keepNext/>
      </w:pPr>
      <w:r w:rsidRPr="00A55F40">
        <w:rPr>
          <w:noProof/>
        </w:rPr>
        <w:drawing>
          <wp:inline distT="0" distB="0" distL="0" distR="0" wp14:anchorId="4C5241C1" wp14:editId="11AA9CFE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3A97" w14:textId="0E56BF2C" w:rsidR="002F093B" w:rsidRDefault="002F093B" w:rsidP="00DC3A56">
      <w:pPr>
        <w:pStyle w:val="Caption"/>
        <w:spacing w:line="360" w:lineRule="auto"/>
        <w:rPr>
          <w:rFonts w:cs="Times New Roman"/>
          <w:color w:val="auto"/>
        </w:rPr>
      </w:pPr>
      <w:r w:rsidRPr="002F093B">
        <w:rPr>
          <w:rFonts w:cs="Times New Roman"/>
          <w:b/>
          <w:bCs/>
          <w:color w:val="auto"/>
        </w:rPr>
        <w:t xml:space="preserve">Figure </w:t>
      </w:r>
      <w:r w:rsidRPr="002F093B">
        <w:rPr>
          <w:rFonts w:cs="Times New Roman"/>
          <w:b/>
          <w:bCs/>
          <w:color w:val="auto"/>
        </w:rPr>
        <w:fldChar w:fldCharType="begin"/>
      </w:r>
      <w:r w:rsidRPr="002F093B">
        <w:rPr>
          <w:rFonts w:cs="Times New Roman"/>
          <w:b/>
          <w:bCs/>
          <w:color w:val="auto"/>
        </w:rPr>
        <w:instrText xml:space="preserve"> SEQ Figure \* ARABIC </w:instrText>
      </w:r>
      <w:r w:rsidRPr="002F093B">
        <w:rPr>
          <w:rFonts w:cs="Times New Roman"/>
          <w:b/>
          <w:bCs/>
          <w:color w:val="auto"/>
        </w:rPr>
        <w:fldChar w:fldCharType="separate"/>
      </w:r>
      <w:r w:rsidR="00595191">
        <w:rPr>
          <w:rFonts w:cs="Times New Roman"/>
          <w:b/>
          <w:bCs/>
          <w:noProof/>
          <w:color w:val="auto"/>
        </w:rPr>
        <w:t>1</w:t>
      </w:r>
      <w:r w:rsidRPr="002F093B">
        <w:rPr>
          <w:rFonts w:cs="Times New Roman"/>
          <w:b/>
          <w:bCs/>
          <w:color w:val="auto"/>
        </w:rPr>
        <w:fldChar w:fldCharType="end"/>
      </w:r>
      <w:r>
        <w:rPr>
          <w:rFonts w:cs="Times New Roman"/>
          <w:b/>
          <w:bCs/>
          <w:color w:val="auto"/>
        </w:rPr>
        <w:t xml:space="preserve">. </w:t>
      </w:r>
      <w:r w:rsidR="00F603A0">
        <w:rPr>
          <w:rFonts w:cs="Times New Roman"/>
          <w:b/>
          <w:bCs/>
          <w:color w:val="auto"/>
        </w:rPr>
        <w:t xml:space="preserve">Oceanic Lithosphere. </w:t>
      </w:r>
      <w:r w:rsidR="00F603A0" w:rsidRPr="00F603A0">
        <w:rPr>
          <w:rFonts w:cs="Times New Roman"/>
          <w:color w:val="auto"/>
        </w:rPr>
        <w:t xml:space="preserve">LEFT: </w:t>
      </w:r>
      <w:r w:rsidR="00CC064B">
        <w:rPr>
          <w:rFonts w:cs="Times New Roman"/>
          <w:color w:val="auto"/>
        </w:rPr>
        <w:t>Temperature profile</w:t>
      </w:r>
      <w:r w:rsidR="00F31867">
        <w:rPr>
          <w:rFonts w:cs="Times New Roman"/>
          <w:color w:val="auto"/>
        </w:rPr>
        <w:t xml:space="preserve"> [K] </w:t>
      </w:r>
      <w:r w:rsidR="00CC064B">
        <w:rPr>
          <w:rFonts w:cs="Times New Roman"/>
          <w:color w:val="auto"/>
        </w:rPr>
        <w:t xml:space="preserve"> for an oceanic lithosphere </w:t>
      </w:r>
      <w:r w:rsidR="00F603A0">
        <w:rPr>
          <w:rFonts w:cs="Times New Roman"/>
          <w:color w:val="auto"/>
        </w:rPr>
        <w:t>of</w:t>
      </w:r>
      <w:r w:rsidR="00CC064B">
        <w:rPr>
          <w:rFonts w:cs="Times New Roman"/>
          <w:color w:val="auto"/>
        </w:rPr>
        <w:t xml:space="preserve"> </w:t>
      </w:r>
      <w:r w:rsidR="00D05A64">
        <w:rPr>
          <w:rFonts w:cs="Times New Roman"/>
          <w:color w:val="auto"/>
        </w:rPr>
        <w:t>6</w:t>
      </w:r>
      <w:r w:rsidR="00CC064B">
        <w:rPr>
          <w:rFonts w:cs="Times New Roman"/>
          <w:color w:val="auto"/>
        </w:rPr>
        <w:t>0 Ma of age and constant thermal boundary conditions at the top and bottom. The blue line shows the initial temperature profile.</w:t>
      </w:r>
      <w:r w:rsidR="00A55F40">
        <w:rPr>
          <w:rFonts w:cs="Times New Roman"/>
          <w:color w:val="auto"/>
        </w:rPr>
        <w:t xml:space="preserve"> The yellow dashed line shows the solution for a half-space cooling model.</w:t>
      </w:r>
      <w:r w:rsidR="00CC064B">
        <w:rPr>
          <w:rFonts w:cs="Times New Roman"/>
          <w:color w:val="auto"/>
        </w:rPr>
        <w:t xml:space="preserve"> </w:t>
      </w:r>
      <w:r w:rsidR="00F603A0">
        <w:rPr>
          <w:rFonts w:cs="Times New Roman"/>
          <w:color w:val="auto"/>
        </w:rPr>
        <w:t>RIGHT: Heat flux</w:t>
      </w:r>
      <w:r w:rsidR="0093564C">
        <w:rPr>
          <w:rFonts w:cs="Times New Roman"/>
          <w:color w:val="auto"/>
        </w:rPr>
        <w:t xml:space="preserve"> [</w:t>
      </w:r>
      <w:proofErr w:type="spellStart"/>
      <w:r w:rsidR="0093564C">
        <w:rPr>
          <w:rFonts w:cs="Times New Roman"/>
          <w:color w:val="auto"/>
        </w:rPr>
        <w:t>mW</w:t>
      </w:r>
      <w:proofErr w:type="spellEnd"/>
      <w:r w:rsidR="0093564C">
        <w:rPr>
          <w:rFonts w:cs="Times New Roman"/>
          <w:color w:val="auto"/>
        </w:rPr>
        <w:t>/m</w:t>
      </w:r>
      <w:r w:rsidR="0093564C">
        <w:rPr>
          <w:rFonts w:cs="Times New Roman"/>
          <w:color w:val="auto"/>
          <w:vertAlign w:val="superscript"/>
        </w:rPr>
        <w:t>2</w:t>
      </w:r>
      <w:r w:rsidR="0093564C">
        <w:rPr>
          <w:rFonts w:cs="Times New Roman"/>
          <w:color w:val="auto"/>
        </w:rPr>
        <w:t>]</w:t>
      </w:r>
      <w:r w:rsidR="00F603A0">
        <w:rPr>
          <w:rFonts w:cs="Times New Roman"/>
          <w:color w:val="auto"/>
        </w:rPr>
        <w:t xml:space="preserve"> with depth. </w:t>
      </w:r>
      <w:r w:rsidR="008457C6">
        <w:rPr>
          <w:rFonts w:cs="Times New Roman"/>
          <w:color w:val="auto"/>
        </w:rPr>
        <w:t xml:space="preserve">The parameters of this model are defined as the default values in the routine </w:t>
      </w:r>
      <w:proofErr w:type="spellStart"/>
      <w:r w:rsidR="008457C6">
        <w:rPr>
          <w:rFonts w:cs="Times New Roman"/>
          <w:color w:val="auto"/>
        </w:rPr>
        <w:t>OceanicGeotherm.m</w:t>
      </w:r>
      <w:proofErr w:type="spellEnd"/>
      <w:r w:rsidR="008457C6">
        <w:rPr>
          <w:rFonts w:cs="Times New Roman"/>
          <w:color w:val="auto"/>
        </w:rPr>
        <w:t xml:space="preserve">. </w:t>
      </w:r>
    </w:p>
    <w:p w14:paraId="36A896D8" w14:textId="17F68381" w:rsidR="003701CA" w:rsidRDefault="005E3F64" w:rsidP="003701CA">
      <w:pPr>
        <w:keepNext/>
      </w:pPr>
      <w:r w:rsidRPr="005E3F64">
        <w:rPr>
          <w:noProof/>
        </w:rPr>
        <w:lastRenderedPageBreak/>
        <w:drawing>
          <wp:inline distT="0" distB="0" distL="0" distR="0" wp14:anchorId="5FC0DC6A" wp14:editId="682A83B8">
            <wp:extent cx="5943600" cy="305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1855" w14:textId="39736FB8" w:rsidR="003701CA" w:rsidRPr="003701CA" w:rsidRDefault="003701CA" w:rsidP="00B45BE3">
      <w:pPr>
        <w:pStyle w:val="Caption"/>
        <w:spacing w:line="360" w:lineRule="auto"/>
        <w:rPr>
          <w:i w:val="0"/>
          <w:iCs w:val="0"/>
          <w:color w:val="auto"/>
        </w:rPr>
      </w:pPr>
      <w:r w:rsidRPr="003701CA">
        <w:rPr>
          <w:b/>
          <w:bCs/>
          <w:color w:val="auto"/>
        </w:rPr>
        <w:t xml:space="preserve">Figure </w:t>
      </w:r>
      <w:r w:rsidRPr="003701CA">
        <w:rPr>
          <w:b/>
          <w:bCs/>
          <w:color w:val="auto"/>
        </w:rPr>
        <w:fldChar w:fldCharType="begin"/>
      </w:r>
      <w:r w:rsidRPr="003701CA">
        <w:rPr>
          <w:b/>
          <w:bCs/>
          <w:color w:val="auto"/>
        </w:rPr>
        <w:instrText xml:space="preserve"> SEQ Figure \* ARABIC </w:instrText>
      </w:r>
      <w:r w:rsidRPr="003701CA">
        <w:rPr>
          <w:b/>
          <w:bCs/>
          <w:color w:val="auto"/>
        </w:rPr>
        <w:fldChar w:fldCharType="separate"/>
      </w:r>
      <w:r w:rsidR="00595191">
        <w:rPr>
          <w:b/>
          <w:bCs/>
          <w:noProof/>
          <w:color w:val="auto"/>
        </w:rPr>
        <w:t>2</w:t>
      </w:r>
      <w:r w:rsidRPr="003701CA"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 xml:space="preserve">. Oceanic Lithosphere II. </w:t>
      </w:r>
      <w:r>
        <w:rPr>
          <w:color w:val="auto"/>
        </w:rPr>
        <w:t xml:space="preserve">Same as Figure 1 but with constant heat flux boundary conditions </w:t>
      </w:r>
      <w:proofErr w:type="spellStart"/>
      <w:r>
        <w:rPr>
          <w:color w:val="auto"/>
        </w:rPr>
        <w:t>q</w:t>
      </w:r>
      <w:r>
        <w:rPr>
          <w:color w:val="auto"/>
          <w:vertAlign w:val="subscript"/>
        </w:rPr>
        <w:t>bottom</w:t>
      </w:r>
      <w:proofErr w:type="spellEnd"/>
      <w:r>
        <w:rPr>
          <w:color w:val="auto"/>
          <w:vertAlign w:val="subscript"/>
        </w:rPr>
        <w:t xml:space="preserve"> </w:t>
      </w:r>
      <w:r>
        <w:rPr>
          <w:color w:val="auto"/>
        </w:rPr>
        <w:t xml:space="preserve">=10 </w:t>
      </w:r>
      <w:proofErr w:type="spellStart"/>
      <w:r>
        <w:rPr>
          <w:color w:val="auto"/>
        </w:rPr>
        <w:t>mW</w:t>
      </w:r>
      <w:proofErr w:type="spellEnd"/>
      <w:r>
        <w:rPr>
          <w:color w:val="auto"/>
        </w:rPr>
        <w:t>/m</w:t>
      </w:r>
      <w:r>
        <w:rPr>
          <w:color w:val="auto"/>
          <w:vertAlign w:val="superscript"/>
        </w:rPr>
        <w:t>2</w:t>
      </w:r>
      <w:r>
        <w:rPr>
          <w:color w:val="auto"/>
        </w:rPr>
        <w:t xml:space="preserve"> and </w:t>
      </w:r>
      <w:proofErr w:type="spellStart"/>
      <w:r>
        <w:rPr>
          <w:color w:val="auto"/>
        </w:rPr>
        <w:t>q</w:t>
      </w:r>
      <w:r>
        <w:rPr>
          <w:color w:val="auto"/>
          <w:vertAlign w:val="subscript"/>
        </w:rPr>
        <w:t>top</w:t>
      </w:r>
      <w:proofErr w:type="spellEnd"/>
      <w:r>
        <w:rPr>
          <w:color w:val="auto"/>
        </w:rPr>
        <w:t xml:space="preserve"> = </w:t>
      </w:r>
      <w:r w:rsidR="00195635">
        <w:rPr>
          <w:color w:val="auto"/>
        </w:rPr>
        <w:t>9</w:t>
      </w:r>
      <w:r>
        <w:rPr>
          <w:color w:val="auto"/>
        </w:rPr>
        <w:t xml:space="preserve">0 </w:t>
      </w:r>
      <w:proofErr w:type="spellStart"/>
      <w:r>
        <w:rPr>
          <w:color w:val="auto"/>
        </w:rPr>
        <w:t>mW</w:t>
      </w:r>
      <w:proofErr w:type="spellEnd"/>
      <w:r>
        <w:rPr>
          <w:color w:val="auto"/>
        </w:rPr>
        <w:t>/m</w:t>
      </w:r>
      <w:r>
        <w:rPr>
          <w:color w:val="auto"/>
          <w:vertAlign w:val="superscript"/>
        </w:rPr>
        <w:t>2</w:t>
      </w:r>
      <w:r>
        <w:rPr>
          <w:color w:val="auto"/>
        </w:rPr>
        <w:t xml:space="preserve">. </w:t>
      </w:r>
    </w:p>
    <w:p w14:paraId="34693A6B" w14:textId="56FEFA4A" w:rsidR="001675C5" w:rsidRDefault="0089552A" w:rsidP="00DC3A56">
      <w:pPr>
        <w:keepNext/>
      </w:pPr>
      <w:r w:rsidRPr="0089552A">
        <w:rPr>
          <w:noProof/>
        </w:rPr>
        <w:drawing>
          <wp:inline distT="0" distB="0" distL="0" distR="0" wp14:anchorId="09D225DE" wp14:editId="5BDF6B81">
            <wp:extent cx="5943600" cy="305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6D0D" w14:textId="697E8980" w:rsidR="00011B5A" w:rsidRDefault="001675C5" w:rsidP="00DC3A56">
      <w:pPr>
        <w:pStyle w:val="Caption"/>
        <w:spacing w:line="360" w:lineRule="auto"/>
        <w:rPr>
          <w:rFonts w:cs="Times New Roman"/>
          <w:color w:val="auto"/>
        </w:rPr>
      </w:pPr>
      <w:r w:rsidRPr="00A82FC9">
        <w:rPr>
          <w:rFonts w:cs="Times New Roman"/>
          <w:b/>
          <w:bCs/>
          <w:color w:val="auto"/>
        </w:rPr>
        <w:t xml:space="preserve">Figure </w:t>
      </w:r>
      <w:r w:rsidRPr="00A82FC9">
        <w:rPr>
          <w:rFonts w:cs="Times New Roman"/>
          <w:b/>
          <w:bCs/>
          <w:color w:val="auto"/>
        </w:rPr>
        <w:fldChar w:fldCharType="begin"/>
      </w:r>
      <w:r w:rsidRPr="00A82FC9">
        <w:rPr>
          <w:rFonts w:cs="Times New Roman"/>
          <w:b/>
          <w:bCs/>
          <w:color w:val="auto"/>
        </w:rPr>
        <w:instrText xml:space="preserve"> SEQ Figure \* ARABIC </w:instrText>
      </w:r>
      <w:r w:rsidRPr="00A82FC9">
        <w:rPr>
          <w:rFonts w:cs="Times New Roman"/>
          <w:b/>
          <w:bCs/>
          <w:color w:val="auto"/>
        </w:rPr>
        <w:fldChar w:fldCharType="separate"/>
      </w:r>
      <w:r w:rsidR="00595191">
        <w:rPr>
          <w:rFonts w:cs="Times New Roman"/>
          <w:b/>
          <w:bCs/>
          <w:noProof/>
          <w:color w:val="auto"/>
        </w:rPr>
        <w:t>3</w:t>
      </w:r>
      <w:r w:rsidRPr="00A82FC9">
        <w:rPr>
          <w:rFonts w:cs="Times New Roman"/>
          <w:b/>
          <w:bCs/>
          <w:color w:val="auto"/>
        </w:rPr>
        <w:fldChar w:fldCharType="end"/>
      </w:r>
      <w:r w:rsidR="00960CA1">
        <w:rPr>
          <w:rFonts w:cs="Times New Roman"/>
          <w:b/>
          <w:bCs/>
          <w:color w:val="auto"/>
        </w:rPr>
        <w:t xml:space="preserve">. </w:t>
      </w:r>
      <w:r w:rsidR="0060436F">
        <w:rPr>
          <w:rFonts w:cs="Times New Roman"/>
          <w:b/>
          <w:bCs/>
          <w:color w:val="auto"/>
        </w:rPr>
        <w:t xml:space="preserve">Continental Lithosphere. </w:t>
      </w:r>
      <w:r w:rsidR="0060436F">
        <w:rPr>
          <w:rFonts w:cs="Times New Roman"/>
          <w:color w:val="auto"/>
        </w:rPr>
        <w:t xml:space="preserve">LEFT: Temperature profile for a continental lithosphere of 1000 Ma of age with constant upper and lower thermal boundary conditions. </w:t>
      </w:r>
      <w:r w:rsidR="00FD1E67">
        <w:rPr>
          <w:rFonts w:cs="Times New Roman"/>
          <w:color w:val="auto"/>
        </w:rPr>
        <w:t>The blue line shows the initial condition, t</w:t>
      </w:r>
      <w:r w:rsidR="0060436F">
        <w:rPr>
          <w:rFonts w:cs="Times New Roman"/>
          <w:color w:val="auto"/>
        </w:rPr>
        <w:t>he red line shows the solution of equation</w:t>
      </w:r>
      <w:r w:rsidR="00391DD8">
        <w:rPr>
          <w:rFonts w:cs="Times New Roman"/>
          <w:color w:val="auto"/>
        </w:rPr>
        <w:t xml:space="preserve"> (1), the yellow dashed line shows the solution of the time-independent heat equation (1-D </w:t>
      </w:r>
      <w:proofErr w:type="spellStart"/>
      <w:r w:rsidR="00391DD8">
        <w:rPr>
          <w:rFonts w:cs="Times New Roman"/>
          <w:color w:val="auto"/>
        </w:rPr>
        <w:t>poisson</w:t>
      </w:r>
      <w:proofErr w:type="spellEnd"/>
      <w:r w:rsidR="00391DD8">
        <w:rPr>
          <w:rFonts w:cs="Times New Roman"/>
          <w:color w:val="auto"/>
        </w:rPr>
        <w:t xml:space="preserve"> equation), and the magenta dashed line shows the solution of a 2D, staggered finite difference code. </w:t>
      </w:r>
      <w:r w:rsidR="00217C5D">
        <w:rPr>
          <w:rFonts w:cs="Times New Roman"/>
          <w:color w:val="auto"/>
        </w:rPr>
        <w:t>MIDDLE: Heat flux with depth. RIGHT: Thermal parameter for the lithosphere setup: thermal conductivity [k], specific heat [c</w:t>
      </w:r>
      <w:r w:rsidR="00217C5D">
        <w:rPr>
          <w:rFonts w:cs="Times New Roman"/>
          <w:color w:val="auto"/>
          <w:vertAlign w:val="subscript"/>
        </w:rPr>
        <w:t>p</w:t>
      </w:r>
      <w:r w:rsidR="00217C5D">
        <w:rPr>
          <w:rFonts w:cs="Times New Roman"/>
          <w:color w:val="auto"/>
        </w:rPr>
        <w:t>], density [ρ], and volumetric heat generation rate [Q].</w:t>
      </w:r>
    </w:p>
    <w:p w14:paraId="152435CD" w14:textId="77777777" w:rsidR="00595191" w:rsidRDefault="00595191" w:rsidP="00595191">
      <w:pPr>
        <w:keepNext/>
      </w:pPr>
      <w:r w:rsidRPr="00595191">
        <w:rPr>
          <w:noProof/>
        </w:rPr>
        <w:lastRenderedPageBreak/>
        <w:drawing>
          <wp:inline distT="0" distB="0" distL="0" distR="0" wp14:anchorId="3939CB44" wp14:editId="230674DE">
            <wp:extent cx="5943600" cy="305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E42A" w14:textId="2ACE9A59" w:rsidR="00595191" w:rsidRPr="00595191" w:rsidRDefault="00595191" w:rsidP="00595191">
      <w:pPr>
        <w:pStyle w:val="Caption"/>
        <w:spacing w:line="360" w:lineRule="auto"/>
        <w:rPr>
          <w:color w:val="auto"/>
        </w:rPr>
      </w:pPr>
      <w:r w:rsidRPr="00595191">
        <w:rPr>
          <w:b/>
          <w:bCs/>
          <w:color w:val="auto"/>
        </w:rPr>
        <w:t xml:space="preserve">Figure </w:t>
      </w:r>
      <w:r w:rsidRPr="00595191">
        <w:rPr>
          <w:b/>
          <w:bCs/>
          <w:color w:val="auto"/>
        </w:rPr>
        <w:fldChar w:fldCharType="begin"/>
      </w:r>
      <w:r w:rsidRPr="00595191">
        <w:rPr>
          <w:b/>
          <w:bCs/>
          <w:color w:val="auto"/>
        </w:rPr>
        <w:instrText xml:space="preserve"> SEQ Figure \* ARABIC </w:instrText>
      </w:r>
      <w:r w:rsidRPr="00595191">
        <w:rPr>
          <w:b/>
          <w:bCs/>
          <w:color w:val="auto"/>
        </w:rPr>
        <w:fldChar w:fldCharType="separate"/>
      </w:r>
      <w:r w:rsidRPr="00595191">
        <w:rPr>
          <w:b/>
          <w:bCs/>
          <w:noProof/>
          <w:color w:val="auto"/>
        </w:rPr>
        <w:t>4</w:t>
      </w:r>
      <w:r w:rsidRPr="00595191">
        <w:rPr>
          <w:b/>
          <w:bCs/>
          <w:color w:val="auto"/>
        </w:rPr>
        <w:fldChar w:fldCharType="end"/>
      </w:r>
      <w:r w:rsidRPr="00595191">
        <w:rPr>
          <w:b/>
          <w:bCs/>
          <w:color w:val="auto"/>
        </w:rPr>
        <w:t xml:space="preserve">. Continental Lithosphere II. </w:t>
      </w:r>
      <w:r>
        <w:rPr>
          <w:color w:val="auto"/>
        </w:rPr>
        <w:t xml:space="preserve">Same as Figure 3 but with constant upper and lower heat flux boundary conditions, </w:t>
      </w:r>
      <w:proofErr w:type="spellStart"/>
      <w:r>
        <w:rPr>
          <w:color w:val="auto"/>
        </w:rPr>
        <w:t>q</w:t>
      </w:r>
      <w:r>
        <w:rPr>
          <w:color w:val="auto"/>
          <w:vertAlign w:val="subscript"/>
        </w:rPr>
        <w:t>top</w:t>
      </w:r>
      <w:proofErr w:type="spellEnd"/>
      <w:r>
        <w:rPr>
          <w:color w:val="auto"/>
        </w:rPr>
        <w:t xml:space="preserve"> = 40 </w:t>
      </w:r>
      <w:proofErr w:type="spellStart"/>
      <w:r>
        <w:rPr>
          <w:color w:val="auto"/>
        </w:rPr>
        <w:t>mW</w:t>
      </w:r>
      <w:proofErr w:type="spellEnd"/>
      <w:r>
        <w:rPr>
          <w:color w:val="auto"/>
        </w:rPr>
        <w:t>/m</w:t>
      </w:r>
      <w:r>
        <w:rPr>
          <w:color w:val="auto"/>
          <w:vertAlign w:val="superscript"/>
        </w:rPr>
        <w:t>2</w:t>
      </w:r>
      <w:r>
        <w:rPr>
          <w:color w:val="auto"/>
        </w:rPr>
        <w:t xml:space="preserve"> and </w:t>
      </w:r>
      <w:proofErr w:type="spellStart"/>
      <w:r>
        <w:rPr>
          <w:color w:val="auto"/>
        </w:rPr>
        <w:t>q</w:t>
      </w:r>
      <w:r>
        <w:rPr>
          <w:color w:val="auto"/>
          <w:vertAlign w:val="subscript"/>
        </w:rPr>
        <w:t>bottom</w:t>
      </w:r>
      <w:proofErr w:type="spellEnd"/>
      <w:r>
        <w:rPr>
          <w:color w:val="auto"/>
        </w:rPr>
        <w:t xml:space="preserve"> = 10 </w:t>
      </w:r>
      <w:proofErr w:type="spellStart"/>
      <w:r>
        <w:rPr>
          <w:color w:val="auto"/>
        </w:rPr>
        <w:t>mW</w:t>
      </w:r>
      <w:proofErr w:type="spellEnd"/>
      <w:r>
        <w:rPr>
          <w:color w:val="auto"/>
        </w:rPr>
        <w:t>/m</w:t>
      </w:r>
      <w:r>
        <w:rPr>
          <w:color w:val="auto"/>
          <w:vertAlign w:val="superscript"/>
        </w:rPr>
        <w:t>2</w:t>
      </w:r>
      <w:r>
        <w:rPr>
          <w:color w:val="auto"/>
        </w:rPr>
        <w:t>.</w:t>
      </w:r>
    </w:p>
    <w:sectPr w:rsidR="00595191" w:rsidRPr="00595191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2C58" w14:textId="77777777" w:rsidR="00541D7F" w:rsidRDefault="00541D7F" w:rsidP="002C76C8">
      <w:pPr>
        <w:spacing w:after="0" w:line="240" w:lineRule="auto"/>
      </w:pPr>
      <w:r>
        <w:separator/>
      </w:r>
    </w:p>
  </w:endnote>
  <w:endnote w:type="continuationSeparator" w:id="0">
    <w:p w14:paraId="642F85EF" w14:textId="77777777" w:rsidR="00541D7F" w:rsidRDefault="00541D7F" w:rsidP="002C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E22F" w14:textId="77777777" w:rsidR="00541D7F" w:rsidRDefault="00541D7F" w:rsidP="002C76C8">
      <w:pPr>
        <w:spacing w:after="0" w:line="240" w:lineRule="auto"/>
      </w:pPr>
      <w:r>
        <w:separator/>
      </w:r>
    </w:p>
  </w:footnote>
  <w:footnote w:type="continuationSeparator" w:id="0">
    <w:p w14:paraId="7BC82372" w14:textId="77777777" w:rsidR="00541D7F" w:rsidRDefault="00541D7F" w:rsidP="002C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D926" w14:textId="5EEA30A5" w:rsidR="002C76C8" w:rsidRDefault="002C76C8">
    <w:pPr>
      <w:pStyle w:val="Header"/>
    </w:pPr>
    <w:r>
      <w:t>Temperature</w:t>
    </w:r>
    <w:r>
      <w:t xml:space="preserve"> Calculations | </w:t>
    </w:r>
    <w:proofErr w:type="spellStart"/>
    <w:r>
      <w:t>RheoStat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596C"/>
    <w:multiLevelType w:val="hybridMultilevel"/>
    <w:tmpl w:val="8ABE3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61"/>
    <w:rsid w:val="00011441"/>
    <w:rsid w:val="00011B5A"/>
    <w:rsid w:val="00140CD6"/>
    <w:rsid w:val="001465E4"/>
    <w:rsid w:val="001612D8"/>
    <w:rsid w:val="001675C5"/>
    <w:rsid w:val="00195635"/>
    <w:rsid w:val="001E3E66"/>
    <w:rsid w:val="00217C5D"/>
    <w:rsid w:val="00270FAD"/>
    <w:rsid w:val="002C76C8"/>
    <w:rsid w:val="002F093B"/>
    <w:rsid w:val="00302AAC"/>
    <w:rsid w:val="0030706C"/>
    <w:rsid w:val="00344149"/>
    <w:rsid w:val="003601CA"/>
    <w:rsid w:val="003701CA"/>
    <w:rsid w:val="00391DD8"/>
    <w:rsid w:val="0042235B"/>
    <w:rsid w:val="004566DB"/>
    <w:rsid w:val="004D7E3A"/>
    <w:rsid w:val="004F0C6D"/>
    <w:rsid w:val="004F25B9"/>
    <w:rsid w:val="005379E8"/>
    <w:rsid w:val="00541D7F"/>
    <w:rsid w:val="00544F25"/>
    <w:rsid w:val="005813D5"/>
    <w:rsid w:val="00595191"/>
    <w:rsid w:val="005E3F64"/>
    <w:rsid w:val="0060436F"/>
    <w:rsid w:val="00634429"/>
    <w:rsid w:val="00750B05"/>
    <w:rsid w:val="00772627"/>
    <w:rsid w:val="00783D6D"/>
    <w:rsid w:val="00837FF7"/>
    <w:rsid w:val="008457C6"/>
    <w:rsid w:val="00885956"/>
    <w:rsid w:val="0089552A"/>
    <w:rsid w:val="008D4CC9"/>
    <w:rsid w:val="008E6596"/>
    <w:rsid w:val="008F4C4A"/>
    <w:rsid w:val="0093564C"/>
    <w:rsid w:val="00960CA1"/>
    <w:rsid w:val="009657E0"/>
    <w:rsid w:val="00987D12"/>
    <w:rsid w:val="009D058C"/>
    <w:rsid w:val="00A01DB9"/>
    <w:rsid w:val="00A35F14"/>
    <w:rsid w:val="00A52736"/>
    <w:rsid w:val="00A55F40"/>
    <w:rsid w:val="00A82FC9"/>
    <w:rsid w:val="00A9551F"/>
    <w:rsid w:val="00AA1F71"/>
    <w:rsid w:val="00B06327"/>
    <w:rsid w:val="00B1633A"/>
    <w:rsid w:val="00B218F1"/>
    <w:rsid w:val="00B45BE3"/>
    <w:rsid w:val="00B5655A"/>
    <w:rsid w:val="00BB0695"/>
    <w:rsid w:val="00BE7911"/>
    <w:rsid w:val="00BE7F37"/>
    <w:rsid w:val="00C35665"/>
    <w:rsid w:val="00C4067D"/>
    <w:rsid w:val="00C441D4"/>
    <w:rsid w:val="00C81CBE"/>
    <w:rsid w:val="00CA4441"/>
    <w:rsid w:val="00CC064B"/>
    <w:rsid w:val="00CD66C2"/>
    <w:rsid w:val="00D05A64"/>
    <w:rsid w:val="00D97D42"/>
    <w:rsid w:val="00DA4561"/>
    <w:rsid w:val="00DB7818"/>
    <w:rsid w:val="00DC3A56"/>
    <w:rsid w:val="00EB5148"/>
    <w:rsid w:val="00EE7667"/>
    <w:rsid w:val="00F31867"/>
    <w:rsid w:val="00F603A0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C66"/>
  <w15:chartTrackingRefBased/>
  <w15:docId w15:val="{CC72A4D0-4F02-49E6-BD78-C0F2E3A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E4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35F14"/>
    <w:rPr>
      <w:rFonts w:ascii="Times New Roman" w:hAnsi="Times New Roman" w:cs="Times New Roman"/>
      <w:b/>
      <w:bCs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A35F1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A35F14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675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C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C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C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e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00BC0-A84C-4621-BDAE-3DFFB018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7394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Fuchs</dc:creator>
  <cp:keywords/>
  <dc:description/>
  <cp:lastModifiedBy>Lukas Fuchs</cp:lastModifiedBy>
  <cp:revision>64</cp:revision>
  <dcterms:created xsi:type="dcterms:W3CDTF">2023-02-18T12:57:00Z</dcterms:created>
  <dcterms:modified xsi:type="dcterms:W3CDTF">2023-03-20T09:56:00Z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