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RIF138538_Ocorrencias.csv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316CD6CB686A07764FED819353CBADC348A66734CCED582C9D224B9A0AD6C24C</w:t>
        <w:br/>
        <w:t>Entidades identificadas: 0</w:t>
        <w:br/>
        <w:t>Substituicoes aplicadas: 0</w:t>
        <w:br/>
        <w:t>Eventos internos de comunicacao: 12</w:t>
        <w:br/>
        <w:t>Ultimo estagio interno: validacao_saida</w:t>
        <w:br/>
        <w:t>Gerado em: 25/06/2026 09:41:49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Indexador;idOcorrencia;Ocorrencia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1;204;Depositos em especie fracionados em valores inferiores ao limite operacional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99A98A62A7D21681BFF13F14F851C82CBE1DE29F1F6F334210A3F10F696D8B9D</dc:description>
</cp:coreProperties>
</file>