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Vanroey Vanroey Vanroey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Aruba Aruba Aruba Aruba Aruba Aruba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GPS GPS GPS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Bluetooth Bluetooth Bluetooth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Wifi Wifi Wifi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Cloud4Wi Cloud4Wi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Locatiebepaling Locatiebepaling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pfSense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Beacon Beacon Beacon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Accesspoint Accesspoint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Analyse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FujinIT FujinIT FujinIT FujinIT FujinIT FujinIT FujinIT FujinIT FujinIT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Volare Volare Volare Volare Volare</w:t>
        <w:br w:type="textWrapping"/>
        <w:t xml:space="preserve">Captive Portal</w:t>
        <w:br w:type="textWrapping"/>
        <w:t xml:space="preserve">Plan van aanpak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Presentatie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Technologiën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Vergelijken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Cisco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Ubiquiti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FortiAP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Besluit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Mapwize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