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jc w:val="center"/>
        <w:rPr/>
      </w:pPr>
      <w:bookmarkStart w:id="0" w:name="X444a0cfb1558718d33028d12a60bc0b016d414c"/>
      <w:r>
        <w:rPr/>
        <w:t>Push Button Reproduction Attempt to Evaluate a Claim from Hertel_ClinPsychSci_2018_YabW</w:t>
      </w:r>
      <w:bookmarkEnd w:id="0"/>
    </w:p>
    <w:p>
      <w:pPr>
        <w:pStyle w:val="FirstParagraph"/>
        <w:rPr>
          <w:b w:val="false"/>
          <w:b w:val="false"/>
          <w:bCs w:val="false"/>
          <w:sz w:val="12"/>
          <w:szCs w:val="12"/>
        </w:rPr>
      </w:pPr>
      <w:r>
        <w:rPr>
          <w:b w:val="false"/>
          <w:bCs w:val="false"/>
          <w:sz w:val="12"/>
          <w:szCs w:val="12"/>
        </w:rPr>
      </w:r>
    </w:p>
    <w:p>
      <w:pPr>
        <w:pStyle w:val="FirstParagraph"/>
        <w:rPr/>
      </w:pPr>
      <w:r>
        <w:rPr>
          <w:b/>
        </w:rPr>
        <w:t>Reproduction analyst(s):</w:t>
      </w:r>
      <w:r>
        <w:rPr/>
        <w:t xml:space="preserve"> Dmitry Grigoryev</w:t>
      </w:r>
    </w:p>
    <w:p>
      <w:pPr>
        <w:pStyle w:val="TextBody"/>
        <w:rPr/>
      </w:pPr>
      <w:r>
        <w:rPr>
          <w:b/>
        </w:rPr>
        <w:t>SCORE RR ID:</w:t>
      </w:r>
      <w:r>
        <w:rPr/>
        <w:t xml:space="preserve"> 2y474</w:t>
      </w:r>
    </w:p>
    <w:p>
      <w:pPr>
        <w:pStyle w:val="TextBody"/>
        <w:rPr/>
      </w:pPr>
      <w:r>
        <w:rPr>
          <w:b/>
        </w:rPr>
        <w:t>OSF Project:</w:t>
      </w:r>
      <w:r>
        <w:rPr/>
        <w:t xml:space="preserve"> </w:t>
      </w:r>
      <w:hyperlink r:id="rId2">
        <w:r>
          <w:rPr>
            <w:rStyle w:val="InternetLink"/>
          </w:rPr>
          <w:t>https://osf.io/57pn2</w:t>
        </w:r>
      </w:hyperlink>
    </w:p>
    <w:p>
      <w:pPr>
        <w:pStyle w:val="Heading2"/>
        <w:rPr/>
      </w:pPr>
      <w:bookmarkStart w:id="1" w:name="transparency-trail"/>
      <w:r>
        <w:rPr/>
        <w:t>Transparency Trail</w:t>
      </w:r>
      <w:bookmarkEnd w:id="1"/>
    </w:p>
    <w:p>
      <w:pPr>
        <w:pStyle w:val="Heading3"/>
        <w:rPr/>
      </w:pPr>
      <w:bookmarkStart w:id="2" w:name="push-button-attempt"/>
      <w:r>
        <w:rPr/>
        <w:t>Push Button attempt</w:t>
      </w:r>
      <w:bookmarkEnd w:id="2"/>
    </w:p>
    <w:p>
      <w:pPr>
        <w:pStyle w:val="Heading3"/>
        <w:rPr/>
      </w:pPr>
      <w:bookmarkStart w:id="3" w:name="analysis-attempt-1"/>
      <w:r>
        <w:rPr/>
        <w:t>Analysis attempt 1</w:t>
      </w:r>
      <w:bookmarkEnd w:id="3"/>
    </w:p>
    <w:p>
      <w:pPr>
        <w:pStyle w:val="Compact"/>
        <w:numPr>
          <w:ilvl w:val="0"/>
          <w:numId w:val="1"/>
        </w:numPr>
        <w:rPr/>
      </w:pPr>
      <w:r>
        <w:rPr/>
        <w:t>To conduct this “push button” reproduction it needs the IBM SPSS software.</w:t>
      </w:r>
    </w:p>
    <w:p>
      <w:pPr>
        <w:pStyle w:val="Compact"/>
        <w:numPr>
          <w:ilvl w:val="0"/>
          <w:numId w:val="11"/>
        </w:numPr>
        <w:rPr/>
      </w:pPr>
      <w:r>
        <w:rPr/>
        <w:t xml:space="preserve">In the first step, the files containing the dataset of Experiment 2 </w:t>
      </w:r>
      <w:r>
        <w:rPr/>
        <w:t>(</w:t>
      </w:r>
      <w:r>
        <w:rPr>
          <w:rStyle w:val="VerbatimChar"/>
        </w:rPr>
        <w:t>Ashley_labels.sav</w:t>
      </w:r>
      <w:r>
        <w:rPr/>
        <w:t>)</w:t>
      </w:r>
      <w:r>
        <w:rPr/>
        <w:t xml:space="preserve"> and SPSS output </w:t>
      </w:r>
      <w:r>
        <w:rPr/>
        <w:t>(</w:t>
      </w:r>
      <w:r>
        <w:rPr>
          <w:rStyle w:val="VerbatimChar"/>
        </w:rPr>
        <w:t>ashley incomplete.spv</w:t>
      </w:r>
      <w:r>
        <w:rPr/>
        <w:t>)</w:t>
      </w:r>
      <w:r>
        <w:rPr/>
        <w:t xml:space="preserve"> were opened in IBM SPSS Statistics v. 27.</w:t>
      </w:r>
    </w:p>
    <w:p>
      <w:pPr>
        <w:pStyle w:val="Compact"/>
        <w:numPr>
          <w:ilvl w:val="0"/>
          <w:numId w:val="12"/>
        </w:numPr>
        <w:rPr/>
      </w:pPr>
      <w:r>
        <w:rPr/>
        <w:t xml:space="preserve">After reading about the focal test on p. 878 in Hertel et al. (2018), the SPSS syntax for this test was found in the SPSS output. This syntax was copied in </w:t>
      </w:r>
      <w:r>
        <w:rPr/>
        <w:t>a</w:t>
      </w:r>
      <w:r>
        <w:rPr/>
        <w:t xml:space="preserve"> separate file </w:t>
      </w:r>
      <w:r>
        <w:rPr/>
        <w:t>(</w:t>
      </w:r>
      <w:r>
        <w:rPr>
          <w:rStyle w:val="VerbatimChar"/>
        </w:rPr>
        <w:t>Hertel_ClinPsychSci_2018_YabW_SPSS_Syntax.sps</w:t>
      </w:r>
      <w:r>
        <w:rPr/>
        <w:t>)</w:t>
      </w:r>
      <w:r>
        <w:rPr/>
        <w:t xml:space="preserve"> to conduct the reproduction of the single-trace claim.</w:t>
      </w:r>
    </w:p>
    <w:p>
      <w:pPr>
        <w:pStyle w:val="Compact"/>
        <w:numPr>
          <w:ilvl w:val="0"/>
          <w:numId w:val="13"/>
        </w:numPr>
        <w:rPr/>
      </w:pPr>
      <w:r>
        <w:rPr/>
        <w:t>Running of the copied SPSS syntax by the first attempt provided the results, which were saved in the files (</w:t>
      </w:r>
      <w:r>
        <w:rPr>
          <w:rStyle w:val="VerbatimChar"/>
        </w:rPr>
        <w:t xml:space="preserve">Hertel_ClinPsychSci_2018_YabWSPSS_Output.spv </w:t>
      </w:r>
      <w:r>
        <w:rPr>
          <w:rStyle w:val="VerbatimChar"/>
          <w:rFonts w:ascii="Cambria" w:hAnsi="Cambria"/>
          <w:sz w:val="24"/>
          <w:szCs w:val="24"/>
        </w:rPr>
        <w:t xml:space="preserve">and </w:t>
      </w:r>
      <w:r>
        <w:rPr>
          <w:rStyle w:val="VerbatimChar"/>
          <w:szCs w:val="24"/>
        </w:rPr>
        <w:t>Hertel_ClinPsychSci_2018_YabW_Results.pdf</w:t>
      </w:r>
      <w:r>
        <w:rPr/>
        <w:t>).</w:t>
      </w:r>
    </w:p>
    <w:p>
      <w:pPr>
        <w:pStyle w:val="Compact"/>
        <w:numPr>
          <w:ilvl w:val="0"/>
          <w:numId w:val="14"/>
        </w:numPr>
        <w:rPr/>
      </w:pPr>
      <w:r>
        <w:rPr/>
        <w:t xml:space="preserve">This first attempt </w:t>
      </w:r>
      <w:r>
        <w:rPr>
          <w:lang w:val="en-US"/>
        </w:rPr>
        <w:t xml:space="preserve">of the </w:t>
      </w:r>
      <w:r>
        <w:rPr/>
        <w:t>“push button” reproduction took less than 30 minutes.</w:t>
      </w:r>
    </w:p>
    <w:p>
      <w:pPr>
        <w:pStyle w:val="Heading2"/>
        <w:rPr/>
      </w:pPr>
      <w:bookmarkStart w:id="4" w:name="claim-evaluation"/>
      <w:r>
        <w:rPr/>
        <w:t>Claim evaluation</w:t>
      </w:r>
      <w:bookmarkEnd w:id="4"/>
    </w:p>
    <w:p>
      <w:pPr>
        <w:pStyle w:val="TextBody"/>
        <w:rPr>
          <w:b/>
          <w:b/>
          <w:bCs/>
        </w:rPr>
      </w:pPr>
      <w:r>
        <w:rPr>
          <w:b/>
          <w:bCs/>
        </w:rPr>
        <w:t xml:space="preserve">Link to analysis script: </w:t>
      </w:r>
    </w:p>
    <w:p>
      <w:pPr>
        <w:pStyle w:val="TextBody"/>
        <w:rPr/>
      </w:pPr>
      <w:r>
        <w:rPr>
          <w:rStyle w:val="InternetLink"/>
        </w:rPr>
        <w:t>https://osf.io/en9ax/?view_only=8c59f20788fa4cd79d43c619c96fedf1</w:t>
      </w:r>
    </w:p>
    <w:p>
      <w:pPr>
        <w:pStyle w:val="Heading3"/>
        <w:rPr/>
      </w:pPr>
      <w:bookmarkStart w:id="5" w:name="single-trace-claim"/>
      <w:r>
        <w:rPr/>
        <w:t>Single-trace claim</w:t>
      </w:r>
      <w:bookmarkEnd w:id="5"/>
    </w:p>
    <w:p>
      <w:pPr>
        <w:pStyle w:val="FirstParagraph"/>
        <w:rPr/>
      </w:pPr>
      <w:r>
        <w:rPr>
          <w:b/>
        </w:rPr>
        <w:t>Coded claim 4 text (original paper):</w:t>
      </w:r>
      <w:r>
        <w:rPr/>
        <w:t xml:space="preserve"> “There was a significant interaction between rumination category and reactions to the baseline vs. suppressed conditions, </w:t>
      </w:r>
      <w:r>
        <w:rPr>
          <w:i/>
          <w:iCs/>
        </w:rPr>
        <w:t>F</w:t>
      </w:r>
      <w:r>
        <w:rPr/>
        <w:t xml:space="preserve">(1, 48) = 6.20, </w:t>
      </w:r>
      <w:r>
        <w:rPr>
          <w:i/>
          <w:iCs/>
        </w:rPr>
        <w:t>MSE</w:t>
      </w:r>
      <w:r>
        <w:rPr/>
        <w:t xml:space="preserve"> = 746.04, </w:t>
      </w:r>
      <w:r>
        <w:rPr>
          <w:i/>
          <w:iCs/>
        </w:rPr>
        <w:t>p</w:t>
      </w:r>
      <w:r>
        <w:rPr/>
        <w:t xml:space="preserve"> = .016, partial eta squared = .11. Clear evidence of SIF (suppression induced forgetting, i.e. negative interpretations for baseline cues but not suppression cues) was obtained for non-ruminators; but not for ruminators.”</w:t>
      </w:r>
    </w:p>
    <w:p>
      <w:pPr>
        <w:pStyle w:val="TextBody"/>
        <w:rPr/>
      </w:pPr>
      <w:r>
        <w:rPr>
          <w:b/>
        </w:rPr>
        <w:t>Reproduction data source(s):</w:t>
      </w:r>
    </w:p>
    <w:p>
      <w:pPr>
        <w:pStyle w:val="TextBody"/>
        <w:rPr/>
      </w:pPr>
      <w:hyperlink r:id="rId3">
        <w:r>
          <w:rPr>
            <w:rStyle w:val="InternetLink"/>
          </w:rPr>
          <w:t>https://osf.io/mvje7/?view_only=8c59f20788fa4cd79d43c619c96fedf1</w:t>
        </w:r>
      </w:hyperlink>
    </w:p>
    <w:p>
      <w:pPr>
        <w:pStyle w:val="TextBody"/>
        <w:rPr/>
      </w:pPr>
      <w:r>
        <w:rPr>
          <w:b/>
        </w:rPr>
        <w:t>Description of reproduction data:</w:t>
      </w:r>
    </w:p>
    <w:p>
      <w:pPr>
        <w:pStyle w:val="TextBody"/>
        <w:rPr/>
      </w:pPr>
      <w:r>
        <w:rPr/>
        <w:t>The corresponding author of the paper (</w:t>
      </w:r>
      <w:hyperlink r:id="rId4">
        <w:r>
          <w:rPr>
            <w:rStyle w:val="InternetLink"/>
          </w:rPr>
          <w:t>https://doi.org/10.1177/2167702618785339</w:t>
        </w:r>
      </w:hyperlink>
      <w:r>
        <w:rPr/>
        <w:t xml:space="preserve">) shared the dataset of Experiment 2 (file “Ashley_labels.sav”) via email on 6/12/21; this dataset was placed here - </w:t>
      </w:r>
      <w:hyperlink r:id="rId5">
        <w:r>
          <w:rPr>
            <w:rStyle w:val="InternetLink"/>
          </w:rPr>
          <w:t>https://osf.io/6x9qt/?view_only=1c10cb103fd94419bfa6fbba015b7749</w:t>
        </w:r>
      </w:hyperlink>
      <w:r>
        <w:rPr/>
        <w:t xml:space="preserve"> - then on 3/23/22 this dataset was downloaded and uploaded to - </w:t>
      </w:r>
      <w:hyperlink r:id="rId6">
        <w:r>
          <w:rPr>
            <w:rStyle w:val="InternetLink"/>
          </w:rPr>
          <w:t>https://osf.io/mvje7/?view_only=8c59f20788fa4cd79d43c619c96fedf1</w:t>
        </w:r>
      </w:hyperlink>
    </w:p>
    <w:p>
      <w:pPr>
        <w:pStyle w:val="TextBody"/>
        <w:rPr/>
      </w:pPr>
      <w:r>
        <w:rPr>
          <w:b/>
        </w:rPr>
        <w:t>Primary reproduction criteria</w:t>
      </w:r>
    </w:p>
    <w:tbl>
      <w:tblPr>
        <w:tblStyle w:val="Table"/>
        <w:tblW w:w="9267" w:type="dxa"/>
        <w:jc w:val="left"/>
        <w:tblInd w:w="0" w:type="dxa"/>
        <w:tblLayout w:type="fixed"/>
        <w:tblCellMar>
          <w:top w:w="0" w:type="dxa"/>
          <w:left w:w="108" w:type="dxa"/>
          <w:bottom w:w="0" w:type="dxa"/>
          <w:right w:w="108" w:type="dxa"/>
        </w:tblCellMar>
        <w:tblLook w:firstRow="1"/>
      </w:tblPr>
      <w:tblGrid>
        <w:gridCol w:w="1544"/>
        <w:gridCol w:w="1173"/>
        <w:gridCol w:w="1649"/>
        <w:gridCol w:w="1651"/>
        <w:gridCol w:w="1582"/>
        <w:gridCol w:w="1667"/>
      </w:tblGrid>
      <w:tr>
        <w:trPr>
          <w:cnfStyle w:firstRow="1"/>
        </w:trPr>
        <w:tc>
          <w:tcPr>
            <w:tcW w:w="1544"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Criterion</w:t>
            </w:r>
          </w:p>
        </w:tc>
        <w:tc>
          <w:tcPr>
            <w:tcW w:w="1173"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value</w:t>
            </w:r>
          </w:p>
        </w:tc>
        <w:tc>
          <w:tcPr>
            <w:tcW w:w="1649"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reproduction</w:t>
            </w:r>
          </w:p>
        </w:tc>
        <w:tc>
          <w:tcPr>
            <w:tcW w:w="1651"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Approximate reproduction</w:t>
            </w:r>
          </w:p>
        </w:tc>
        <w:tc>
          <w:tcPr>
            <w:tcW w:w="1582"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Non-reproduction</w:t>
            </w:r>
          </w:p>
        </w:tc>
        <w:tc>
          <w:tcPr>
            <w:tcW w:w="1667" w:type="dxa"/>
            <w:tcBorders>
              <w:bottom w:val="single" w:sz="6" w:space="0" w:color="000000"/>
            </w:tcBorders>
            <w:vAlign w:val="bottom"/>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Reproduction result</w:t>
            </w:r>
          </w:p>
        </w:tc>
      </w:tr>
      <w:tr>
        <w:trPr/>
        <w:tc>
          <w:tcPr>
            <w:tcW w:w="1544"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size</w:t>
            </w:r>
          </w:p>
        </w:tc>
        <w:tc>
          <w:tcPr>
            <w:tcW w:w="1173"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64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65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to 62</w:t>
            </w:r>
          </w:p>
        </w:tc>
        <w:tc>
          <w:tcPr>
            <w:tcW w:w="1582"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46 to 62</w:t>
            </w:r>
          </w:p>
        </w:tc>
        <w:tc>
          <w:tcPr>
            <w:tcW w:w="1667" w:type="dxa"/>
            <w:tcBorders/>
          </w:tcPr>
          <w:p>
            <w:pPr>
              <w:pStyle w:val="Normal"/>
              <w:widowControl w:val="false"/>
              <w:suppressAutoHyphens w:val="true"/>
              <w:spacing w:before="0" w:after="2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r>
      <w:tr>
        <w:trPr/>
        <w:tc>
          <w:tcPr>
            <w:tcW w:w="1544"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coefficient</w:t>
            </w:r>
          </w:p>
        </w:tc>
        <w:tc>
          <w:tcPr>
            <w:tcW w:w="1173"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64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65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82"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667" w:type="dxa"/>
            <w:tcBorders/>
          </w:tcPr>
          <w:p>
            <w:pPr>
              <w:pStyle w:val="Compact"/>
              <w:widowControl w:val="false"/>
              <w:suppressAutoHyphens w:val="true"/>
              <w:spacing w:before="0" w:after="2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544"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test statistic</w:t>
            </w:r>
          </w:p>
        </w:tc>
        <w:tc>
          <w:tcPr>
            <w:tcW w:w="1173"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6.20</w:t>
            </w:r>
          </w:p>
        </w:tc>
        <w:tc>
          <w:tcPr>
            <w:tcW w:w="164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6.20</w:t>
            </w:r>
          </w:p>
        </w:tc>
        <w:tc>
          <w:tcPr>
            <w:tcW w:w="165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5.27 to 7.13</w:t>
            </w:r>
          </w:p>
        </w:tc>
        <w:tc>
          <w:tcPr>
            <w:tcW w:w="1582"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5.27 to 7.13</w:t>
            </w:r>
          </w:p>
        </w:tc>
        <w:tc>
          <w:tcPr>
            <w:tcW w:w="1667" w:type="dxa"/>
            <w:tcBorders/>
          </w:tcPr>
          <w:p>
            <w:pPr>
              <w:pStyle w:val="Normal"/>
              <w:widowControl w:val="false"/>
              <w:suppressAutoHyphens w:val="true"/>
              <w:spacing w:before="0" w:after="2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6.204</w:t>
            </w:r>
          </w:p>
        </w:tc>
      </w:tr>
      <w:tr>
        <w:trPr/>
        <w:tc>
          <w:tcPr>
            <w:tcW w:w="1544"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effect size</w:t>
            </w:r>
          </w:p>
        </w:tc>
        <w:tc>
          <w:tcPr>
            <w:tcW w:w="1173"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64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65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0.09 to 0.13</w:t>
            </w:r>
          </w:p>
        </w:tc>
        <w:tc>
          <w:tcPr>
            <w:tcW w:w="1582"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0.09 to 0.13</w:t>
            </w:r>
          </w:p>
        </w:tc>
        <w:tc>
          <w:tcPr>
            <w:tcW w:w="1667" w:type="dxa"/>
            <w:tcBorders/>
          </w:tcPr>
          <w:p>
            <w:pPr>
              <w:pStyle w:val="Normal"/>
              <w:widowControl w:val="false"/>
              <w:suppressAutoHyphens w:val="true"/>
              <w:spacing w:before="0" w:after="2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0.114</w:t>
            </w:r>
          </w:p>
        </w:tc>
      </w:tr>
      <w:tr>
        <w:trPr/>
        <w:tc>
          <w:tcPr>
            <w:tcW w:w="1544"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p-value</w:t>
            </w:r>
          </w:p>
        </w:tc>
        <w:tc>
          <w:tcPr>
            <w:tcW w:w="1173"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0.016</w:t>
            </w:r>
          </w:p>
        </w:tc>
        <w:tc>
          <w:tcPr>
            <w:tcW w:w="164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0.016</w:t>
            </w:r>
          </w:p>
        </w:tc>
        <w:tc>
          <w:tcPr>
            <w:tcW w:w="165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0.066</w:t>
            </w:r>
          </w:p>
        </w:tc>
        <w:tc>
          <w:tcPr>
            <w:tcW w:w="1582"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&gt;0.066</w:t>
            </w:r>
          </w:p>
        </w:tc>
        <w:tc>
          <w:tcPr>
            <w:tcW w:w="1667" w:type="dxa"/>
            <w:tcBorders/>
          </w:tcPr>
          <w:p>
            <w:pPr>
              <w:pStyle w:val="Normal"/>
              <w:widowControl w:val="false"/>
              <w:suppressAutoHyphens w:val="true"/>
              <w:spacing w:before="0" w:after="200"/>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0.016</w:t>
            </w:r>
          </w:p>
        </w:tc>
      </w:tr>
    </w:tbl>
    <w:p>
      <w:pPr>
        <w:pStyle w:val="TextBody"/>
        <w:rPr/>
      </w:pPr>
      <w:r>
        <w:rPr>
          <w:b/>
        </w:rPr>
        <w:t>Analyst success criteria:</w:t>
      </w:r>
      <w:r>
        <w:rPr/>
        <w:t xml:space="preserve"> All outcomes meet the Precise Reproduction Criteria.</w:t>
      </w:r>
    </w:p>
    <w:p>
      <w:pPr>
        <w:pStyle w:val="TextBody"/>
        <w:rPr/>
      </w:pPr>
      <w:r>
        <w:rPr>
          <w:b/>
        </w:rPr>
        <w:t>Reproduction outcome:</w:t>
      </w:r>
      <w:r>
        <w:rPr/>
        <w:t xml:space="preserve"> Based on these criteria, the claim did reproduce.</w:t>
      </w:r>
    </w:p>
    <w:p>
      <w:pPr>
        <w:pStyle w:val="Heading2"/>
        <w:rPr/>
      </w:pPr>
      <w:bookmarkStart w:id="6" w:name="description-of-materials-provided"/>
      <w:r>
        <w:rPr/>
        <w:t>Description of materials provided</w:t>
      </w:r>
      <w:bookmarkEnd w:id="6"/>
    </w:p>
    <w:p>
      <w:pPr>
        <w:pStyle w:val="FirstParagraph"/>
        <w:rPr/>
      </w:pPr>
      <w:r>
        <w:rPr>
          <w:b/>
        </w:rPr>
        <w:t xml:space="preserve">Instructions: </w:t>
      </w:r>
      <w:r>
        <w:rPr/>
        <w:t>All files on this OSF project will be made public. To repeat this reproduction it needs two SPSS files:</w:t>
      </w:r>
    </w:p>
    <w:p>
      <w:pPr>
        <w:pStyle w:val="Compact"/>
        <w:numPr>
          <w:ilvl w:val="0"/>
          <w:numId w:val="15"/>
        </w:numPr>
        <w:rPr/>
      </w:pPr>
      <w:r>
        <w:rPr>
          <w:rStyle w:val="VerbatimChar"/>
        </w:rPr>
        <w:t>Ashley_labels.sav</w:t>
      </w:r>
      <w:r>
        <w:rPr/>
        <w:t xml:space="preserve"> - this file contains the dataset of Experiment 2 that was shared by the corresponding author of Hertel et al. (2018).</w:t>
      </w:r>
    </w:p>
    <w:p>
      <w:pPr>
        <w:pStyle w:val="Compact"/>
        <w:numPr>
          <w:ilvl w:val="0"/>
          <w:numId w:val="16"/>
        </w:numPr>
        <w:rPr/>
      </w:pPr>
      <w:r>
        <w:rPr>
          <w:rStyle w:val="VerbatimChar"/>
        </w:rPr>
        <w:t>ashley incomplete.spv</w:t>
      </w:r>
      <w:r>
        <w:rPr/>
        <w:t xml:space="preserve"> - this file contains the SPSS output, which includes the SPSS syntax to reproduce the original analysis, that was shared by the corresponding author of Hertel et al. (2018).</w:t>
      </w:r>
    </w:p>
    <w:p>
      <w:pPr>
        <w:pStyle w:val="Compact"/>
        <w:rPr/>
      </w:pPr>
      <w:r>
        <w:rPr/>
        <w:t>Output files:</w:t>
      </w:r>
    </w:p>
    <w:p>
      <w:pPr>
        <w:pStyle w:val="Compact"/>
        <w:numPr>
          <w:ilvl w:val="0"/>
          <w:numId w:val="17"/>
        </w:numPr>
        <w:rPr/>
      </w:pPr>
      <w:r>
        <w:rPr>
          <w:rStyle w:val="VerbatimChar"/>
        </w:rPr>
        <w:t>preregistration_google_sheet_YabW_2y474_PBR.pdf</w:t>
      </w:r>
      <w:r>
        <w:rPr/>
        <w:t xml:space="preserve"> - this file contains the preregistration to conduct the reproduction of the single-trace claim.</w:t>
      </w:r>
    </w:p>
    <w:p>
      <w:pPr>
        <w:pStyle w:val="Compact"/>
        <w:numPr>
          <w:ilvl w:val="0"/>
          <w:numId w:val="18"/>
        </w:numPr>
        <w:rPr/>
      </w:pPr>
      <w:r>
        <w:rPr>
          <w:rStyle w:val="VerbatimChar"/>
        </w:rPr>
        <w:t>Hertel_ClinPsychSci_2018_YabW_SPSS_Syntax.sps</w:t>
      </w:r>
      <w:r>
        <w:rPr/>
        <w:t xml:space="preserve"> - this file contains the SPSS syntax for the focal test, which was copied from </w:t>
      </w:r>
      <w:r>
        <w:rPr>
          <w:rStyle w:val="VerbatimChar"/>
        </w:rPr>
        <w:t xml:space="preserve">ashley incomplete.spv to </w:t>
      </w:r>
      <w:r>
        <w:rPr/>
        <w:t>reproduce the single-trace claim.</w:t>
      </w:r>
    </w:p>
    <w:p>
      <w:pPr>
        <w:pStyle w:val="Compact"/>
        <w:numPr>
          <w:ilvl w:val="0"/>
          <w:numId w:val="19"/>
        </w:numPr>
        <w:rPr/>
      </w:pPr>
      <w:r>
        <w:rPr>
          <w:rStyle w:val="VerbatimChar"/>
        </w:rPr>
        <w:t>Hertel_ClinPsychSci_2018_YabWSPSS_Output.spv</w:t>
      </w:r>
      <w:r>
        <w:rPr/>
        <w:t xml:space="preserve"> - this file contains the saved SPSS output, which was created by running the SPSS syntax from </w:t>
      </w:r>
      <w:r>
        <w:rPr>
          <w:rStyle w:val="VerbatimChar"/>
        </w:rPr>
        <w:t xml:space="preserve">Hertel_ClinPsychSci_2018_YabW_SPSS_Syntax.sps </w:t>
      </w:r>
      <w:r>
        <w:rPr>
          <w:rStyle w:val="VerbatimChar"/>
          <w:sz w:val="24"/>
          <w:szCs w:val="24"/>
        </w:rPr>
        <w:t xml:space="preserve">to </w:t>
      </w:r>
      <w:r>
        <w:rPr>
          <w:rStyle w:val="VerbatimChar"/>
          <w:sz w:val="24"/>
          <w:szCs w:val="24"/>
        </w:rPr>
        <w:t>reproduce the single-trace claim.</w:t>
      </w:r>
    </w:p>
    <w:p>
      <w:pPr>
        <w:pStyle w:val="Compact"/>
        <w:numPr>
          <w:ilvl w:val="0"/>
          <w:numId w:val="20"/>
        </w:numPr>
        <w:rPr/>
      </w:pPr>
      <w:r>
        <w:rPr>
          <w:rStyle w:val="VerbatimChar"/>
        </w:rPr>
        <w:t>Hertel_ClinPsychSci_2018_YabW_Results.pdf</w:t>
      </w:r>
      <w:r>
        <w:rPr/>
        <w:t xml:space="preserve"> - this file contains the table with the results of the focal test, which was copied from the saved SPSS output from </w:t>
      </w:r>
      <w:r>
        <w:rPr>
          <w:rStyle w:val="VerbatimChar"/>
        </w:rPr>
        <w:t>Hertel_ClinPsychSci_2018_YabW_SPSS_Syntax.sps</w:t>
      </w:r>
      <w:r>
        <w:rPr>
          <w:rStyle w:val="VerbatimChar"/>
          <w:sz w:val="24"/>
          <w:szCs w:val="24"/>
        </w:rPr>
        <w:t>.</w:t>
      </w:r>
    </w:p>
    <w:p>
      <w:pPr>
        <w:pStyle w:val="Heading2"/>
        <w:rPr/>
      </w:pPr>
      <w:bookmarkStart w:id="7" w:name="references"/>
      <w:r>
        <w:rPr/>
        <w:t>References</w:t>
      </w:r>
      <w:bookmarkEnd w:id="7"/>
    </w:p>
    <w:p>
      <w:pPr>
        <w:pStyle w:val="FirstParagraph"/>
        <w:spacing w:before="180" w:after="180"/>
        <w:rPr/>
      </w:pPr>
      <w:r>
        <w:rPr/>
        <w:t xml:space="preserve">Hertel, P. T., Maydon, A., Ogilvie, A., &amp; Mor, N. (2018). Ruminators (unlike others) fail to show suppression-induced forgetting on indirect measures of memory. </w:t>
      </w:r>
      <w:r>
        <w:rPr>
          <w:i/>
          <w:iCs/>
        </w:rPr>
        <w:t>Clinical Psychological Science, 6</w:t>
      </w:r>
      <w:r>
        <w:rPr/>
        <w:t>(6), 872–881. https://doi.org/10.1177/2167702618785339</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mbria">
    <w:charset w:val="cc"/>
    <w:family w:val="roman"/>
    <w:pitch w:val="variable"/>
  </w:font>
  <w:font w:name="Calibri">
    <w:charset w:val="cc"/>
    <w:family w:val="roman"/>
    <w:pitch w:val="variable"/>
  </w:font>
  <w:font w:name="Consolas">
    <w:charset w:val="cc"/>
    <w:family w:val="roman"/>
    <w:pitch w:val="variable"/>
  </w:font>
  <w:font w:name="Liberation Sans">
    <w:altName w:val="Arial"/>
    <w:charset w:val="cc"/>
    <w:family w:val="roman"/>
    <w:pitch w:val="variable"/>
  </w:font>
  <w:font w:name="Cambr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7">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8">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9">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bering>
</file>

<file path=word/settings.xml><?xml version="1.0" encoding="utf-8"?>
<w:settings xmlns:w="http://schemas.openxmlformats.org/wordprocessingml/2006/main">
  <w:zoom w:percent="9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rsid w:val="00972405"/>
    <w:pPr>
      <w:keepNext w:val="true"/>
      <w:keepLines/>
      <w:spacing w:before="480" w:after="0"/>
      <w:jc w:val="center"/>
      <w:outlineLvl w:val="0"/>
    </w:pPr>
    <w:rPr>
      <w:rFonts w:ascii="Calibri" w:hAnsi="Calibri" w:eastAsia="" w:cs="" w:asciiTheme="majorHAnsi" w:cstheme="majorBidi" w:eastAsiaTheme="majorEastAsia" w:hAnsiTheme="majorHAnsi"/>
      <w:b/>
      <w:bCs/>
      <w:sz w:val="32"/>
      <w:szCs w:val="32"/>
    </w:rPr>
  </w:style>
  <w:style w:type="paragraph" w:styleId="Heading2">
    <w:name w:val="Heading 2"/>
    <w:basedOn w:val="Normal"/>
    <w:next w:val="TextBody"/>
    <w:uiPriority w:val="9"/>
    <w:unhideWhenUsed/>
    <w:qFormat/>
    <w:rsid w:val="00972405"/>
    <w:pPr>
      <w:keepNext w:val="true"/>
      <w:keepLines/>
      <w:spacing w:before="200" w:after="0"/>
      <w:outlineLvl w:val="1"/>
    </w:pPr>
    <w:rPr>
      <w:rFonts w:ascii="Calibri" w:hAnsi="Calibri" w:eastAsia="" w:cs="" w:asciiTheme="majorHAnsi" w:cstheme="majorBidi" w:eastAsiaTheme="majorEastAsia" w:hAnsiTheme="majorHAnsi"/>
      <w:b/>
      <w:bCs/>
      <w:sz w:val="32"/>
      <w:szCs w:val="32"/>
    </w:rPr>
  </w:style>
  <w:style w:type="paragraph" w:styleId="Heading3">
    <w:name w:val="Heading 3"/>
    <w:basedOn w:val="Normal"/>
    <w:next w:val="TextBody"/>
    <w:uiPriority w:val="9"/>
    <w:unhideWhenUsed/>
    <w:qFormat/>
    <w:rsid w:val="00972405"/>
    <w:pPr>
      <w:keepNext w:val="true"/>
      <w:keepLines/>
      <w:spacing w:before="200" w:after="0"/>
      <w:outlineLvl w:val="2"/>
    </w:pPr>
    <w:rPr>
      <w:rFonts w:ascii="Calibri" w:hAnsi="Calibri" w:eastAsia="" w:cs="" w:asciiTheme="majorHAnsi" w:cstheme="majorBidi" w:eastAsiaTheme="majorEastAsia" w:hAnsiTheme="majorHAnsi"/>
      <w:b/>
      <w:bCs/>
      <w:sz w:val="28"/>
      <w:szCs w:val="28"/>
    </w:rPr>
  </w:style>
  <w:style w:type="paragraph" w:styleId="Heading4">
    <w:name w:val="Heading 4"/>
    <w:basedOn w:val="Normal"/>
    <w:next w:val="TextBody"/>
    <w:uiPriority w:val="9"/>
    <w:unhideWhenUsed/>
    <w:qFormat/>
    <w:rsid w:val="00972405"/>
    <w:pPr>
      <w:keepNext w:val="true"/>
      <w:keepLines/>
      <w:spacing w:before="200" w:after="0"/>
      <w:outlineLvl w:val="3"/>
    </w:pPr>
    <w:rPr>
      <w:rFonts w:ascii="Calibri" w:hAnsi="Calibri" w:eastAsia="" w:cs="" w:asciiTheme="majorHAnsi" w:cstheme="majorBidi" w:eastAsiaTheme="majorEastAsia" w:hAnsiTheme="majorHAnsi"/>
      <w:b/>
      <w:bCs/>
    </w:rPr>
  </w:style>
  <w:style w:type="paragraph" w:styleId="Heading5">
    <w:name w:val="Heading 5"/>
    <w:basedOn w:val="Normal"/>
    <w:next w:val="TextBody"/>
    <w:uiPriority w:val="9"/>
    <w:unhideWhenUsed/>
    <w:qFormat/>
    <w:rsid w:val="00972405"/>
    <w:pPr>
      <w:keepNext w:val="true"/>
      <w:keepLines/>
      <w:spacing w:before="200" w:after="0"/>
      <w:outlineLvl w:val="4"/>
    </w:pPr>
    <w:rPr>
      <w:rFonts w:ascii="Calibri" w:hAnsi="Calibri" w:eastAsia="" w:cs="" w:asciiTheme="majorHAnsi" w:cstheme="majorBidi" w:eastAsiaTheme="majorEastAsia" w:hAnsiTheme="majorHAnsi"/>
      <w:i/>
      <w:iCs/>
    </w:rPr>
  </w:style>
  <w:style w:type="paragraph" w:styleId="Heading6">
    <w:name w:val="Heading 6"/>
    <w:basedOn w:val="Normal"/>
    <w:next w:val="TextBody"/>
    <w:uiPriority w:val="9"/>
    <w:unhideWhenUsed/>
    <w:qFormat/>
    <w:rsid w:val="00972405"/>
    <w:pPr>
      <w:keepNext w:val="true"/>
      <w:keepLines/>
      <w:spacing w:before="200" w:after="0"/>
      <w:outlineLvl w:val="5"/>
    </w:pPr>
    <w:rPr>
      <w:rFonts w:ascii="Calibri" w:hAnsi="Calibri" w:eastAsia="" w:cs="" w:asciiTheme="majorHAnsi" w:cstheme="majorBidi" w:eastAsiaTheme="majorEastAsia" w:hAnsiTheme="majorHAnsi"/>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1"/>
    <w:qFormat/>
    <w:rPr/>
  </w:style>
  <w:style w:type="character" w:styleId="VerbatimChar" w:customStyle="1">
    <w:name w:val="Verbatim Char"/>
    <w:basedOn w:val="CaptionChar"/>
    <w:link w:val="SourceCode"/>
    <w:qFormat/>
    <w:rPr>
      <w:rFonts w:ascii="Consolas" w:hAnsi="Consolas"/>
      <w:sz w:val="22"/>
    </w:rPr>
  </w:style>
  <w:style w:type="character" w:styleId="FootnoteCharacters">
    <w:name w:val="Footnote Characters"/>
    <w:basedOn w:val="CaptionChar"/>
    <w:qFormat/>
    <w:rPr>
      <w:vertAlign w:val="superscript"/>
    </w:rPr>
  </w:style>
  <w:style w:type="character" w:styleId="FootnoteAnchor">
    <w:name w:val="Footnote Anchor"/>
    <w:rPr>
      <w:vertAlign w:val="superscript"/>
    </w:rPr>
  </w:style>
  <w:style w:type="character" w:styleId="InternetLink">
    <w:name w:val="Hyperlink"/>
    <w:basedOn w:val="CaptionChar"/>
    <w:rPr>
      <w:color w:val="4F81BD" w:themeColor="accent1"/>
    </w:rPr>
  </w:style>
  <w:style w:type="character" w:styleId="KeywordTok" w:customStyle="1">
    <w:name w:val="KeywordTok"/>
    <w:basedOn w:val="VerbatimChar"/>
    <w:qFormat/>
    <w:rPr>
      <w:rFonts w:ascii="Consolas" w:hAnsi="Consolas"/>
      <w:b/>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000000"/>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color w:val="0000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b/>
      <w:i/>
      <w:color w:val="8F5902"/>
      <w:sz w:val="22"/>
      <w:shd w:fill="F8F8F8" w:val="clear"/>
    </w:rPr>
  </w:style>
  <w:style w:type="character" w:styleId="AnnotationTok" w:customStyle="1">
    <w:name w:val="AnnotationTok"/>
    <w:basedOn w:val="VerbatimChar"/>
    <w:qFormat/>
    <w:rPr>
      <w:rFonts w:ascii="Consolas" w:hAnsi="Consolas"/>
      <w:b/>
      <w:i/>
      <w:color w:val="8F5902"/>
      <w:sz w:val="22"/>
      <w:shd w:fill="F8F8F8" w:val="clear"/>
    </w:rPr>
  </w:style>
  <w:style w:type="character" w:styleId="CommentVarTok" w:customStyle="1">
    <w:name w:val="CommentVarTok"/>
    <w:basedOn w:val="VerbatimChar"/>
    <w:qFormat/>
    <w:rPr>
      <w:rFonts w:ascii="Consolas" w:hAnsi="Consolas"/>
      <w:b/>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color w:val="000000"/>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b/>
      <w:color w:val="204A87"/>
      <w:sz w:val="22"/>
      <w:shd w:fill="F8F8F8" w:val="clear"/>
    </w:rPr>
  </w:style>
  <w:style w:type="character" w:styleId="OperatorTok" w:customStyle="1">
    <w:name w:val="OperatorTok"/>
    <w:basedOn w:val="VerbatimChar"/>
    <w:qFormat/>
    <w:rPr>
      <w:rFonts w:ascii="Consolas" w:hAnsi="Consolas"/>
      <w:b/>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C4A000"/>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b/>
      <w:i/>
      <w:color w:val="8F5902"/>
      <w:sz w:val="22"/>
      <w:shd w:fill="F8F8F8" w:val="clear"/>
    </w:rPr>
  </w:style>
  <w:style w:type="character" w:styleId="WarningTok" w:customStyle="1">
    <w:name w:val="WarningTok"/>
    <w:basedOn w:val="VerbatimChar"/>
    <w:qFormat/>
    <w:rPr>
      <w:rFonts w:ascii="Consolas" w:hAnsi="Consolas"/>
      <w:b/>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b/>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BodyTextChar" w:customStyle="1">
    <w:name w:val="Body Text Char"/>
    <w:basedOn w:val="DefaultParagraphFont"/>
    <w:qFormat/>
    <w:rsid w:val="00972405"/>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rsid w:val="00972405"/>
    <w:pPr>
      <w:keepNext w:val="true"/>
      <w:keepLines/>
      <w:spacing w:before="480" w:after="240"/>
      <w:jc w:val="center"/>
    </w:pPr>
    <w:rPr>
      <w:rFonts w:ascii="Calibri" w:hAnsi="Calibri" w:eastAsia="" w:cs="" w:asciiTheme="majorHAnsi" w:cstheme="majorBidi" w:eastAsiaTheme="majorEastAsia" w:hAnsiTheme="majorHAnsi"/>
      <w:b/>
      <w:bCs/>
      <w:sz w:val="36"/>
      <w:szCs w:val="36"/>
    </w:rPr>
  </w:style>
  <w:style w:type="paragraph" w:styleId="Subtitle">
    <w:name w:val="Subtitle"/>
    <w:basedOn w:val="Title"/>
    <w:next w:val="TextBody"/>
    <w:qFormat/>
    <w:pPr>
      <w:spacing w:before="240" w:after="240"/>
    </w:pPr>
    <w:rPr>
      <w:sz w:val="30"/>
      <w:szCs w:val="30"/>
    </w:rPr>
  </w:style>
  <w:style w:type="paragraph" w:styleId="Author" w:customStyle="1">
    <w:name w:val="Author"/>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xtBody"/>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pPr>
    <w:rPr>
      <w:rFonts w:ascii="Calibri" w:hAnsi="Calibri" w:eastAsia="" w:cs="" w:asciiTheme="majorHAnsi" w:cstheme="majorBidi" w:eastAsiaTheme="majorEastAsia" w:hAnsiTheme="majorHAnsi"/>
      <w:bCs/>
      <w:sz w:val="20"/>
      <w:szCs w:val="20"/>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1">
    <w:name w:val="caption"/>
    <w:basedOn w:val="Normal"/>
    <w:link w:val="CaptionChar"/>
    <w:qFormat/>
    <w:pPr>
      <w:spacing w:before="0" w:after="120"/>
    </w:pPr>
    <w:rPr>
      <w:i/>
    </w:rPr>
  </w:style>
  <w:style w:type="paragraph" w:styleId="TableCaption" w:customStyle="1">
    <w:name w:val="Table Caption"/>
    <w:basedOn w:val="Caption1"/>
    <w:qFormat/>
    <w:pPr>
      <w:keepNext w:val="true"/>
    </w:pPr>
    <w:rPr/>
  </w:style>
  <w:style w:type="paragraph" w:styleId="ImageCaption" w:customStyle="1">
    <w:name w:val="Image Caption"/>
    <w:basedOn w:val="Caption1"/>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b w:val="false"/>
      <w:bCs w:val="false"/>
      <w:color w:val="365F91" w:themeColor="accent1" w:themeShade="bf"/>
    </w:rPr>
  </w:style>
  <w:style w:type="paragraph" w:styleId="SourceCode" w:customStyle="1">
    <w:name w:val="Source Code"/>
    <w:basedOn w:val="Normal"/>
    <w:link w:val="VerbatimChar"/>
    <w:qFormat/>
    <w:pPr>
      <w:shd w:val="clear" w:color="auto" w:fill="F8F8F8"/>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rsid w:val="0097240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sf.io/57pn2" TargetMode="External"/><Relationship Id="rId3" Type="http://schemas.openxmlformats.org/officeDocument/2006/relationships/hyperlink" Target="https://osf.io/mvje7/?view_only=8c59f20788fa4cd79d43c619c96fedf1" TargetMode="External"/><Relationship Id="rId4" Type="http://schemas.openxmlformats.org/officeDocument/2006/relationships/hyperlink" Target="https://doi.org/10.1177/2167702618785339" TargetMode="External"/><Relationship Id="rId5" Type="http://schemas.openxmlformats.org/officeDocument/2006/relationships/hyperlink" Target="https://osf.io/6x9qt/?view_only=1c10cb103fd94419bfa6fbba015b7749" TargetMode="External"/><Relationship Id="rId6" Type="http://schemas.openxmlformats.org/officeDocument/2006/relationships/hyperlink" Target="https://osf.io/mvje7/?view_only=8c59f20788fa4cd79d43c619c96fedf1"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Application>LibreOffice/7.3.0.3$Windows_X86_64 LibreOffice_project/0f246aa12d0eee4a0f7adcefbf7c878fc2238db3</Application>
  <AppVersion>15.0000</AppVersion>
  <Pages>3</Pages>
  <Words>561</Words>
  <Characters>3630</Characters>
  <CharactersWithSpaces>4109</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2022-03-29T15:16:21Z</dcterms:created>
  <dc:creator/>
  <dc:description/>
  <dc:language>en-US</dc:language>
  <cp:lastModifiedBy/>
  <dcterms:modified xsi:type="dcterms:W3CDTF">2022-04-04T15:29:34Z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