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dpis1"/>
        <w:keepNext w:val="true"/>
        <w:keepLines/>
        <w:spacing w:before="480" w:after="0"/>
        <w:jc w:val="center"/>
        <w:rPr/>
      </w:pPr>
      <w:bookmarkStart w:id="0" w:name="Xdf8f23a84654943c182274aa218aadceb38297e"/>
      <w:bookmarkEnd w:id="0"/>
      <w:r>
        <w:rPr/>
        <w:t>Author Data Reproduction Attempt to Evaluate 2 Claims from Nelson_JournConsRes_2009_eg1q</w:t>
      </w:r>
    </w:p>
    <w:p>
      <w:pPr>
        <w:pStyle w:val="FirstParagraph"/>
        <w:rPr/>
      </w:pPr>
      <w:r>
        <w:rPr>
          <w:b/>
          <w:bCs/>
        </w:rPr>
        <w:t>Reproduction analyst(s):</w:t>
      </w:r>
      <w:r>
        <w:rPr/>
        <w:t xml:space="preserve"> Marcel Martončik</w:t>
      </w:r>
    </w:p>
    <w:p>
      <w:pPr>
        <w:pStyle w:val="Telotextu"/>
        <w:rPr/>
      </w:pPr>
      <w:r>
        <w:rPr>
          <w:b/>
          <w:bCs/>
        </w:rPr>
        <w:t>SCORE RR ID:</w:t>
      </w:r>
      <w:r>
        <w:rPr/>
        <w:t xml:space="preserve"> 2w9oz</w:t>
      </w:r>
    </w:p>
    <w:p>
      <w:pPr>
        <w:pStyle w:val="Telotextu"/>
        <w:rPr/>
      </w:pPr>
      <w:r>
        <w:rPr>
          <w:b/>
          <w:bCs/>
        </w:rPr>
        <w:t>OSF Project:</w:t>
      </w:r>
      <w:r>
        <w:rPr/>
        <w:t xml:space="preserve"> </w:t>
      </w:r>
      <w:hyperlink r:id="rId2">
        <w:r>
          <w:rPr>
            <w:rStyle w:val="Internetovodkaz"/>
          </w:rPr>
          <w:t>https://osf.io/x9pd3</w:t>
        </w:r>
      </w:hyperlink>
    </w:p>
    <w:p>
      <w:pPr>
        <w:pStyle w:val="Nadpis2"/>
        <w:rPr/>
      </w:pPr>
      <w:bookmarkStart w:id="1" w:name="transparency-trail"/>
      <w:bookmarkEnd w:id="1"/>
      <w:r>
        <w:rPr/>
        <w:t>Transparency Trail</w:t>
      </w:r>
    </w:p>
    <w:p>
      <w:pPr>
        <w:pStyle w:val="Telotextu"/>
        <w:rPr/>
      </w:pPr>
      <w:r>
        <w:rPr/>
        <w:t>Link to analysis script(s): https://osf.io/4jng5/</w:t>
      </w:r>
    </w:p>
    <w:p>
      <w:pPr>
        <w:pStyle w:val="Nadpis3"/>
        <w:rPr/>
      </w:pPr>
      <w:r>
        <w:rPr/>
        <w:t>Analysis attempt 1</w:t>
      </w:r>
    </w:p>
    <w:p>
      <w:pPr>
        <w:pStyle w:val="Compact"/>
        <w:numPr>
          <w:ilvl w:val="0"/>
          <w:numId w:val="1"/>
        </w:numPr>
        <w:rPr/>
      </w:pPr>
      <w:r>
        <w:rPr/>
        <w:t xml:space="preserve">Based on the original article information provided on p. 164: “Consistent with our disruption of adaptation account, the commercial disruption made the program more enjoyable (M = 5.38 vs. 4.47; t(100) = 2.43, p = .016)” </w:t>
      </w:r>
      <w:r>
        <w:rPr/>
        <w:t xml:space="preserve">and the following sentence “Further-more, after log transforming the willingness to pay measure, we found that people were willing to pay more for the compilation DVD after seeing the interrupted version than after seeing the continuous version (unadjusted M p $5.42 vs. $4.18; t(100) p 2.00, p p .048).” </w:t>
      </w:r>
      <w:r>
        <w:rPr/>
        <w:t>I have cho</w:t>
      </w:r>
      <w:r>
        <w:rPr/>
        <w:t>sen</w:t>
      </w:r>
      <w:r>
        <w:rPr/>
        <w:t xml:space="preserve"> Student t-test</w:t>
      </w:r>
      <w:r>
        <w:rPr/>
        <w:t>s</w:t>
      </w:r>
      <w:r>
        <w:rPr/>
        <w:t xml:space="preserve"> for </w:t>
      </w:r>
      <w:r>
        <w:rPr/>
        <w:t>the</w:t>
      </w:r>
      <w:r>
        <w:rPr/>
        <w:t xml:space="preserve"> analysis </w:t>
      </w:r>
      <w:r>
        <w:rPr/>
        <w:t>of both, single-trace and claim gpp38z</w:t>
      </w:r>
      <w:r>
        <w:rPr/>
        <w:t>. Since the article does not mention anything related to equality of variances or Welch t-</w:t>
      </w:r>
      <w:r>
        <w:rPr/>
        <w:t>t</w:t>
      </w:r>
      <w:r>
        <w:rPr/>
        <w:t xml:space="preserve">est, I assumed that the authors have used exactly the Student t-test. </w:t>
      </w:r>
      <w:r>
        <w:rPr/>
        <w:t>P-values are from two-tailed tests.</w:t>
      </w:r>
    </w:p>
    <w:p>
      <w:pPr>
        <w:pStyle w:val="Compact"/>
        <w:numPr>
          <w:ilvl w:val="0"/>
          <w:numId w:val="1"/>
        </w:numPr>
        <w:rPr/>
      </w:pPr>
      <w:r>
        <w:rPr/>
        <w:t>I had to filter out the last three rows in the dataset, because they did not contain the data but only text information: “</w:t>
      </w:r>
      <w:r>
        <w:rPr>
          <w:rFonts w:ascii="Arial" w:hAnsi="Arial"/>
          <w:b w:val="false"/>
          <w:i w:val="false"/>
          <w:strike w:val="false"/>
          <w:dstrike w:val="false"/>
          <w:outline w:val="false"/>
          <w:shadow w:val="false"/>
          <w:sz w:val="20"/>
          <w:u w:val="none"/>
          <w:em w:val="none"/>
        </w:rPr>
        <w:t>Test Relative Preference: and Test WTP:</w:t>
      </w:r>
      <w:r>
        <w:rPr/>
        <w:t>”</w:t>
      </w:r>
    </w:p>
    <w:p>
      <w:pPr>
        <w:pStyle w:val="Compact"/>
        <w:numPr>
          <w:ilvl w:val="0"/>
          <w:numId w:val="1"/>
        </w:numPr>
        <w:rPr/>
      </w:pPr>
      <w:r>
        <w:rPr/>
        <w:t>This first attempt produced the same results as provided in the article.</w:t>
      </w:r>
    </w:p>
    <w:p>
      <w:pPr>
        <w:pStyle w:val="Compact"/>
        <w:numPr>
          <w:ilvl w:val="0"/>
          <w:numId w:val="0"/>
        </w:numPr>
        <w:ind w:left="720" w:hanging="0"/>
        <w:rPr/>
      </w:pPr>
      <w:r>
        <w:rPr/>
      </w:r>
    </w:p>
    <w:p>
      <w:pPr>
        <w:pStyle w:val="FirstParagraph"/>
        <w:rPr/>
      </w:pPr>
      <w:bookmarkStart w:id="2" w:name="analysis-attempt-1"/>
      <w:r>
        <w:rPr/>
        <w:t xml:space="preserve">Completed claims: </w:t>
      </w:r>
      <w:bookmarkEnd w:id="2"/>
      <w:r>
        <w:rPr/>
        <w:t xml:space="preserve"> single-trace, gpp38z</w:t>
      </w:r>
    </w:p>
    <w:p>
      <w:pPr>
        <w:pStyle w:val="Nadpis3"/>
        <w:rPr/>
      </w:pPr>
      <w:r>
        <w:rPr/>
      </w:r>
    </w:p>
    <w:p>
      <w:pPr>
        <w:pStyle w:val="Normal"/>
        <w:rPr/>
      </w:pPr>
      <w:r>
        <w:rPr/>
      </w:r>
      <w:bookmarkStart w:id="3" w:name="transparency-trail1"/>
      <w:bookmarkStart w:id="4" w:name="analysis-attempt-2-n1"/>
      <w:bookmarkStart w:id="5" w:name="transparency-trail1"/>
      <w:bookmarkStart w:id="6" w:name="analysis-attempt-2-n1"/>
      <w:bookmarkEnd w:id="5"/>
      <w:bookmarkEnd w:id="6"/>
      <w:r>
        <w:br w:type="page"/>
      </w:r>
    </w:p>
    <w:p>
      <w:pPr>
        <w:pStyle w:val="Nadpis2"/>
        <w:rPr/>
      </w:pPr>
      <w:bookmarkStart w:id="7" w:name="claim-evaluations"/>
      <w:bookmarkEnd w:id="7"/>
      <w:r>
        <w:rPr/>
        <w:t>Claim evaluations</w:t>
      </w:r>
    </w:p>
    <w:p>
      <w:pPr>
        <w:pStyle w:val="Normal"/>
        <w:jc w:val="both"/>
        <w:rPr>
          <w:lang w:val="en-US"/>
        </w:rPr>
      </w:pPr>
      <w:r>
        <w:rPr/>
      </w:r>
    </w:p>
    <w:p>
      <w:pPr>
        <w:pStyle w:val="Normal"/>
        <w:jc w:val="both"/>
        <w:rPr>
          <w:lang w:val="en-US"/>
        </w:rPr>
      </w:pPr>
      <w:r>
        <w:rPr>
          <w:lang w:val="en-US"/>
        </w:rPr>
        <w:t>Single-trace</w:t>
      </w:r>
    </w:p>
    <w:p>
      <w:pPr>
        <w:pStyle w:val="Normal"/>
        <w:jc w:val="both"/>
        <w:rPr>
          <w:lang w:val="en-US"/>
        </w:rPr>
      </w:pPr>
      <w:r>
        <w:rPr>
          <w:lang w:val="en-US"/>
        </w:rPr>
        <w:t xml:space="preserve">To test difference in enjoyment of the program between commercial </w:t>
      </w:r>
      <w:r>
        <w:rPr>
          <w:lang w:val="en-US"/>
        </w:rPr>
        <w:t>and no commercial group</w:t>
      </w:r>
      <w:r>
        <w:rPr>
          <w:lang w:val="en-US"/>
        </w:rPr>
        <w:t xml:space="preserve"> </w:t>
      </w:r>
      <w:r>
        <w:rPr>
          <w:lang w:val="en-US"/>
        </w:rPr>
        <w:t>I</w:t>
      </w:r>
      <w:r>
        <w:rPr>
          <w:lang w:val="en-US"/>
        </w:rPr>
        <w:t xml:space="preserve"> have calculated </w:t>
      </w:r>
      <w:r>
        <w:rPr>
          <w:lang w:val="en-US"/>
        </w:rPr>
        <w:t>Student</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 </w:t>
      </w:r>
      <w:r>
        <w:rPr>
          <w:rFonts w:ascii="Liberation Serif" w:hAnsi="Liberation Serif"/>
          <w:b w:val="false"/>
          <w:bCs w:val="false"/>
          <w:i/>
          <w:iCs w:val="false"/>
          <w:strike w:val="false"/>
          <w:dstrike w:val="false"/>
          <w:outline w:val="false"/>
          <w:shadow w:val="false"/>
          <w:color w:val="000000"/>
          <w:sz w:val="24"/>
          <w:szCs w:val="24"/>
          <w:u w:val="none"/>
          <w:lang w:val="en-US"/>
        </w:rPr>
        <w:t>t</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 test for independent samples. </w:t>
      </w:r>
      <w:r>
        <w:rPr>
          <w:rFonts w:ascii="Liberation Serif" w:hAnsi="Liberation Serif"/>
          <w:b w:val="false"/>
          <w:bCs w:val="false"/>
          <w:i w:val="false"/>
          <w:iCs w:val="false"/>
          <w:strike w:val="false"/>
          <w:dstrike w:val="false"/>
          <w:outline w:val="false"/>
          <w:shadow w:val="false"/>
          <w:color w:val="000000"/>
          <w:sz w:val="24"/>
          <w:szCs w:val="24"/>
          <w:u w:val="none"/>
          <w:lang w:val="en-US"/>
        </w:rPr>
        <w:t>C</w:t>
      </w:r>
      <w:r>
        <w:rPr>
          <w:rFonts w:ascii="Liberation Serif" w:hAnsi="Liberation Serif"/>
          <w:b w:val="false"/>
          <w:bCs w:val="false"/>
          <w:i w:val="false"/>
          <w:iCs w:val="false"/>
          <w:strike w:val="false"/>
          <w:dstrike w:val="false"/>
          <w:outline w:val="false"/>
          <w:shadow w:val="false"/>
          <w:color w:val="000000"/>
          <w:sz w:val="24"/>
          <w:szCs w:val="24"/>
          <w:u w:val="none"/>
          <w:lang w:val="en-US"/>
        </w:rPr>
        <w:t>ommercial</w:t>
      </w:r>
      <w:r>
        <w:rPr>
          <w:lang w:val="en-US"/>
        </w:rPr>
        <w:t xml:space="preserve"> group </w:t>
      </w:r>
      <w:r>
        <w:rPr>
          <w:rFonts w:ascii="Liberation Serif" w:hAnsi="Liberation Serif"/>
          <w:b w:val="false"/>
          <w:bCs w:val="false"/>
          <w:i w:val="false"/>
          <w:iCs w:val="false"/>
          <w:strike w:val="false"/>
          <w:dstrike w:val="false"/>
          <w:outline w:val="false"/>
          <w:shadow w:val="false"/>
          <w:color w:val="000000"/>
          <w:sz w:val="24"/>
          <w:szCs w:val="24"/>
          <w:u w:val="none"/>
          <w:lang w:val="en-US"/>
        </w:rPr>
        <w:t>(M = 5.38, SD = 1.69)</w:t>
      </w:r>
      <w:r>
        <w:rPr>
          <w:lang w:val="en-US"/>
        </w:rPr>
        <w:t xml:space="preserve"> had </w:t>
      </w:r>
      <w:r>
        <w:rPr>
          <w:lang w:val="en-US"/>
        </w:rPr>
        <w:t>higher enjoyment of the program</w:t>
      </w:r>
      <w:r>
        <w:rPr>
          <w:lang w:val="en-US"/>
        </w:rPr>
        <w:t xml:space="preserve"> than the </w:t>
      </w:r>
      <w:r>
        <w:rPr>
          <w:lang w:val="en-US"/>
        </w:rPr>
        <w:t>no commercial group</w:t>
      </w:r>
      <w:r>
        <w:rPr>
          <w:lang w:val="en-US"/>
        </w:rPr>
        <w:t xml:space="preserve"> </w:t>
      </w:r>
      <w:r>
        <w:rPr>
          <w:rFonts w:ascii="Liberation Serif" w:hAnsi="Liberation Serif"/>
          <w:b w:val="false"/>
          <w:bCs w:val="false"/>
          <w:i w:val="false"/>
          <w:iCs w:val="false"/>
          <w:strike w:val="false"/>
          <w:dstrike w:val="false"/>
          <w:outline w:val="false"/>
          <w:shadow w:val="false"/>
          <w:color w:val="000000"/>
          <w:sz w:val="24"/>
          <w:szCs w:val="24"/>
          <w:u w:val="none"/>
          <w:lang w:val="en-US"/>
        </w:rPr>
        <w:t>(M = 4.4</w:t>
      </w:r>
      <w:r>
        <w:rPr>
          <w:rFonts w:ascii="Liberation Serif" w:hAnsi="Liberation Serif"/>
          <w:b w:val="false"/>
          <w:bCs w:val="false"/>
          <w:i w:val="false"/>
          <w:iCs w:val="false"/>
          <w:strike w:val="false"/>
          <w:dstrike w:val="false"/>
          <w:outline w:val="false"/>
          <w:shadow w:val="false"/>
          <w:color w:val="000000"/>
          <w:sz w:val="24"/>
          <w:szCs w:val="24"/>
          <w:u w:val="none"/>
          <w:lang w:val="en-US"/>
        </w:rPr>
        <w:t>7</w:t>
      </w:r>
      <w:r>
        <w:rPr>
          <w:rFonts w:ascii="Liberation Serif" w:hAnsi="Liberation Serif"/>
          <w:b w:val="false"/>
          <w:bCs w:val="false"/>
          <w:i w:val="false"/>
          <w:iCs w:val="false"/>
          <w:strike w:val="false"/>
          <w:dstrike w:val="false"/>
          <w:outline w:val="false"/>
          <w:shadow w:val="false"/>
          <w:color w:val="000000"/>
          <w:sz w:val="24"/>
          <w:szCs w:val="24"/>
          <w:u w:val="none"/>
          <w:lang w:val="en-US"/>
        </w:rPr>
        <w:t>, SD = 2.05)</w:t>
      </w:r>
      <w:r>
        <w:rPr>
          <w:lang w:val="en-US"/>
        </w:rPr>
        <w:t xml:space="preserve">, t(100) = </w:t>
      </w:r>
      <w:r>
        <w:rPr>
          <w:lang w:val="en-US"/>
        </w:rPr>
        <w:t>2.45</w:t>
      </w:r>
      <w:r>
        <w:rPr>
          <w:lang w:val="en-US"/>
        </w:rPr>
        <w:t xml:space="preserve">, p </w:t>
      </w:r>
      <w:r>
        <w:rPr>
          <w:lang w:val="en-US"/>
        </w:rPr>
        <w:t>= .016</w:t>
      </w:r>
      <w:r>
        <w:rPr>
          <w:lang w:val="en-US"/>
        </w:rPr>
        <w:t xml:space="preserve">. </w:t>
      </w:r>
    </w:p>
    <w:p>
      <w:pPr>
        <w:pStyle w:val="Normal"/>
        <w:jc w:val="both"/>
        <w:rPr>
          <w:lang w:val="en-US"/>
        </w:rPr>
      </w:pPr>
      <w:r>
        <w:rPr/>
      </w:r>
    </w:p>
    <w:p>
      <w:pPr>
        <w:pStyle w:val="Normal"/>
        <w:jc w:val="both"/>
        <w:rPr>
          <w:lang w:val="en-US"/>
        </w:rPr>
      </w:pPr>
      <w:r>
        <w:rPr>
          <w:lang w:val="en-US"/>
        </w:rPr>
        <w:t>Claim gpp38z</w:t>
      </w:r>
    </w:p>
    <w:p>
      <w:pPr>
        <w:pStyle w:val="Normal"/>
        <w:jc w:val="both"/>
        <w:rPr>
          <w:lang w:val="en-US"/>
        </w:rPr>
      </w:pPr>
      <w:r>
        <w:rPr>
          <w:lang w:val="en-US"/>
        </w:rPr>
        <w:t>To test difference in log transfor</w:t>
      </w:r>
      <w:r>
        <w:rPr>
          <w:lang w:val="en-US"/>
        </w:rPr>
        <w:t>med</w:t>
      </w:r>
      <w:r>
        <w:rPr>
          <w:lang w:val="en-US"/>
        </w:rPr>
        <w:t xml:space="preserve"> willingness to pay between commercial </w:t>
      </w:r>
      <w:r>
        <w:rPr>
          <w:lang w:val="en-US"/>
        </w:rPr>
        <w:t>and no commercial group</w:t>
      </w:r>
      <w:r>
        <w:rPr>
          <w:lang w:val="en-US"/>
        </w:rPr>
        <w:t xml:space="preserve"> </w:t>
      </w:r>
      <w:r>
        <w:rPr>
          <w:lang w:val="en-US"/>
        </w:rPr>
        <w:t>I</w:t>
      </w:r>
      <w:r>
        <w:rPr>
          <w:lang w:val="en-US"/>
        </w:rPr>
        <w:t xml:space="preserve"> have calculated </w:t>
      </w:r>
      <w:r>
        <w:rPr>
          <w:lang w:val="en-US"/>
        </w:rPr>
        <w:t>Student</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 </w:t>
      </w:r>
      <w:r>
        <w:rPr>
          <w:rFonts w:ascii="Liberation Serif" w:hAnsi="Liberation Serif"/>
          <w:b w:val="false"/>
          <w:bCs w:val="false"/>
          <w:i/>
          <w:iCs w:val="false"/>
          <w:strike w:val="false"/>
          <w:dstrike w:val="false"/>
          <w:outline w:val="false"/>
          <w:shadow w:val="false"/>
          <w:color w:val="000000"/>
          <w:sz w:val="24"/>
          <w:szCs w:val="24"/>
          <w:u w:val="none"/>
          <w:lang w:val="en-US"/>
        </w:rPr>
        <w:t>t</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 test for independent samples. </w:t>
      </w:r>
      <w:r>
        <w:rPr>
          <w:rFonts w:ascii="Liberation Serif" w:hAnsi="Liberation Serif"/>
          <w:b w:val="false"/>
          <w:bCs w:val="false"/>
          <w:i w:val="false"/>
          <w:iCs w:val="false"/>
          <w:strike w:val="false"/>
          <w:dstrike w:val="false"/>
          <w:outline w:val="false"/>
          <w:shadow w:val="false"/>
          <w:color w:val="000000"/>
          <w:sz w:val="24"/>
          <w:szCs w:val="24"/>
          <w:u w:val="none"/>
          <w:lang w:val="en-US"/>
        </w:rPr>
        <w:t>C</w:t>
      </w:r>
      <w:r>
        <w:rPr>
          <w:rFonts w:ascii="Liberation Serif" w:hAnsi="Liberation Serif"/>
          <w:b w:val="false"/>
          <w:bCs w:val="false"/>
          <w:i w:val="false"/>
          <w:iCs w:val="false"/>
          <w:strike w:val="false"/>
          <w:dstrike w:val="false"/>
          <w:outline w:val="false"/>
          <w:shadow w:val="false"/>
          <w:color w:val="000000"/>
          <w:sz w:val="24"/>
          <w:szCs w:val="24"/>
          <w:u w:val="none"/>
          <w:lang w:val="en-US"/>
        </w:rPr>
        <w:t>ommercial</w:t>
      </w:r>
      <w:r>
        <w:rPr>
          <w:lang w:val="en-US"/>
        </w:rPr>
        <w:t xml:space="preserve"> group </w:t>
      </w:r>
      <w:r>
        <w:rPr>
          <w:rFonts w:ascii="Liberation Serif" w:hAnsi="Liberation Serif"/>
          <w:b w:val="false"/>
          <w:bCs w:val="false"/>
          <w:i w:val="false"/>
          <w:iCs w:val="false"/>
          <w:strike w:val="false"/>
          <w:dstrike w:val="false"/>
          <w:outline w:val="false"/>
          <w:shadow w:val="false"/>
          <w:color w:val="000000"/>
          <w:sz w:val="24"/>
          <w:szCs w:val="24"/>
          <w:u w:val="none"/>
          <w:lang w:val="en-US"/>
        </w:rPr>
        <w:t>(M = 1.32, SD = .928)</w:t>
      </w:r>
      <w:r>
        <w:rPr>
          <w:lang w:val="en-US"/>
        </w:rPr>
        <w:t xml:space="preserve"> had </w:t>
      </w:r>
      <w:r>
        <w:rPr>
          <w:lang w:val="en-US"/>
        </w:rPr>
        <w:t>higher</w:t>
      </w:r>
      <w:r>
        <w:rPr>
          <w:lang w:val="en-US"/>
        </w:rPr>
        <w:t xml:space="preserve"> </w:t>
      </w:r>
      <w:r>
        <w:rPr>
          <w:lang w:val="en-US"/>
        </w:rPr>
        <w:t>log transfor</w:t>
      </w:r>
      <w:r>
        <w:rPr>
          <w:lang w:val="en-US"/>
        </w:rPr>
        <w:t>med</w:t>
      </w:r>
      <w:r>
        <w:rPr>
          <w:lang w:val="en-US"/>
        </w:rPr>
        <w:t xml:space="preserve"> willingness to pay</w:t>
      </w:r>
      <w:r>
        <w:rPr>
          <w:lang w:val="en-US"/>
        </w:rPr>
        <w:t xml:space="preserve"> than the </w:t>
      </w:r>
      <w:r>
        <w:rPr>
          <w:lang w:val="en-US"/>
        </w:rPr>
        <w:t>no commercial group</w:t>
      </w:r>
      <w:r>
        <w:rPr>
          <w:lang w:val="en-US"/>
        </w:rPr>
        <w:t xml:space="preserve"> </w:t>
      </w:r>
      <w:r>
        <w:rPr>
          <w:rFonts w:ascii="Liberation Serif" w:hAnsi="Liberation Serif"/>
          <w:b w:val="false"/>
          <w:bCs w:val="false"/>
          <w:i w:val="false"/>
          <w:iCs w:val="false"/>
          <w:strike w:val="false"/>
          <w:dstrike w:val="false"/>
          <w:outline w:val="false"/>
          <w:shadow w:val="false"/>
          <w:color w:val="000000"/>
          <w:sz w:val="24"/>
          <w:szCs w:val="24"/>
          <w:u w:val="none"/>
          <w:lang w:val="en-US"/>
        </w:rPr>
        <w:t xml:space="preserve">(M = </w:t>
      </w:r>
      <w:r>
        <w:rPr>
          <w:rFonts w:ascii="Liberation Serif" w:hAnsi="Liberation Serif"/>
          <w:b w:val="false"/>
          <w:bCs w:val="false"/>
          <w:i w:val="false"/>
          <w:iCs w:val="false"/>
          <w:strike w:val="false"/>
          <w:dstrike w:val="false"/>
          <w:outline w:val="false"/>
          <w:shadow w:val="false"/>
          <w:color w:val="000000"/>
          <w:sz w:val="24"/>
          <w:szCs w:val="24"/>
          <w:u w:val="none"/>
          <w:lang w:val="en-US"/>
        </w:rPr>
        <w:t>.938</w:t>
      </w:r>
      <w:r>
        <w:rPr>
          <w:rFonts w:ascii="Liberation Serif" w:hAnsi="Liberation Serif"/>
          <w:b w:val="false"/>
          <w:bCs w:val="false"/>
          <w:i w:val="false"/>
          <w:iCs w:val="false"/>
          <w:strike w:val="false"/>
          <w:dstrike w:val="false"/>
          <w:outline w:val="false"/>
          <w:shadow w:val="false"/>
          <w:color w:val="000000"/>
          <w:sz w:val="24"/>
          <w:szCs w:val="24"/>
          <w:u w:val="none"/>
          <w:lang w:val="en-US"/>
        </w:rPr>
        <w:t>, SD = .984)</w:t>
      </w:r>
      <w:r>
        <w:rPr>
          <w:lang w:val="en-US"/>
        </w:rPr>
        <w:t xml:space="preserve">, t(100) = </w:t>
      </w:r>
      <w:r>
        <w:rPr>
          <w:lang w:val="en-US"/>
        </w:rPr>
        <w:t>2.00</w:t>
      </w:r>
      <w:r>
        <w:rPr>
          <w:lang w:val="en-US"/>
        </w:rPr>
        <w:t xml:space="preserve">, p </w:t>
      </w:r>
      <w:r>
        <w:rPr>
          <w:lang w:val="en-US"/>
        </w:rPr>
        <w:t>= .048</w:t>
      </w:r>
      <w:r>
        <w:rPr>
          <w:lang w:val="en-US"/>
        </w:rPr>
        <w:t>.</w:t>
      </w:r>
      <w:r>
        <w:br w:type="page"/>
      </w:r>
    </w:p>
    <w:p>
      <w:pPr>
        <w:pStyle w:val="Nadpis3"/>
        <w:rPr/>
      </w:pPr>
      <w:bookmarkStart w:id="8" w:name="claim-id-single-trace"/>
      <w:bookmarkEnd w:id="8"/>
      <w:r>
        <w:rPr/>
        <w:t>Claim ID: single-trace</w:t>
      </w:r>
    </w:p>
    <w:p>
      <w:pPr>
        <w:pStyle w:val="FirstParagraph"/>
        <w:rPr/>
      </w:pPr>
      <w:r>
        <w:rPr>
          <w:b/>
          <w:bCs/>
        </w:rPr>
        <w:t>Coded claim 4 text (original paper):</w:t>
      </w:r>
      <w:r>
        <w:rPr/>
        <w:t xml:space="preserve"> “In study 2, participants who saw the program with a commercial rated it as more enjoyable than those who saw it without the commercial (M = 5.38 vs. 4.47; t(100) = 2.43, p = 0.016)”</w:t>
      </w:r>
    </w:p>
    <w:p>
      <w:pPr>
        <w:pStyle w:val="Telotextu"/>
        <w:rPr/>
      </w:pPr>
      <w:r>
        <w:rPr>
          <w:b/>
          <w:bCs/>
        </w:rPr>
        <w:t>Reproduction data source(s):</w:t>
      </w:r>
    </w:p>
    <w:p>
      <w:pPr>
        <w:pStyle w:val="Telotextu"/>
        <w:rPr/>
      </w:pPr>
      <w:hyperlink r:id="rId3">
        <w:r>
          <w:rPr>
            <w:rStyle w:val="Internetovodkaz"/>
          </w:rPr>
          <w:t>https://www.dropbox.com/sh/0k5qein22vrn476/AABSd1v0KI1ICMg4RGOYyDIca?dl=0</w:t>
        </w:r>
      </w:hyperlink>
    </w:p>
    <w:p>
      <w:pPr>
        <w:pStyle w:val="Telotextu"/>
        <w:rPr/>
      </w:pPr>
      <w:r>
        <w:rPr>
          <w:b/>
          <w:bCs/>
        </w:rPr>
        <w:t>Description of reproduction data:</w:t>
      </w:r>
    </w:p>
    <w:p>
      <w:pPr>
        <w:pStyle w:val="Telotextu"/>
        <w:rPr/>
      </w:pPr>
      <w:r>
        <w:rPr/>
        <w:t>Dataset (study 2 data.xlsx) was accessed and downloaded from the OSF project on 24.3.2022. One ID variable and 7 research variables contained data from 102 subjects.</w:t>
      </w:r>
    </w:p>
    <w:p>
      <w:pPr>
        <w:pStyle w:val="Telotextu"/>
        <w:rPr/>
      </w:pPr>
      <w:r>
        <w:rPr>
          <w:b/>
          <w:bCs/>
        </w:rPr>
        <w:t>Primary reproduction criteria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Criterion</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value</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reproduction</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Approximate reproduction</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Non-reproduction</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Reproduction result</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size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87-117</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than 87 or more than 117 participants</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102</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coefficient</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Telotextu"/>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test statistic</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2.43</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2.43</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higher than 2.07 or lower than 2.79</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smaller than 2.07 or higher than 2.79</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2.4466</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effect size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Telotextu"/>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p-value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 0.016</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 0.016</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higher than 0 or lower than 0.066</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&gt;=0.066</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 0.01617</w:t>
            </w:r>
          </w:p>
        </w:tc>
      </w:tr>
    </w:tbl>
    <w:p>
      <w:pPr>
        <w:pStyle w:val="Telotextu"/>
        <w:rPr/>
      </w:pPr>
      <w:r>
        <w:rPr>
          <w:b/>
          <w:bCs/>
        </w:rPr>
        <w:t>Analyst success criteria:</w:t>
      </w:r>
      <w:r>
        <w:rPr/>
        <w:t xml:space="preserve"> Only if all three outcomes simultaneously (sample size, p-value, and test statistic) will be within the predicted values (Precise Reproduction Criteria).</w:t>
      </w:r>
    </w:p>
    <w:p>
      <w:pPr>
        <w:pStyle w:val="Telotextu"/>
        <w:rPr/>
      </w:pPr>
      <w:r>
        <w:rPr>
          <w:b/>
          <w:bCs/>
        </w:rPr>
        <w:t>Reproduction outcome:</w:t>
      </w:r>
      <w:r>
        <w:rPr/>
        <w:t xml:space="preserve"> Based on these criteria, the claim did not reproduce.</w:t>
      </w:r>
    </w:p>
    <w:p>
      <w:pPr>
        <w:pStyle w:val="Telotextu"/>
        <w:rPr/>
      </w:pPr>
      <w:r>
        <w:rPr>
          <w:b/>
          <w:bCs/>
        </w:rPr>
        <w:t>Discussion:</w:t>
      </w:r>
      <w:r>
        <w:rPr/>
        <w:t xml:space="preserve">  Since the value of t statistic is not precisely the same as in the article, the resulted outcome is “did not reproduce”. The difference is however only very subtle, probably due to the different statistical software used by original authors. I want to add that mean in enjoyability of the program for commercial group was 5.377358 and for no commercial group was 4.469388 which coincides with means provided in the article (5.38 vs 4.47). </w:t>
      </w:r>
    </w:p>
    <w:p>
      <w:pPr>
        <w:pStyle w:val="Normal"/>
        <w:rPr/>
      </w:pPr>
      <w:r>
        <w:rPr/>
      </w:r>
      <w:bookmarkStart w:id="9" w:name="claim-id-single-trace1"/>
      <w:bookmarkStart w:id="10" w:name="claim-id-single-trace1"/>
      <w:bookmarkEnd w:id="10"/>
      <w:r>
        <w:br w:type="page"/>
      </w:r>
    </w:p>
    <w:p>
      <w:pPr>
        <w:pStyle w:val="Nadpis3"/>
        <w:rPr/>
      </w:pPr>
      <w:bookmarkStart w:id="11" w:name="claim-id-gpp38z"/>
      <w:bookmarkEnd w:id="11"/>
      <w:r>
        <w:rPr/>
        <w:t>Claim ID: gpp38z</w:t>
      </w:r>
    </w:p>
    <w:p>
      <w:pPr>
        <w:pStyle w:val="FirstParagraph"/>
        <w:rPr/>
      </w:pPr>
      <w:r>
        <w:rPr>
          <w:b/>
          <w:bCs/>
        </w:rPr>
        <w:t>Coded claim 4 text (original paper):</w:t>
      </w:r>
      <w:r>
        <w:rPr/>
        <w:t xml:space="preserve"> “Furthermore, after log transforming the willingness to pay measure, we found that people were willing to pay more for the compilation DVD after seeing the interrupted version than after seeing the continuous version (unadjusted M = $5.42 vs. $4.18; t(100) = 2.00, p = .048).”</w:t>
      </w:r>
    </w:p>
    <w:p>
      <w:pPr>
        <w:pStyle w:val="Telotextu"/>
        <w:rPr/>
      </w:pPr>
      <w:r>
        <w:rPr>
          <w:b/>
          <w:bCs/>
        </w:rPr>
        <w:t>Reproduction data source(s):</w:t>
      </w:r>
    </w:p>
    <w:p>
      <w:pPr>
        <w:pStyle w:val="Telotextu"/>
        <w:rPr/>
      </w:pPr>
      <w:hyperlink r:id="rId4">
        <w:r>
          <w:rPr>
            <w:rStyle w:val="Internetovodkaz"/>
          </w:rPr>
          <w:t>https://www.dropbox.com/sh/0k5qein22vrn476/AABSd1v0KI1ICMg4RGOYyDIca?dl=0</w:t>
        </w:r>
      </w:hyperlink>
    </w:p>
    <w:p>
      <w:pPr>
        <w:pStyle w:val="Telotextu"/>
        <w:rPr/>
      </w:pPr>
      <w:r>
        <w:rPr>
          <w:b/>
          <w:bCs/>
        </w:rPr>
        <w:t>Description of reproduction data:</w:t>
      </w:r>
    </w:p>
    <w:p>
      <w:pPr>
        <w:pStyle w:val="Telotextu"/>
        <w:rPr/>
      </w:pPr>
      <w:r>
        <w:rPr/>
        <w:t>Dataset (study 2 data.xlsx) was accessed and downloaded from the OSF project on 24.3.2022. One ID variable and 7 research variables contained data from 102 subjects.</w:t>
      </w:r>
    </w:p>
    <w:p>
      <w:pPr>
        <w:pStyle w:val="Telotextu"/>
        <w:rPr/>
      </w:pPr>
      <w:r>
        <w:rPr>
          <w:b/>
          <w:bCs/>
        </w:rPr>
        <w:t>Primary reproduction criteria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Criterion</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value</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reproduction</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Approximate reproduction</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Non-reproduction</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Reproduction result</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 size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87-117</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fewer than 87 or more than 117 participants</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102</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coefficient</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test statistic</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2.00</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2.00</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smaller than 1.50 or higher than 2.40</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 2.0001</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effect size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Focal p-value</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 0.048</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 0.048</w:t>
            </w:r>
          </w:p>
        </w:tc>
        <w:tc>
          <w:tcPr>
            <w:tcW w:w="1561"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higher than 0 or lower than 0.098</w:t>
            </w:r>
          </w:p>
        </w:tc>
        <w:tc>
          <w:tcPr>
            <w:tcW w:w="1559"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&gt;=0.098</w:t>
            </w:r>
          </w:p>
        </w:tc>
        <w:tc>
          <w:tcPr>
            <w:tcW w:w="1560" w:type="dxa"/>
            <w:tcBorders/>
          </w:tcPr>
          <w:p>
            <w:pPr>
              <w:pStyle w:val="Compact"/>
              <w:widowControl w:val="false"/>
              <w:suppressAutoHyphens w:val="true"/>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 = 0.0482</w:t>
            </w:r>
          </w:p>
        </w:tc>
      </w:tr>
    </w:tbl>
    <w:p>
      <w:pPr>
        <w:pStyle w:val="Telotextu"/>
        <w:rPr/>
      </w:pPr>
      <w:r>
        <w:rPr>
          <w:b/>
          <w:bCs/>
        </w:rPr>
        <w:t>Analyst success criteria:</w:t>
      </w:r>
      <w:r>
        <w:rPr/>
        <w:t xml:space="preserve"> Only if all three outcomes simultaneously (sample size, p-value, and test statistic) will be within the predicted values (Precise Reproduction Criteria).</w:t>
      </w:r>
    </w:p>
    <w:p>
      <w:pPr>
        <w:pStyle w:val="Telotextu"/>
        <w:rPr/>
      </w:pPr>
      <w:r>
        <w:rPr>
          <w:b/>
          <w:bCs/>
        </w:rPr>
        <w:t>Reproduction outcome:</w:t>
      </w:r>
      <w:r>
        <w:rPr/>
        <w:t xml:space="preserve"> Based on these criteria, the claim did reproduce.</w:t>
      </w:r>
    </w:p>
    <w:p>
      <w:pPr>
        <w:pStyle w:val="Telotextu"/>
        <w:rPr/>
      </w:pPr>
      <w:r>
        <w:rPr>
          <w:b/>
          <w:bCs/>
        </w:rPr>
        <w:t>Discussion:</w:t>
      </w:r>
      <w:r>
        <w:rPr/>
        <w:t xml:space="preserve"> After rounding the values of p (</w:t>
      </w:r>
      <w:r>
        <w:rPr>
          <w:rFonts w:eastAsia="Cambria" w:cs=""/>
          <w:kern w:val="0"/>
          <w:sz w:val="24"/>
          <w:szCs w:val="24"/>
          <w:lang w:val="en-US" w:eastAsia="en-US" w:bidi="ar-SA"/>
        </w:rPr>
        <w:t>0.0482 to  0.048</w:t>
      </w:r>
      <w:r>
        <w:rPr/>
        <w:t>) and t statistic (</w:t>
      </w:r>
      <w:r>
        <w:rPr>
          <w:rFonts w:eastAsia="Cambria" w:cs=""/>
          <w:kern w:val="0"/>
          <w:sz w:val="24"/>
          <w:szCs w:val="24"/>
          <w:lang w:val="en-US" w:eastAsia="en-US" w:bidi="ar-SA"/>
        </w:rPr>
        <w:t>2.0001 to 2.00</w:t>
      </w:r>
      <w:r>
        <w:rPr/>
        <w:t xml:space="preserve">) the outcomes match the original values. I want to add that unadjusted mean in log transformed willingness to pay for commercial group was 5.42 and for no commercial group was 4.18, which coincides with means provided in the article (5.42 vs 4.18). </w:t>
      </w:r>
    </w:p>
    <w:p>
      <w:pPr>
        <w:pStyle w:val="Nadpis2"/>
        <w:rPr/>
      </w:pPr>
      <w:bookmarkStart w:id="12" w:name="description-of-materials-provided"/>
      <w:bookmarkEnd w:id="12"/>
      <w:r>
        <w:rPr/>
        <w:t>Description of materials provided</w:t>
      </w:r>
    </w:p>
    <w:p>
      <w:pPr>
        <w:pStyle w:val="FirstParagraph"/>
        <w:rPr/>
      </w:pPr>
      <w:r>
        <w:rPr/>
        <w:t>All materials on this OSF project may be shared publicly.</w:t>
      </w:r>
    </w:p>
    <w:p>
      <w:pPr>
        <w:pStyle w:val="Compact"/>
        <w:numPr>
          <w:ilvl w:val="0"/>
          <w:numId w:val="5"/>
        </w:numPr>
        <w:rPr/>
      </w:pPr>
      <w:r>
        <w:rPr>
          <w:rStyle w:val="VerbatimChar"/>
        </w:rPr>
        <w:t>script_Nelson_JournConsRes_2009_eg1q_2w9oz_ADR.R</w:t>
      </w:r>
      <w:r>
        <w:rPr/>
        <w:t xml:space="preserve"> - the analysis pipeline which reads the raw data as provided by the original author</w:t>
      </w:r>
      <w:r>
        <w:rPr/>
        <w:t>s</w:t>
      </w:r>
      <w:r>
        <w:rPr/>
        <w:t xml:space="preserve"> and </w:t>
      </w:r>
      <w:r>
        <w:rPr/>
        <w:t>all analyses</w:t>
      </w:r>
      <w:r>
        <w:rPr/>
        <w:t xml:space="preserve"> to conduct the focal test</w:t>
      </w:r>
      <w:r>
        <w:rPr/>
        <w:t>s</w:t>
      </w:r>
      <w:r>
        <w:rPr/>
        <w:t>.</w:t>
      </w:r>
    </w:p>
    <w:p>
      <w:pPr>
        <w:pStyle w:val="Compact"/>
        <w:numPr>
          <w:ilvl w:val="0"/>
          <w:numId w:val="6"/>
        </w:numPr>
        <w:rPr/>
      </w:pPr>
      <w:r>
        <w:rPr>
          <w:rStyle w:val="VerbatimChar"/>
        </w:rPr>
        <w:t>study 2 data.xlsx</w:t>
      </w:r>
      <w:r>
        <w:rPr/>
        <w:t xml:space="preserve"> – </w:t>
      </w:r>
      <w:r>
        <w:rPr/>
        <w:t>original raw data</w:t>
      </w:r>
    </w:p>
    <w:p>
      <w:pPr>
        <w:pStyle w:val="Compact"/>
        <w:numPr>
          <w:ilvl w:val="0"/>
          <w:numId w:val="7"/>
        </w:numPr>
        <w:rPr/>
      </w:pPr>
      <w:r>
        <w:rPr>
          <w:rStyle w:val="VerbatimChar"/>
        </w:rPr>
        <w:t>outputs</w:t>
      </w:r>
      <w:r>
        <w:rPr>
          <w:rStyle w:val="VerbatimChar"/>
        </w:rPr>
        <w:t>.</w:t>
      </w:r>
      <w:r>
        <w:rPr>
          <w:rStyle w:val="VerbatimChar"/>
        </w:rPr>
        <w:t>pdf</w:t>
      </w:r>
      <w:r>
        <w:rPr/>
        <w:t xml:space="preserve"> – </w:t>
      </w:r>
      <w:r>
        <w:rPr/>
        <w:t>f</w:t>
      </w:r>
      <w:r>
        <w:rPr/>
        <w:t>ull output</w:t>
      </w:r>
      <w:r>
        <w:rPr/>
        <w:t>s</w:t>
      </w:r>
      <w:r>
        <w:rPr/>
        <w:t xml:space="preserve"> from analys</w:t>
      </w:r>
      <w:r>
        <w:rPr/>
        <w:t>e</w:t>
      </w:r>
      <w:r>
        <w:rPr/>
        <w:t>s</w:t>
      </w:r>
    </w:p>
    <w:p>
      <w:pPr>
        <w:pStyle w:val="FirstParagraph"/>
        <w:rPr/>
      </w:pPr>
      <w:r>
        <w:rPr/>
      </w:r>
      <w:bookmarkStart w:id="13" w:name="description-of-materials-provided"/>
      <w:bookmarkStart w:id="14" w:name="description-of-materials-provided"/>
      <w:bookmarkEnd w:id="14"/>
    </w:p>
    <w:p>
      <w:pPr>
        <w:pStyle w:val="Nadpis2"/>
        <w:rPr/>
      </w:pPr>
      <w:bookmarkStart w:id="15" w:name="references"/>
      <w:bookmarkEnd w:id="15"/>
      <w:r>
        <w:rPr/>
        <w:t>References</w:t>
      </w:r>
    </w:p>
    <w:p>
      <w:pPr>
        <w:pStyle w:val="Telotextu"/>
        <w:spacing w:before="180" w:after="180"/>
        <w:rPr/>
      </w:pPr>
      <w:bookmarkStart w:id="16" w:name="Xdf8f23a84654943c182274aa218aadceb38297e"/>
      <w:bookmarkStart w:id="17" w:name="references"/>
      <w:bookmarkEnd w:id="16"/>
      <w:bookmarkEnd w:id="17"/>
      <w:r>
        <w:rPr/>
        <w:t xml:space="preserve">Nelson, L. D., Meyvis, T., &amp; Galak, J. (2009). Enhancing the television-viewing experience through commercial interruptions. </w:t>
      </w:r>
      <w:r>
        <w:rPr>
          <w:i/>
        </w:rPr>
        <w:t>The Journal of Consumer Research</w:t>
      </w:r>
      <w:r>
        <w:rPr/>
        <w:t xml:space="preserve">, </w:t>
      </w:r>
      <w:r>
        <w:rPr>
          <w:i/>
        </w:rPr>
        <w:t>36</w:t>
      </w:r>
      <w:r>
        <w:rPr/>
        <w:t>(2), 160–172. https://doi.org/10.1086/597030</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num>
  <w:num w:numId="6">
    <w:abstractNumId w:val="1"/>
  </w:num>
  <w:num w:numId="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Nadpis1">
    <w:name w:val="Heading 1"/>
    <w:basedOn w:val="Normal"/>
    <w:next w:val="Telotextu"/>
    <w:uiPriority w:val="9"/>
    <w:qFormat/>
    <w:rsid w:val="00972405"/>
    <w:pPr>
      <w:keepNext w:val="true"/>
      <w:keepLines/>
      <w:spacing w:before="480" w:after="0"/>
      <w:jc w:val="center"/>
      <w:outlineLvl w:val="0"/>
    </w:pPr>
    <w:rPr>
      <w:rFonts w:ascii="Calibri" w:hAnsi="Calibri" w:eastAsia="" w:cs="" w:asciiTheme="majorHAnsi" w:cstheme="majorBidi" w:eastAsiaTheme="majorEastAsia" w:hAnsiTheme="majorHAnsi"/>
      <w:b/>
      <w:bCs/>
      <w:sz w:val="32"/>
      <w:szCs w:val="32"/>
    </w:rPr>
  </w:style>
  <w:style w:type="paragraph" w:styleId="Nadpis2">
    <w:name w:val="Heading 2"/>
    <w:basedOn w:val="Normal"/>
    <w:next w:val="Telotextu"/>
    <w:uiPriority w:val="9"/>
    <w:unhideWhenUsed/>
    <w:qFormat/>
    <w:rsid w:val="00972405"/>
    <w:pPr>
      <w:keepNext w:val="true"/>
      <w:keepLines/>
      <w:spacing w:before="200" w:after="0"/>
      <w:outlineLvl w:val="1"/>
    </w:pPr>
    <w:rPr>
      <w:rFonts w:ascii="Calibri" w:hAnsi="Calibri" w:eastAsia="" w:cs="" w:asciiTheme="majorHAnsi" w:cstheme="majorBidi" w:eastAsiaTheme="majorEastAsia" w:hAnsiTheme="majorHAnsi"/>
      <w:b/>
      <w:bCs/>
      <w:sz w:val="32"/>
      <w:szCs w:val="32"/>
    </w:rPr>
  </w:style>
  <w:style w:type="paragraph" w:styleId="Nadpis3">
    <w:name w:val="Heading 3"/>
    <w:basedOn w:val="Normal"/>
    <w:next w:val="Telotextu"/>
    <w:uiPriority w:val="9"/>
    <w:unhideWhenUsed/>
    <w:qFormat/>
    <w:rsid w:val="00972405"/>
    <w:pPr>
      <w:keepNext w:val="true"/>
      <w:keepLines/>
      <w:spacing w:before="200" w:after="0"/>
      <w:outlineLvl w:val="2"/>
    </w:pPr>
    <w:rPr>
      <w:rFonts w:ascii="Calibri" w:hAnsi="Calibri" w:eastAsia="" w:cs="" w:asciiTheme="majorHAnsi" w:cstheme="majorBidi" w:eastAsiaTheme="majorEastAsia" w:hAnsiTheme="majorHAnsi"/>
      <w:b/>
      <w:bCs/>
      <w:sz w:val="28"/>
      <w:szCs w:val="28"/>
    </w:rPr>
  </w:style>
  <w:style w:type="paragraph" w:styleId="Nadpis4">
    <w:name w:val="Heading 4"/>
    <w:basedOn w:val="Normal"/>
    <w:next w:val="Telotextu"/>
    <w:uiPriority w:val="9"/>
    <w:unhideWhenUsed/>
    <w:qFormat/>
    <w:rsid w:val="00972405"/>
    <w:pPr>
      <w:keepNext w:val="true"/>
      <w:keepLines/>
      <w:spacing w:before="200" w:after="0"/>
      <w:outlineLvl w:val="3"/>
    </w:pPr>
    <w:rPr>
      <w:rFonts w:ascii="Calibri" w:hAnsi="Calibri" w:eastAsia="" w:cs="" w:asciiTheme="majorHAnsi" w:cstheme="majorBidi" w:eastAsiaTheme="majorEastAsia" w:hAnsiTheme="majorHAnsi"/>
      <w:b/>
      <w:bCs/>
    </w:rPr>
  </w:style>
  <w:style w:type="paragraph" w:styleId="Nadpis5">
    <w:name w:val="Heading 5"/>
    <w:basedOn w:val="Normal"/>
    <w:next w:val="Telotextu"/>
    <w:uiPriority w:val="9"/>
    <w:unhideWhenUsed/>
    <w:qFormat/>
    <w:rsid w:val="00972405"/>
    <w:pPr>
      <w:keepNext w:val="true"/>
      <w:keepLines/>
      <w:spacing w:before="200" w:after="0"/>
      <w:outlineLvl w:val="4"/>
    </w:pPr>
    <w:rPr>
      <w:rFonts w:ascii="Calibri" w:hAnsi="Calibri" w:eastAsia="" w:cs="" w:asciiTheme="majorHAnsi" w:cstheme="majorBidi" w:eastAsiaTheme="majorEastAsia" w:hAnsiTheme="majorHAnsi"/>
      <w:i/>
      <w:iCs/>
    </w:rPr>
  </w:style>
  <w:style w:type="paragraph" w:styleId="Nadpis6">
    <w:name w:val="Heading 6"/>
    <w:basedOn w:val="Normal"/>
    <w:next w:val="Telotextu"/>
    <w:uiPriority w:val="9"/>
    <w:unhideWhenUsed/>
    <w:qFormat/>
    <w:rsid w:val="00972405"/>
    <w:pPr>
      <w:keepNext w:val="true"/>
      <w:keepLines/>
      <w:spacing w:before="200" w:after="0"/>
      <w:outlineLvl w:val="5"/>
    </w:pPr>
    <w:rPr>
      <w:rFonts w:ascii="Calibri" w:hAnsi="Calibri" w:eastAsia="" w:cs="" w:asciiTheme="majorHAnsi" w:cstheme="majorBidi" w:eastAsiaTheme="majorEastAsia" w:hAnsiTheme="majorHAnsi"/>
    </w:rPr>
  </w:style>
  <w:style w:type="paragraph" w:styleId="Nadpis7">
    <w:name w:val="Heading 7"/>
    <w:basedOn w:val="Normal"/>
    <w:next w:val="Telotextu"/>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rPr>
  </w:style>
  <w:style w:type="paragraph" w:styleId="Nadpis8">
    <w:name w:val="Heading 8"/>
    <w:basedOn w:val="Normal"/>
    <w:next w:val="Telotextu"/>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rPr>
  </w:style>
  <w:style w:type="paragraph" w:styleId="Nadpis9">
    <w:name w:val="Heading 9"/>
    <w:basedOn w:val="Normal"/>
    <w:next w:val="Telotextu"/>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Ukotveniepoznmkypodiarou">
    <w:name w:val="Ukotvenie poznámky pod čiarou"/>
    <w:rPr>
      <w:vertAlign w:val="superscript"/>
    </w:rPr>
  </w:style>
  <w:style w:type="character" w:styleId="FootnoteCharacters">
    <w:name w:val="Footnote Characters"/>
    <w:basedOn w:val="CaptionChar"/>
    <w:qFormat/>
    <w:rPr>
      <w:vertAlign w:val="superscript"/>
    </w:rPr>
  </w:style>
  <w:style w:type="character" w:styleId="Internetovodkaz">
    <w:name w:val="Internetový odkaz"/>
    <w:basedOn w:val="CaptionChar"/>
    <w:rPr>
      <w:color w:val="4F81BD" w:themeColor="accent1"/>
    </w:rPr>
  </w:style>
  <w:style w:type="character" w:styleId="KeywordTok" w:customStyle="1">
    <w:name w:val="KeywordTok"/>
    <w:basedOn w:val="VerbatimChar"/>
    <w:qFormat/>
    <w:rPr>
      <w:rFonts w:ascii="Consolas" w:hAnsi="Consolas"/>
      <w:b/>
      <w:color w:val="204A87"/>
      <w:sz w:val="22"/>
      <w:shd w:fill="F8F8F8" w:val="clear"/>
    </w:rPr>
  </w:style>
  <w:style w:type="character" w:styleId="DataTypeTok" w:customStyle="1">
    <w:name w:val="DataTypeTok"/>
    <w:basedOn w:val="VerbatimChar"/>
    <w:qFormat/>
    <w:rPr>
      <w:rFonts w:ascii="Consolas" w:hAnsi="Consolas"/>
      <w:color w:val="204A87"/>
      <w:sz w:val="22"/>
      <w:shd w:fill="F8F8F8" w:val="clear"/>
    </w:rPr>
  </w:style>
  <w:style w:type="character" w:styleId="DecValTok" w:customStyle="1">
    <w:name w:val="DecValTok"/>
    <w:basedOn w:val="VerbatimChar"/>
    <w:qFormat/>
    <w:rPr>
      <w:rFonts w:ascii="Consolas" w:hAnsi="Consolas"/>
      <w:color w:val="0000CF"/>
      <w:sz w:val="22"/>
      <w:shd w:fill="F8F8F8" w:val="clear"/>
    </w:rPr>
  </w:style>
  <w:style w:type="character" w:styleId="BaseNTok" w:customStyle="1">
    <w:name w:val="BaseNTok"/>
    <w:basedOn w:val="VerbatimChar"/>
    <w:qFormat/>
    <w:rPr>
      <w:rFonts w:ascii="Consolas" w:hAnsi="Consolas"/>
      <w:color w:val="0000CF"/>
      <w:sz w:val="22"/>
      <w:shd w:fill="F8F8F8" w:val="clear"/>
    </w:rPr>
  </w:style>
  <w:style w:type="character" w:styleId="FloatTok" w:customStyle="1">
    <w:name w:val="FloatTok"/>
    <w:basedOn w:val="VerbatimChar"/>
    <w:qFormat/>
    <w:rPr>
      <w:rFonts w:ascii="Consolas" w:hAnsi="Consolas"/>
      <w:color w:val="0000CF"/>
      <w:sz w:val="22"/>
      <w:shd w:fill="F8F8F8" w:val="clear"/>
    </w:rPr>
  </w:style>
  <w:style w:type="character" w:styleId="ConstantTok" w:customStyle="1">
    <w:name w:val="ConstantTok"/>
    <w:basedOn w:val="VerbatimChar"/>
    <w:qFormat/>
    <w:rPr>
      <w:rFonts w:ascii="Consolas" w:hAnsi="Consolas"/>
      <w:color w:val="000000"/>
      <w:sz w:val="22"/>
      <w:shd w:fill="F8F8F8" w:val="clear"/>
    </w:rPr>
  </w:style>
  <w:style w:type="character" w:styleId="CharTok" w:customStyle="1">
    <w:name w:val="CharTok"/>
    <w:basedOn w:val="VerbatimChar"/>
    <w:qFormat/>
    <w:rPr>
      <w:rFonts w:ascii="Consolas" w:hAnsi="Consolas"/>
      <w:color w:val="4E9A06"/>
      <w:sz w:val="22"/>
      <w:shd w:fill="F8F8F8" w:val="clear"/>
    </w:rPr>
  </w:style>
  <w:style w:type="character" w:styleId="SpecialCharTok" w:customStyle="1">
    <w:name w:val="SpecialCharTok"/>
    <w:basedOn w:val="VerbatimChar"/>
    <w:qFormat/>
    <w:rPr>
      <w:rFonts w:ascii="Consolas" w:hAnsi="Consolas"/>
      <w:color w:val="000000"/>
      <w:sz w:val="22"/>
      <w:shd w:fill="F8F8F8" w:val="clear"/>
    </w:rPr>
  </w:style>
  <w:style w:type="character" w:styleId="StringTok" w:customStyle="1">
    <w:name w:val="StringTok"/>
    <w:basedOn w:val="VerbatimChar"/>
    <w:qFormat/>
    <w:rPr>
      <w:rFonts w:ascii="Consolas" w:hAnsi="Consolas"/>
      <w:color w:val="4E9A06"/>
      <w:sz w:val="22"/>
      <w:shd w:fill="F8F8F8" w:val="clear"/>
    </w:rPr>
  </w:style>
  <w:style w:type="character" w:styleId="VerbatimStringTok" w:customStyle="1">
    <w:name w:val="VerbatimStringTok"/>
    <w:basedOn w:val="VerbatimChar"/>
    <w:qFormat/>
    <w:rPr>
      <w:rFonts w:ascii="Consolas" w:hAnsi="Consolas"/>
      <w:color w:val="4E9A06"/>
      <w:sz w:val="22"/>
      <w:shd w:fill="F8F8F8" w:val="clear"/>
    </w:rPr>
  </w:style>
  <w:style w:type="character" w:styleId="SpecialStringTok" w:customStyle="1">
    <w:name w:val="SpecialStringTok"/>
    <w:basedOn w:val="VerbatimChar"/>
    <w:qFormat/>
    <w:rPr>
      <w:rFonts w:ascii="Consolas" w:hAnsi="Consolas"/>
      <w:color w:val="4E9A06"/>
      <w:sz w:val="22"/>
      <w:shd w:fill="F8F8F8" w:val="clear"/>
    </w:rPr>
  </w:style>
  <w:style w:type="character" w:styleId="ImportTok" w:customStyle="1">
    <w:name w:val="ImportTok"/>
    <w:basedOn w:val="VerbatimChar"/>
    <w:qFormat/>
    <w:rPr>
      <w:rFonts w:ascii="Consolas" w:hAnsi="Consolas"/>
      <w:sz w:val="22"/>
      <w:shd w:fill="F8F8F8" w:val="clear"/>
    </w:rPr>
  </w:style>
  <w:style w:type="character" w:styleId="CommentTok" w:customStyle="1">
    <w:name w:val="CommentTok"/>
    <w:basedOn w:val="VerbatimChar"/>
    <w:qFormat/>
    <w:rPr>
      <w:rFonts w:ascii="Consolas" w:hAnsi="Consolas"/>
      <w:i/>
      <w:color w:val="8F5902"/>
      <w:sz w:val="22"/>
      <w:shd w:fill="F8F8F8" w:val="clear"/>
    </w:rPr>
  </w:style>
  <w:style w:type="character" w:styleId="DocumentationTok" w:customStyle="1">
    <w:name w:val="DocumentationTok"/>
    <w:basedOn w:val="VerbatimChar"/>
    <w:qFormat/>
    <w:rPr>
      <w:rFonts w:ascii="Consolas" w:hAnsi="Consolas"/>
      <w:b/>
      <w:i/>
      <w:color w:val="8F5902"/>
      <w:sz w:val="22"/>
      <w:shd w:fill="F8F8F8" w:val="clear"/>
    </w:rPr>
  </w:style>
  <w:style w:type="character" w:styleId="AnnotationTok" w:customStyle="1">
    <w:name w:val="AnnotationTok"/>
    <w:basedOn w:val="VerbatimChar"/>
    <w:qFormat/>
    <w:rPr>
      <w:rFonts w:ascii="Consolas" w:hAnsi="Consolas"/>
      <w:b/>
      <w:i/>
      <w:color w:val="8F5902"/>
      <w:sz w:val="22"/>
      <w:shd w:fill="F8F8F8" w:val="clear"/>
    </w:rPr>
  </w:style>
  <w:style w:type="character" w:styleId="CommentVarTok" w:customStyle="1">
    <w:name w:val="CommentVarTok"/>
    <w:basedOn w:val="VerbatimChar"/>
    <w:qFormat/>
    <w:rPr>
      <w:rFonts w:ascii="Consolas" w:hAnsi="Consolas"/>
      <w:b/>
      <w:i/>
      <w:color w:val="8F5902"/>
      <w:sz w:val="22"/>
      <w:shd w:fill="F8F8F8" w:val="clear"/>
    </w:rPr>
  </w:style>
  <w:style w:type="character" w:styleId="OtherTok" w:customStyle="1">
    <w:name w:val="OtherTok"/>
    <w:basedOn w:val="VerbatimChar"/>
    <w:qFormat/>
    <w:rPr>
      <w:rFonts w:ascii="Consolas" w:hAnsi="Consolas"/>
      <w:color w:val="8F5902"/>
      <w:sz w:val="22"/>
      <w:shd w:fill="F8F8F8" w:val="clear"/>
    </w:rPr>
  </w:style>
  <w:style w:type="character" w:styleId="FunctionTok" w:customStyle="1">
    <w:name w:val="FunctionTok"/>
    <w:basedOn w:val="VerbatimChar"/>
    <w:qFormat/>
    <w:rPr>
      <w:rFonts w:ascii="Consolas" w:hAnsi="Consolas"/>
      <w:color w:val="000000"/>
      <w:sz w:val="22"/>
      <w:shd w:fill="F8F8F8" w:val="clear"/>
    </w:rPr>
  </w:style>
  <w:style w:type="character" w:styleId="VariableTok" w:customStyle="1">
    <w:name w:val="VariableTok"/>
    <w:basedOn w:val="VerbatimChar"/>
    <w:qFormat/>
    <w:rPr>
      <w:rFonts w:ascii="Consolas" w:hAnsi="Consolas"/>
      <w:color w:val="000000"/>
      <w:sz w:val="22"/>
      <w:shd w:fill="F8F8F8" w:val="clear"/>
    </w:rPr>
  </w:style>
  <w:style w:type="character" w:styleId="ControlFlowTok" w:customStyle="1">
    <w:name w:val="ControlFlowTok"/>
    <w:basedOn w:val="VerbatimChar"/>
    <w:qFormat/>
    <w:rPr>
      <w:rFonts w:ascii="Consolas" w:hAnsi="Consolas"/>
      <w:b/>
      <w:color w:val="204A87"/>
      <w:sz w:val="22"/>
      <w:shd w:fill="F8F8F8" w:val="clear"/>
    </w:rPr>
  </w:style>
  <w:style w:type="character" w:styleId="OperatorTok" w:customStyle="1">
    <w:name w:val="OperatorTok"/>
    <w:basedOn w:val="VerbatimChar"/>
    <w:qFormat/>
    <w:rPr>
      <w:rFonts w:ascii="Consolas" w:hAnsi="Consolas"/>
      <w:b/>
      <w:color w:val="CE5C00"/>
      <w:sz w:val="22"/>
      <w:shd w:fill="F8F8F8" w:val="clear"/>
    </w:rPr>
  </w:style>
  <w:style w:type="character" w:styleId="BuiltInTok" w:customStyle="1">
    <w:name w:val="BuiltInTok"/>
    <w:basedOn w:val="VerbatimChar"/>
    <w:qFormat/>
    <w:rPr>
      <w:rFonts w:ascii="Consolas" w:hAnsi="Consolas"/>
      <w:sz w:val="22"/>
      <w:shd w:fill="F8F8F8" w:val="clear"/>
    </w:rPr>
  </w:style>
  <w:style w:type="character" w:styleId="ExtensionTok" w:customStyle="1">
    <w:name w:val="ExtensionTok"/>
    <w:basedOn w:val="VerbatimChar"/>
    <w:qFormat/>
    <w:rPr>
      <w:rFonts w:ascii="Consolas" w:hAnsi="Consolas"/>
      <w:sz w:val="22"/>
      <w:shd w:fill="F8F8F8" w:val="clear"/>
    </w:rPr>
  </w:style>
  <w:style w:type="character" w:styleId="PreprocessorTok" w:customStyle="1">
    <w:name w:val="PreprocessorTok"/>
    <w:basedOn w:val="VerbatimChar"/>
    <w:qFormat/>
    <w:rPr>
      <w:rFonts w:ascii="Consolas" w:hAnsi="Consolas"/>
      <w:i/>
      <w:color w:val="8F5902"/>
      <w:sz w:val="22"/>
      <w:shd w:fill="F8F8F8" w:val="clear"/>
    </w:rPr>
  </w:style>
  <w:style w:type="character" w:styleId="AttributeTok" w:customStyle="1">
    <w:name w:val="AttributeTok"/>
    <w:basedOn w:val="VerbatimChar"/>
    <w:qFormat/>
    <w:rPr>
      <w:rFonts w:ascii="Consolas" w:hAnsi="Consolas"/>
      <w:color w:val="C4A000"/>
      <w:sz w:val="22"/>
      <w:shd w:fill="F8F8F8" w:val="clear"/>
    </w:rPr>
  </w:style>
  <w:style w:type="character" w:styleId="RegionMarkerTok" w:customStyle="1">
    <w:name w:val="RegionMarkerTok"/>
    <w:basedOn w:val="VerbatimChar"/>
    <w:qFormat/>
    <w:rPr>
      <w:rFonts w:ascii="Consolas" w:hAnsi="Consolas"/>
      <w:sz w:val="22"/>
      <w:shd w:fill="F8F8F8" w:val="clear"/>
    </w:rPr>
  </w:style>
  <w:style w:type="character" w:styleId="InformationTok" w:customStyle="1">
    <w:name w:val="InformationTok"/>
    <w:basedOn w:val="VerbatimChar"/>
    <w:qFormat/>
    <w:rPr>
      <w:rFonts w:ascii="Consolas" w:hAnsi="Consolas"/>
      <w:b/>
      <w:i/>
      <w:color w:val="8F5902"/>
      <w:sz w:val="22"/>
      <w:shd w:fill="F8F8F8" w:val="clear"/>
    </w:rPr>
  </w:style>
  <w:style w:type="character" w:styleId="WarningTok" w:customStyle="1">
    <w:name w:val="WarningTok"/>
    <w:basedOn w:val="VerbatimChar"/>
    <w:qFormat/>
    <w:rPr>
      <w:rFonts w:ascii="Consolas" w:hAnsi="Consolas"/>
      <w:b/>
      <w:i/>
      <w:color w:val="8F5902"/>
      <w:sz w:val="22"/>
      <w:shd w:fill="F8F8F8" w:val="clear"/>
    </w:rPr>
  </w:style>
  <w:style w:type="character" w:styleId="AlertTok" w:customStyle="1">
    <w:name w:val="AlertTok"/>
    <w:basedOn w:val="VerbatimChar"/>
    <w:qFormat/>
    <w:rPr>
      <w:rFonts w:ascii="Consolas" w:hAnsi="Consolas"/>
      <w:color w:val="EF2929"/>
      <w:sz w:val="22"/>
      <w:shd w:fill="F8F8F8" w:val="clear"/>
    </w:rPr>
  </w:style>
  <w:style w:type="character" w:styleId="ErrorTok" w:customStyle="1">
    <w:name w:val="ErrorTok"/>
    <w:basedOn w:val="VerbatimChar"/>
    <w:qFormat/>
    <w:rPr>
      <w:rFonts w:ascii="Consolas" w:hAnsi="Consolas"/>
      <w:b/>
      <w:color w:val="A40000"/>
      <w:sz w:val="22"/>
      <w:shd w:fill="F8F8F8" w:val="clear"/>
    </w:rPr>
  </w:style>
  <w:style w:type="character" w:styleId="NormalTok" w:customStyle="1">
    <w:name w:val="NormalTok"/>
    <w:basedOn w:val="VerbatimChar"/>
    <w:qFormat/>
    <w:rPr>
      <w:rFonts w:ascii="Consolas" w:hAnsi="Consolas"/>
      <w:sz w:val="22"/>
      <w:shd w:fill="F8F8F8" w:val="clear"/>
    </w:rPr>
  </w:style>
  <w:style w:type="character" w:styleId="BodyTextChar" w:customStyle="1">
    <w:name w:val="Body Text Char"/>
    <w:basedOn w:val="DefaultParagraphFont"/>
    <w:qFormat/>
    <w:rsid w:val="00972405"/>
    <w:rPr/>
  </w:style>
  <w:style w:type="paragraph" w:styleId="Nadpis">
    <w:name w:val="Nadpis"/>
    <w:basedOn w:val="Normal"/>
    <w:next w:val="Telotextu"/>
    <w:qFormat/>
    <w:pPr>
      <w:keepNext w:val="true"/>
      <w:spacing w:before="240" w:after="120"/>
    </w:pPr>
    <w:rPr>
      <w:rFonts w:ascii="Liberation Sans" w:hAnsi="Liberation Sans" w:eastAsia="Noto Sans CJK SC" w:cs="FreeSans"/>
      <w:sz w:val="28"/>
      <w:szCs w:val="28"/>
    </w:rPr>
  </w:style>
  <w:style w:type="paragraph" w:styleId="Telotextu">
    <w:name w:val="Body Text"/>
    <w:basedOn w:val="Normal"/>
    <w:link w:val="BodyTextChar"/>
    <w:qFormat/>
    <w:pPr>
      <w:spacing w:before="180" w:after="180"/>
    </w:pPr>
    <w:rPr/>
  </w:style>
  <w:style w:type="paragraph" w:styleId="Zoznam">
    <w:name w:val="List"/>
    <w:basedOn w:val="Telotextu"/>
    <w:pPr/>
    <w:rPr>
      <w:rFonts w:cs="FreeSans"/>
    </w:rPr>
  </w:style>
  <w:style w:type="paragraph" w:styleId="Popis">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FirstParagraph" w:customStyle="1">
    <w:name w:val="First Paragraph"/>
    <w:basedOn w:val="Telotextu"/>
    <w:next w:val="Telotextu"/>
    <w:qFormat/>
    <w:pPr/>
    <w:rPr/>
  </w:style>
  <w:style w:type="paragraph" w:styleId="Compact" w:customStyle="1">
    <w:name w:val="Compact"/>
    <w:basedOn w:val="Telotextu"/>
    <w:qFormat/>
    <w:pPr>
      <w:spacing w:before="36" w:after="36"/>
    </w:pPr>
    <w:rPr/>
  </w:style>
  <w:style w:type="paragraph" w:styleId="Nzov">
    <w:name w:val="Title"/>
    <w:basedOn w:val="Normal"/>
    <w:next w:val="Telotextu"/>
    <w:qFormat/>
    <w:rsid w:val="00972405"/>
    <w:pPr>
      <w:keepNext w:val="true"/>
      <w:keepLines/>
      <w:spacing w:before="480" w:after="240"/>
      <w:jc w:val="center"/>
    </w:pPr>
    <w:rPr>
      <w:rFonts w:ascii="Calibri" w:hAnsi="Calibri" w:eastAsia="" w:cs="" w:asciiTheme="majorHAnsi" w:cstheme="majorBidi" w:eastAsiaTheme="majorEastAsia" w:hAnsiTheme="majorHAnsi"/>
      <w:b/>
      <w:bCs/>
      <w:sz w:val="36"/>
      <w:szCs w:val="36"/>
    </w:rPr>
  </w:style>
  <w:style w:type="paragraph" w:styleId="Podnzov">
    <w:name w:val="Subtitle"/>
    <w:basedOn w:val="Nzov"/>
    <w:next w:val="Telotextu"/>
    <w:qFormat/>
    <w:pPr>
      <w:spacing w:before="240" w:after="240"/>
    </w:pPr>
    <w:rPr>
      <w:sz w:val="30"/>
      <w:szCs w:val="30"/>
    </w:rPr>
  </w:style>
  <w:style w:type="paragraph" w:styleId="Author" w:customStyle="1">
    <w:name w:val="Author"/>
    <w:next w:val="Telotextu"/>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Telotextu"/>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Telotextu"/>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Telotextu"/>
    <w:next w:val="Telotextu"/>
    <w:uiPriority w:val="9"/>
    <w:unhideWhenUsed/>
    <w:qFormat/>
    <w:pPr>
      <w:spacing w:before="100" w:after="100"/>
    </w:pPr>
    <w:rPr>
      <w:rFonts w:ascii="Calibri" w:hAnsi="Calibri" w:eastAsia="" w:cs="" w:asciiTheme="majorHAnsi" w:cstheme="majorBidi" w:eastAsiaTheme="majorEastAsia" w:hAnsiTheme="majorHAnsi"/>
      <w:bCs/>
      <w:sz w:val="20"/>
      <w:szCs w:val="20"/>
    </w:rPr>
  </w:style>
  <w:style w:type="paragraph" w:styleId="Poznmkapodiarou">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
    <w:name w:val="caption"/>
    <w:basedOn w:val="Normal"/>
    <w:link w:val="CaptionChar"/>
    <w:qFormat/>
    <w:pPr>
      <w:spacing w:before="0" w:after="120"/>
    </w:pPr>
    <w:rPr>
      <w:i/>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Obrzok" w:customStyle="1">
    <w:name w:val="Obrázok"/>
    <w:basedOn w:val="Normal"/>
    <w:qFormat/>
    <w:pPr/>
    <w:rPr/>
  </w:style>
  <w:style w:type="paragraph" w:styleId="CaptionedFigure" w:customStyle="1">
    <w:name w:val="Captioned Figure"/>
    <w:basedOn w:val="Obrzok"/>
    <w:qFormat/>
    <w:pPr>
      <w:keepNext w:val="true"/>
    </w:pPr>
    <w:rPr/>
  </w:style>
  <w:style w:type="paragraph" w:styleId="Nadpisregistra">
    <w:name w:val="Index Heading"/>
    <w:basedOn w:val="Nadpis"/>
    <w:pPr/>
    <w:rPr/>
  </w:style>
  <w:style w:type="paragraph" w:styleId="Nadpisobsahu">
    <w:name w:val="TOC Heading"/>
    <w:basedOn w:val="Nadpis1"/>
    <w:next w:val="Telotextu"/>
    <w:uiPriority w:val="39"/>
    <w:unhideWhenUsed/>
    <w:qFormat/>
    <w:pPr>
      <w:spacing w:lineRule="auto" w:line="259" w:before="240" w:after="0"/>
      <w:outlineLvl w:val="9"/>
    </w:pPr>
    <w:rPr>
      <w:b w:val="false"/>
      <w:bCs w:val="false"/>
      <w:color w:val="365F91" w:themeColor="accent1" w:themeShade="bf"/>
    </w:rPr>
  </w:style>
  <w:style w:type="paragraph" w:styleId="SourceCode" w:customStyle="1">
    <w:name w:val="Source Code"/>
    <w:basedOn w:val="Normal"/>
    <w:link w:val="VerbatimChar"/>
    <w:qFormat/>
    <w:pPr>
      <w:shd w:val="clear" w:color="auto" w:fill="F8F8F8"/>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rsid w:val="0097240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sf.io/x9pd3" TargetMode="External"/><Relationship Id="rId3" Type="http://schemas.openxmlformats.org/officeDocument/2006/relationships/hyperlink" Target="https://www.dropbox.com/sh/0k5qein22vrn476/AABSd1v0KI1ICMg4RGOYyDIca?dl=0" TargetMode="External"/><Relationship Id="rId4" Type="http://schemas.openxmlformats.org/officeDocument/2006/relationships/hyperlink" Target="https://www.dropbox.com/sh/0k5qein22vrn476/AABSd1v0KI1ICMg4RGOYyDIca?dl=0"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Application>LibreOffice/7.3.2.2$Linux_X86_64 LibreOffice_project/49f2b1bff42cfccbd8f788c8dc32c1c309559be0</Application>
  <AppVersion>15.0000</AppVersion>
  <Pages>6</Pages>
  <Words>949</Words>
  <Characters>5099</Characters>
  <CharactersWithSpaces>5934</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2022-04-19T18:10:47Z</dcterms:created>
  <dc:creator/>
  <dc:description/>
  <dc:language>sk-SK</dc:language>
  <cp:lastModifiedBy/>
  <dcterms:modified xsi:type="dcterms:W3CDTF">2022-04-25T18:55:29Z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