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FC060" w14:textId="77777777" w:rsidR="00D1541E" w:rsidRPr="007128E8" w:rsidRDefault="009B6523">
      <w:pPr>
        <w:pStyle w:val="berschrift1"/>
        <w:rPr>
          <w:lang w:val="de-DE"/>
        </w:rPr>
      </w:pPr>
      <w:bookmarkStart w:id="0" w:name="bestellkapazität-statt-jahreshöchstlast"/>
      <w:r>
        <w:rPr>
          <w:lang w:val="de-DE"/>
        </w:rPr>
        <w:t>Bestellkapazität statt Jahreshöchstlast</w:t>
      </w:r>
    </w:p>
    <w:p w14:paraId="44D3FFA3" w14:textId="77777777" w:rsidR="00D1541E" w:rsidRPr="007128E8" w:rsidRDefault="009B6523">
      <w:pPr>
        <w:pStyle w:val="FirstParagraph"/>
        <w:rPr>
          <w:lang w:val="de-DE"/>
        </w:rPr>
      </w:pPr>
      <w:r>
        <w:rPr>
          <w:b/>
          <w:bCs/>
          <w:lang w:val="de-DE"/>
        </w:rPr>
        <w:t xml:space="preserve">Auswirkungen der Netzentgeltreform AgNes auf die Elektrifizierung industrieller Prozesswärme </w:t>
      </w:r>
    </w:p>
    <w:p w14:paraId="1402E51D" w14:textId="77777777" w:rsidR="00D1541E" w:rsidRDefault="009B6523">
      <w:pPr>
        <w:pStyle w:val="berschrift2"/>
      </w:pPr>
      <w:bookmarkStart w:id="1" w:name="booked-capacity-instead-of-peak-load"/>
      <w:r>
        <w:t>Booked Capacity Instead of Peak Load</w:t>
      </w:r>
    </w:p>
    <w:p w14:paraId="4E1C354B" w14:textId="77777777" w:rsidR="00D1541E" w:rsidRDefault="009B6523">
      <w:pPr>
        <w:pStyle w:val="FirstParagraph"/>
      </w:pPr>
      <w:r>
        <w:rPr>
          <w:i/>
          <w:iCs/>
        </w:rPr>
        <w:t xml:space="preserve">Effects of the AgNes grid-charge reform on electrifying industrial process heat </w:t>
      </w:r>
    </w:p>
    <w:p w14:paraId="2B355B15" w14:textId="77777777" w:rsidR="003C3F8A" w:rsidRDefault="009B6523" w:rsidP="003C3F8A">
      <w:pPr>
        <w:pStyle w:val="Textkrper"/>
        <w:spacing w:after="120"/>
        <w:rPr>
          <w:lang w:val="de-DE"/>
        </w:rPr>
      </w:pPr>
      <w:r>
        <w:rPr>
          <w:b/>
          <w:bCs/>
          <w:lang w:val="de-DE"/>
        </w:rPr>
        <w:t>Lukas Ruess</w:t>
      </w:r>
      <w:r>
        <w:rPr>
          <w:lang w:val="de-DE"/>
        </w:rPr>
        <w:t xml:space="preserve"> </w:t>
      </w:r>
    </w:p>
    <w:p w14:paraId="38F4107E" w14:textId="77777777" w:rsidR="003C3F8A" w:rsidRDefault="009B6523" w:rsidP="003C3F8A">
      <w:pPr>
        <w:pStyle w:val="Textkrper"/>
        <w:spacing w:after="120"/>
        <w:rPr>
          <w:lang w:val="de-DE"/>
        </w:rPr>
      </w:pPr>
      <w:r>
        <w:rPr>
          <w:lang w:val="de-DE"/>
        </w:rPr>
        <w:t>Fraunhofer-Institut für Produktionstechnik und Automatisierung IPA</w:t>
      </w:r>
    </w:p>
    <w:p w14:paraId="06297FC7" w14:textId="77777777" w:rsidR="00D1541E" w:rsidRPr="007128E8" w:rsidRDefault="009B6523" w:rsidP="003C3F8A">
      <w:pPr>
        <w:pStyle w:val="Textkrper"/>
        <w:spacing w:after="120"/>
        <w:rPr>
          <w:lang w:val="de-DE"/>
        </w:rPr>
      </w:pPr>
      <w:r>
        <w:rPr>
          <w:lang w:val="de-DE"/>
        </w:rPr>
        <w:t>Institut für Energieeffizienz in der Produktion EEP, Universität Stuttgart</w:t>
      </w:r>
    </w:p>
    <w:p w14:paraId="0117AC25" w14:textId="77777777" w:rsidR="00D1541E" w:rsidRPr="007128E8" w:rsidRDefault="009B6523">
      <w:pPr>
        <w:pStyle w:val="berschrift2"/>
        <w:rPr>
          <w:lang w:val="de-DE"/>
        </w:rPr>
      </w:pPr>
      <w:bookmarkStart w:id="2" w:name="kurzfassung"/>
      <w:bookmarkEnd w:id="1"/>
      <w:r>
        <w:rPr>
          <w:lang w:val="de-DE"/>
        </w:rPr>
        <w:t>Kurzfassung</w:t>
      </w:r>
    </w:p>
    <w:p w14:paraId="0433B96C" w14:textId="746D1FC5" w:rsidR="00D1541E" w:rsidRPr="007128E8" w:rsidRDefault="009B6523">
      <w:pPr>
        <w:pStyle w:val="FirstParagraph"/>
        <w:rPr>
          <w:lang w:val="de-DE"/>
        </w:rPr>
      </w:pPr>
      <w:r>
        <w:rPr>
          <w:lang w:val="de-DE"/>
        </w:rPr>
        <w:t xml:space="preserve">Prozesswärme verursacht einen großen Anteil des industriellen Endenergiebedarfs und wird überwiegend fossil erzeugt [1, 2]. Wärmepumpen, Elektrodenkessel und thermische Speicher eröffnen eine Elektrifizierung, deren Wirtschaftlichkeit jedoch durch leistungsbezogene Netzentgelte beeinflusst wird [3–7]. Der Festlegungsentwurf zur allgemeinen Netzentgeltsystematik Strom (AgNes) sieht für relevante Entnahmestellen eine kapazitätsbezogene Komponente auf eine ex ante bestellte Kapazität sowie einen zweistufigen Arbeitspreis vor. Beitrag. Für einen exogenen Lastgang wird eine geschlossene Bestellregel hergeleitet und in einem linearen Auslegungs- und Betriebsmodell mit vier gemessenen Fabriklastgängen geprüft. Die inkrementellen Wärmekosten liegen bei 30,4–52,9 EUR/MWh. Der Regimewechsel verschiebt sie um −0,3 bis +14,2 EUR/MWh (Fixpreis) bzw. </w:t>
      </w:r>
      <w:r w:rsidRPr="00852142">
        <w:rPr>
          <w:lang w:val="de-DE"/>
        </w:rPr>
        <w:t>−4,1 bis +14,8 EUR/MWh (Day-</w:t>
      </w:r>
      <w:proofErr w:type="spellStart"/>
      <w:r w:rsidRPr="00852142">
        <w:rPr>
          <w:lang w:val="de-DE"/>
        </w:rPr>
        <w:t>Ahead</w:t>
      </w:r>
      <w:proofErr w:type="spellEnd"/>
      <w:r w:rsidRPr="00852142">
        <w:rPr>
          <w:lang w:val="de-DE"/>
        </w:rPr>
        <w:t xml:space="preserve">). </w:t>
      </w:r>
      <w:r>
        <w:rPr>
          <w:lang w:val="de-DE"/>
        </w:rPr>
        <w:t>Die analytische Regel weist im entkoppelten Fall eine relative Abweichung von weniger als 0,5 % auf und weicht im vollständig gekoppelten Auslegungsmodell um bis zu 31,5 % ab.</w:t>
      </w:r>
    </w:p>
    <w:p w14:paraId="4F5D1DA1" w14:textId="77777777" w:rsidR="00D1541E" w:rsidRDefault="009B6523">
      <w:pPr>
        <w:pStyle w:val="berschrift2"/>
      </w:pPr>
      <w:bookmarkStart w:id="3" w:name="summary"/>
      <w:bookmarkEnd w:id="2"/>
      <w:r>
        <w:t>Summary</w:t>
      </w:r>
    </w:p>
    <w:p w14:paraId="42469412" w14:textId="77777777" w:rsidR="00D1541E" w:rsidRDefault="009B6523">
      <w:pPr>
        <w:pStyle w:val="FirstParagraph"/>
      </w:pPr>
      <w:r>
        <w:t>The AgNes draft proposes, for relevant consumers, a capacity-based charge on an ex-ante booked capacity combined with a two-tier volumetric tariff. This paper derives a critical excess duration and the corresponding cost-minimal booked capacity for a fixed load profile, then tests the rule in a linear design-and-dispatch model for four measured factory load profiles. Incremental levelised cost of heat is 30.4–52.9 EUR/MWh; the tariff change shifts costs by −0.3 to +14.2 EUR/MWh under a fixed price and −4.1 to +14.8 EUR/MWh under Day-Ahead procurement. The analytical rule has a relative deviation of less than 0.5% for the exogenous-load case and deviates by up to 31.5% in the coupled design model.</w:t>
      </w:r>
    </w:p>
    <w:p w14:paraId="28AB4451" w14:textId="77777777" w:rsidR="00D1541E" w:rsidRPr="007128E8" w:rsidRDefault="009B6523">
      <w:pPr>
        <w:pStyle w:val="Textkrper"/>
        <w:rPr>
          <w:lang w:val="de-DE"/>
        </w:rPr>
      </w:pPr>
      <w:r>
        <w:rPr>
          <w:b/>
          <w:bCs/>
          <w:lang w:val="de-DE"/>
        </w:rPr>
        <w:t>Schlüsselwörter:</w:t>
      </w:r>
      <w:r>
        <w:rPr>
          <w:lang w:val="de-DE"/>
        </w:rPr>
        <w:t xml:space="preserve"> Netzentgelt, AgNes, Bestellkapazität, Kapazitätstarif, Prozesswärme, Hochtemperatur-Wärmepumpe, Elektrodenkessel, thermischer Speicher, lineare Optimierung, Fabrikplanung</w:t>
      </w:r>
    </w:p>
    <w:p w14:paraId="4D689FBB" w14:textId="77777777" w:rsidR="00D1541E" w:rsidRDefault="009B6523">
      <w:pPr>
        <w:pStyle w:val="berschrift2"/>
      </w:pPr>
      <w:bookmarkStart w:id="4" w:name="kernaussagen"/>
      <w:bookmarkEnd w:id="3"/>
      <w:r>
        <w:t>Kernaussagen</w:t>
      </w:r>
    </w:p>
    <w:p w14:paraId="41C4ADA3" w14:textId="77777777" w:rsidR="00D1541E" w:rsidRPr="007128E8" w:rsidRDefault="009B6523">
      <w:pPr>
        <w:pStyle w:val="Compact"/>
        <w:numPr>
          <w:ilvl w:val="0"/>
          <w:numId w:val="2"/>
        </w:numPr>
        <w:rPr>
          <w:lang w:val="de-DE"/>
        </w:rPr>
      </w:pPr>
      <w:r>
        <w:rPr>
          <w:lang w:val="de-DE"/>
        </w:rPr>
        <w:t>1. Im AgNes-Entwurf wird die kapazitätsbezogene Belastung durch die bestellte Kapazität und einen höheren Arbeitspreis für Überschreitungen bestimmt. In den untersuchten Fällen reduziert dies den netzentgeltbedingten Kostennachteil elektrischer Spitzenlasttechnik gegenüber dem Gaskessel teilweise.</w:t>
      </w:r>
    </w:p>
    <w:p w14:paraId="314624DA" w14:textId="77777777" w:rsidR="00D1541E" w:rsidRPr="007128E8" w:rsidRDefault="009B6523">
      <w:pPr>
        <w:pStyle w:val="Compact"/>
        <w:numPr>
          <w:ilvl w:val="0"/>
          <w:numId w:val="2"/>
        </w:numPr>
        <w:rPr>
          <w:lang w:val="de-DE"/>
        </w:rPr>
      </w:pPr>
      <w:r>
        <w:rPr>
          <w:lang w:val="de-DE"/>
        </w:rPr>
        <w:lastRenderedPageBreak/>
        <w:t>2. Bei gegebenem Lastgang ist die kostenminimale Bestellkapazität der Schnittpunkt der Jahresdauerlinie mit der kritischen Überschreitungsdauer und damit ohne Optimierungssoftware bestimmbar.</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p>
    <w:p w14:paraId="6B00827B" w14:textId="77777777" w:rsidR="00D1541E" w:rsidRPr="007128E8" w:rsidRDefault="009B6523">
      <w:pPr>
        <w:pStyle w:val="Compact"/>
        <w:numPr>
          <w:ilvl w:val="0"/>
          <w:numId w:val="2"/>
        </w:numPr>
        <w:rPr>
          <w:lang w:val="de-DE"/>
        </w:rPr>
      </w:pPr>
      <w:r>
        <w:rPr>
          <w:lang w:val="de-DE"/>
        </w:rPr>
        <w:t xml:space="preserve">3. Im gekoppelten Auslegungsmodell weicht die optimale Bestellkapazität um bis zu 31,5 % von der analytischen Regel ab. </w:t>
      </w:r>
      <w:r>
        <w:t>Ursache ist die Rückkopplung zwischen Anlagenbetrieb, Lastdauerlinie und Bestellkapazität.</w:t>
      </w:r>
    </w:p>
    <w:p w14:paraId="0D9A86DF" w14:textId="77777777" w:rsidR="00D1541E" w:rsidRPr="007128E8" w:rsidRDefault="009B6523">
      <w:pPr>
        <w:pStyle w:val="Compact"/>
        <w:numPr>
          <w:ilvl w:val="0"/>
          <w:numId w:val="2"/>
        </w:numPr>
        <w:rPr>
          <w:lang w:val="de-DE"/>
        </w:rPr>
      </w:pPr>
      <w:r>
        <w:rPr>
          <w:lang w:val="de-DE"/>
        </w:rPr>
        <w:t>4. In den untersuchten Fällen ist der Interaktionsterm zwischen Netzentgelt- und Spotpreisflexibilität an drei von vier Standorten positiv; beide Flexibilitätsoptionen wirken damit überwiegend komplementär.</w:t>
      </w:r>
    </w:p>
    <w:bookmarkEnd w:id="4"/>
    <w:p w14:paraId="7C34D8EC" w14:textId="77777777" w:rsidR="00D1541E" w:rsidRPr="007128E8" w:rsidRDefault="009B6523">
      <w:pPr>
        <w:pStyle w:val="berschrift2"/>
        <w:rPr>
          <w:lang w:val="de-DE"/>
        </w:rPr>
      </w:pPr>
      <w:r>
        <w:rPr>
          <w:lang w:val="de-DE"/>
        </w:rPr>
        <w:t>Industrielle Anwendung</w:t>
      </w:r>
    </w:p>
    <w:p w14:paraId="1272D39E" w14:textId="77777777" w:rsidR="00D1541E" w:rsidRPr="007128E8" w:rsidRDefault="003C3F8A">
      <w:pPr>
        <w:pStyle w:val="FirstParagraph"/>
        <w:rPr>
          <w:lang w:val="de-DE"/>
        </w:rPr>
      </w:pPr>
      <w:r>
        <w:rPr>
          <w:lang w:val="de-DE"/>
        </w:rPr>
        <w:t>Für die Praxis ergibt sich ein fünfstufiger Ansatz: Gesamtlast einschließlich geplanter Wärmeelektrifizierung prognostizieren, kritische Überschreitungsdauer aus dem AgNes-Preisblatt bestimmen, Bestellkapazität aus der Jahresdauerlinie ablesen, auf die zulässige Bandbreite begrenzen und anschließend den Speicher als Teil der Gesamtsystemauslegung bewerten. Der Ansatz ist tabellenkalkulationsfähig; die beobachtete Abweichung von bis zu 31,5 % markiert die Grenze, ab der ein gekoppeltes Optimierungsmodell sinnvoll ist.</w:t>
      </w:r>
    </w:p>
    <w:p w14:paraId="5A2D0DDE" w14:textId="77777777" w:rsidR="00D1541E" w:rsidRPr="007128E8" w:rsidRDefault="009B6523">
      <w:pPr>
        <w:pStyle w:val="berschrift2"/>
        <w:rPr>
          <w:lang w:val="de-DE"/>
        </w:rPr>
      </w:pPr>
      <w:bookmarkStart w:id="5" w:name="einleitung"/>
      <w:r>
        <w:rPr>
          <w:lang w:val="de-DE"/>
        </w:rPr>
        <w:t>1 Einleitung</w:t>
      </w:r>
    </w:p>
    <w:p w14:paraId="0D79E3B4" w14:textId="77777777" w:rsidR="00D1541E" w:rsidRPr="007128E8" w:rsidRDefault="00402642">
      <w:pPr>
        <w:pStyle w:val="FirstParagraph"/>
        <w:rPr>
          <w:lang w:val="de-DE"/>
        </w:rPr>
      </w:pPr>
      <w:r>
        <w:rPr>
          <w:lang w:val="de-DE"/>
        </w:rPr>
        <w:t>Prozesswärme bindet rund zwei Drittel des industriellen Endenergiebedarfs und wird überwiegend fossil erzeugt; etwa die Hälfte liegt unter 200 °C und ist grundsätzlich wärmepumpentauglich [1–5]. Elektrodenkessel decken höhere Temperaturen sowie Spitzen- und Reservelasten ab [6]. Die technische Machbarkeit ist damit gegeben; die Wirtschaftlichkeit wird jedoch durch Strom- und Netzentgelte begrenzt.</w:t>
      </w:r>
    </w:p>
    <w:p w14:paraId="18213301" w14:textId="77777777" w:rsidR="00D1541E" w:rsidRPr="007128E8" w:rsidRDefault="009B6523">
      <w:pPr>
        <w:pStyle w:val="Textkrper"/>
        <w:rPr>
          <w:lang w:val="de-DE"/>
        </w:rPr>
      </w:pPr>
      <w:r>
        <w:rPr>
          <w:lang w:val="de-DE"/>
        </w:rPr>
        <w:t>Bisher wird das Netzentgelt in Energiesystemmodellen meist als exogener Kostenaufschlag behandelt [8–10], während die Tarifdesign-Literatur Kapazitäts- und Leistungstarife überwiegend ohne technologiespezifische Anlagenauslegung untersucht [15–17]. Der AgNes-Entwurf macht die Bestellkapazität zu einer ökonomisch relevanten Entscheidungsgröße für den Letztverbraucher und damit das Netzentgelt zu einem Bestandteil der Systemauslegung.</w:t>
      </w:r>
    </w:p>
    <w:p w14:paraId="4CAE7332" w14:textId="77777777" w:rsidR="00D1541E" w:rsidRPr="007128E8" w:rsidRDefault="00402642">
      <w:pPr>
        <w:pStyle w:val="Textkrper"/>
        <w:rPr>
          <w:lang w:val="de-DE"/>
        </w:rPr>
      </w:pPr>
      <w:r>
        <w:rPr>
          <w:bCs/>
          <w:lang w:val="de-DE"/>
        </w:rPr>
        <w:t>Für den AgNes-Kontext fehlen insbesondere eine geschlossene Optimalitätsbedingung für die Bestellkapazität, deren Prüfung im gekoppelten Auslegungsmodell und eine Quantifizierung der Auswirkungen auf die Elektrifizierung von Prozesswärme.</w:t>
      </w:r>
    </w:p>
    <w:p w14:paraId="5B862A17" w14:textId="77777777" w:rsidR="00D1541E" w:rsidRPr="007128E8" w:rsidRDefault="009B6523">
      <w:pPr>
        <w:pStyle w:val="Textkrper"/>
        <w:rPr>
          <w:lang w:val="de-DE"/>
        </w:rPr>
      </w:pPr>
      <w:r>
        <w:rPr>
          <w:b/>
          <w:bCs/>
          <w:lang w:val="de-DE"/>
        </w:rPr>
        <w:t>Beitrag und Abgrenzung.</w:t>
      </w:r>
      <w:r>
        <w:rPr>
          <w:lang w:val="de-DE"/>
        </w:rPr>
        <w:t xml:space="preserve"> Tabelle 1 grenzt den Beitrag gegen die drei relevanten Literaturstränge ab.</w:t>
      </w:r>
    </w:p>
    <w:p w14:paraId="4509A7E5" w14:textId="77777777" w:rsidR="00F32D42" w:rsidRPr="000B62A8" w:rsidRDefault="00593523">
      <w:pPr>
        <w:pStyle w:val="Textkrper"/>
        <w:rPr>
          <w:lang w:val="de-DE"/>
        </w:rPr>
      </w:pPr>
      <w:r>
        <w:rPr>
          <w:lang w:val="de-DE"/>
        </w:rPr>
        <w:t>Untersucht werden (i) die kostenoptimale Auslegung von Wärmepumpe, Elektrodenkessel und Speicher, (ii) die Bestellkapazität ohne Optimierungssoftware, (iii) die Interaktion mit Spotpreisflexibilität und (iv) die Verschiebung des fossilen Break-even.</w:t>
      </w:r>
    </w:p>
    <w:p w14:paraId="1E7AD97B" w14:textId="77777777" w:rsidR="00D1541E" w:rsidRPr="007128E8" w:rsidRDefault="009B6523">
      <w:pPr>
        <w:pStyle w:val="berschrift2"/>
        <w:rPr>
          <w:lang w:val="de-DE"/>
        </w:rPr>
      </w:pPr>
      <w:bookmarkStart w:id="6" w:name="agnes-im-vergleich-zur-stromnev"/>
      <w:bookmarkEnd w:id="5"/>
      <w:r>
        <w:rPr>
          <w:lang w:val="de-DE"/>
        </w:rPr>
        <w:t>2 AgNes im Vergleich zur StromNEV</w:t>
      </w:r>
    </w:p>
    <w:p w14:paraId="69F5FCA0" w14:textId="77777777" w:rsidR="00D1541E" w:rsidRPr="007128E8" w:rsidRDefault="009B6523" w:rsidP="00D84B2A">
      <w:pPr>
        <w:pStyle w:val="FirstParagraph"/>
        <w:jc w:val="both"/>
        <w:rPr>
          <w:lang w:val="de-DE"/>
        </w:rPr>
      </w:pPr>
      <w:r>
        <w:rPr>
          <w:lang w:val="de-DE"/>
        </w:rPr>
        <w:t xml:space="preserve">Die Analyse basiert auf dem zum Redaktionsschluss verfügbaren AgNes-Festlegungsentwurf vom 06.08.2026 [18, 20]. Die Konsultation endete am 18.09.2026; eine endgültige Festlegung lag zum Redaktionsschluss noch nicht vor. Die praktische Anwendung ist nach dem Entwurf ab 2029 vorgesehen. Für die im Entwurf relevanten Entnahmestellen wird die kapazitätsbezogene Komponente gegenüber der heutigen jahreshöchstlastbasierten Systematik auf eine ex ante zu vereinbarende Kapazität ausgerichtet und durch einen zweistufigen Arbeitspreis ergänzt. Einzelheiten des finalen Bestellprozesses und der </w:t>
      </w:r>
      <w:r>
        <w:rPr>
          <w:lang w:val="de-DE"/>
        </w:rPr>
        <w:lastRenderedPageBreak/>
        <w:t>regulatorischen Behandlung einzelner elektrischer Wärmeerzeuger werden daher als Szenarioannahmen behandelt.</w:t>
      </w:r>
    </w:p>
    <w:p w14:paraId="1CE98821" w14:textId="77777777" w:rsidR="00D1541E" w:rsidRPr="007128E8" w:rsidRDefault="009B6523" w:rsidP="00C32AAD">
      <w:pPr>
        <w:pStyle w:val="Textkrper"/>
        <w:rPr>
          <w:lang w:val="de-DE"/>
        </w:rPr>
      </w:pPr>
      <w:r>
        <w:rPr>
          <w:lang w:val="de-DE"/>
        </w:rPr>
        <w:t>Für die Parametrierung der heutigen Referenzsystematik werden konsistente Preisblätter ausgewählter Verteilnetzbetreiber herangezogen [22–24]. Diese dienen der Abbildung der aktuellen Größenordnung und Streuung von Netzentgelten, nicht als Prognose künftiger AgNes-Entgelte. Zeitvariable Netzentgelte, Sondernetzentgelte, § 19 StromNEV und Baukostenzuschüsse werden nicht modelliert.</w:t>
      </w:r>
    </w:p>
    <w:p w14:paraId="46181315" w14:textId="77777777" w:rsidR="00D1541E" w:rsidRPr="007128E8" w:rsidRDefault="009B6523" w:rsidP="00C32AAD">
      <w:pPr>
        <w:pStyle w:val="FirstParagraph"/>
        <w:rPr>
          <w:lang w:val="de-DE"/>
        </w:rPr>
      </w:pPr>
      <w:r>
        <w:rPr>
          <w:lang w:val="de-DE"/>
        </w:rPr>
        <w:t>Die Untersuchung überträgt die Regelungen des § 14a EnWG [21] für steuerbare Verbrauchseinrichtungen nicht auf industrielle Prozesswärmeanlagen, da diese einen eigenständigen regulatorischen Anwendungsbereich darstellen. Die im vorgelagerten AgNes-Prozess diskutierte saisonal differenzierte Arbeitspreisstruktur wird im vorliegenden Beitrag nicht als zusätzliches Szenario modelliert.</w:t>
      </w:r>
    </w:p>
    <w:p w14:paraId="24A0F634" w14:textId="77777777" w:rsidR="00D1541E" w:rsidRPr="007128E8" w:rsidRDefault="009B6523">
      <w:pPr>
        <w:pStyle w:val="FirstParagraph"/>
        <w:rPr>
          <w:lang w:val="de-DE"/>
        </w:rPr>
      </w:pPr>
      <w:r>
        <w:rPr>
          <w:lang w:val="de-DE"/>
        </w:rPr>
        <w:t>Damit kommt das kurzfristige Flexibilitätssignal im Modell allein vom Beschaffungsmarkt; daraus folgt das 2×2-Design aus StromNEV/AgNes und Fixpreis/Day-Ahead [27].</w:t>
      </w:r>
    </w:p>
    <w:p w14:paraId="4E12001B" w14:textId="77777777" w:rsidR="00D1541E" w:rsidRPr="007128E8" w:rsidRDefault="009B6523">
      <w:pPr>
        <w:pStyle w:val="Textkrper"/>
        <w:rPr>
          <w:lang w:val="de-DE"/>
        </w:rPr>
      </w:pPr>
      <w:r>
        <w:rPr>
          <w:b/>
          <w:bCs/>
          <w:lang w:val="de-DE"/>
        </w:rPr>
        <w:t>Tab. 2: Modellrelevanter Regimevergleich StromNEV vs. AgNes mit Fundstellen</w:t>
      </w:r>
    </w:p>
    <w:tbl>
      <w:tblPr>
        <w:tblStyle w:val="Table"/>
        <w:tblW w:w="5000" w:type="pct"/>
        <w:tblLayout w:type="fixed"/>
        <w:tblLook w:val="0020" w:firstRow="1" w:lastRow="0" w:firstColumn="0" w:lastColumn="0" w:noHBand="0" w:noVBand="0"/>
      </w:tblPr>
      <w:tblGrid>
        <w:gridCol w:w="2183"/>
        <w:gridCol w:w="2078"/>
        <w:gridCol w:w="2630"/>
        <w:gridCol w:w="1388"/>
        <w:gridCol w:w="1127"/>
      </w:tblGrid>
      <w:tr w:rsidR="00D1541E" w:rsidRPr="00EC1C19" w14:paraId="091DF72E" w14:textId="77777777" w:rsidTr="00EC1C19">
        <w:trPr>
          <w:cnfStyle w:val="100000000000" w:firstRow="1" w:lastRow="0" w:firstColumn="0" w:lastColumn="0" w:oddVBand="0" w:evenVBand="0" w:oddHBand="0" w:evenHBand="0" w:firstRowFirstColumn="0" w:firstRowLastColumn="0" w:lastRowFirstColumn="0" w:lastRowLastColumn="0"/>
          <w:tblHeader/>
        </w:trPr>
        <w:tc>
          <w:tcPr>
            <w:tcW w:w="2235" w:type="dxa"/>
          </w:tcPr>
          <w:p w14:paraId="239AF622" w14:textId="77777777" w:rsidR="00D1541E" w:rsidRPr="00EC1C19" w:rsidRDefault="009B6523">
            <w:pPr>
              <w:pStyle w:val="Compact"/>
              <w:rPr>
                <w:sz w:val="20"/>
                <w:szCs w:val="20"/>
              </w:rPr>
            </w:pPr>
            <w:r>
              <w:rPr>
                <w:sz w:val="20"/>
                <w:szCs w:val="20"/>
              </w:rPr>
              <w:t>Element</w:t>
            </w:r>
          </w:p>
        </w:tc>
        <w:tc>
          <w:tcPr>
            <w:tcW w:w="2126" w:type="dxa"/>
          </w:tcPr>
          <w:p w14:paraId="0AE14687" w14:textId="77777777" w:rsidR="00D1541E" w:rsidRPr="00EC1C19" w:rsidRDefault="009B6523">
            <w:pPr>
              <w:pStyle w:val="Compact"/>
              <w:rPr>
                <w:sz w:val="20"/>
                <w:szCs w:val="20"/>
              </w:rPr>
            </w:pPr>
            <w:r>
              <w:rPr>
                <w:sz w:val="20"/>
                <w:szCs w:val="20"/>
              </w:rPr>
              <w:t>StromNEV</w:t>
            </w:r>
          </w:p>
        </w:tc>
        <w:tc>
          <w:tcPr>
            <w:tcW w:w="2693" w:type="dxa"/>
          </w:tcPr>
          <w:p w14:paraId="7F5B6A27" w14:textId="77777777" w:rsidR="00D1541E" w:rsidRPr="00EC1C19" w:rsidRDefault="009B6523">
            <w:pPr>
              <w:pStyle w:val="Compact"/>
              <w:rPr>
                <w:sz w:val="20"/>
                <w:szCs w:val="20"/>
              </w:rPr>
            </w:pPr>
            <w:r>
              <w:rPr>
                <w:sz w:val="20"/>
                <w:szCs w:val="20"/>
              </w:rPr>
              <w:t>AgNes</w:t>
            </w:r>
          </w:p>
        </w:tc>
        <w:tc>
          <w:tcPr>
            <w:tcW w:w="1418" w:type="dxa"/>
          </w:tcPr>
          <w:p w14:paraId="71045473" w14:textId="77777777" w:rsidR="00D1541E" w:rsidRPr="00EC1C19" w:rsidRDefault="009B6523">
            <w:pPr>
              <w:pStyle w:val="Compact"/>
              <w:rPr>
                <w:sz w:val="20"/>
                <w:szCs w:val="20"/>
              </w:rPr>
            </w:pPr>
            <w:r>
              <w:rPr>
                <w:sz w:val="20"/>
                <w:szCs w:val="20"/>
              </w:rPr>
              <w:t>Fundstelle</w:t>
            </w:r>
          </w:p>
        </w:tc>
        <w:tc>
          <w:tcPr>
            <w:tcW w:w="1150" w:type="dxa"/>
          </w:tcPr>
          <w:p w14:paraId="4E28AA66" w14:textId="77777777" w:rsidR="00D1541E" w:rsidRPr="00EC1C19" w:rsidRDefault="009B6523">
            <w:pPr>
              <w:pStyle w:val="Compact"/>
              <w:rPr>
                <w:sz w:val="20"/>
                <w:szCs w:val="20"/>
              </w:rPr>
            </w:pPr>
            <w:r>
              <w:rPr>
                <w:sz w:val="20"/>
                <w:szCs w:val="20"/>
              </w:rPr>
              <w:t>Status</w:t>
            </w:r>
          </w:p>
        </w:tc>
      </w:tr>
      <w:tr w:rsidR="00D1541E" w:rsidRPr="00EC1C19" w14:paraId="10789873" w14:textId="77777777" w:rsidTr="00EC1C19">
        <w:tc>
          <w:tcPr>
            <w:tcW w:w="2235" w:type="dxa"/>
          </w:tcPr>
          <w:p w14:paraId="5DA0574E" w14:textId="77777777" w:rsidR="00D1541E" w:rsidRPr="00EC1C19" w:rsidRDefault="009B6523">
            <w:pPr>
              <w:pStyle w:val="Compact"/>
              <w:rPr>
                <w:sz w:val="20"/>
                <w:szCs w:val="20"/>
              </w:rPr>
            </w:pPr>
            <w:r>
              <w:rPr>
                <w:sz w:val="20"/>
                <w:szCs w:val="20"/>
              </w:rPr>
              <w:t>Bemessungsgröße Leistungsentgelt</w:t>
            </w:r>
          </w:p>
        </w:tc>
        <w:tc>
          <w:tcPr>
            <w:tcW w:w="2126" w:type="dxa"/>
          </w:tcPr>
          <w:p w14:paraId="6B4242FE" w14:textId="77777777" w:rsidR="00D1541E" w:rsidRPr="00EC1C19" w:rsidRDefault="009B6523">
            <w:pPr>
              <w:pStyle w:val="Compact"/>
              <w:rPr>
                <w:sz w:val="20"/>
                <w:szCs w:val="20"/>
              </w:rPr>
            </w:pPr>
            <w:r>
              <w:rPr>
                <w:sz w:val="20"/>
                <w:szCs w:val="20"/>
              </w:rPr>
              <w:t xml:space="preserve">gemessene Jahreshöchstlast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oMath>
          </w:p>
        </w:tc>
        <w:tc>
          <w:tcPr>
            <w:tcW w:w="2693" w:type="dxa"/>
          </w:tcPr>
          <w:p w14:paraId="68110D8C" w14:textId="77777777" w:rsidR="00D1541E" w:rsidRPr="00EC1C19" w:rsidRDefault="009B6523">
            <w:pPr>
              <w:pStyle w:val="Compact"/>
              <w:rPr>
                <w:sz w:val="20"/>
                <w:szCs w:val="20"/>
              </w:rPr>
            </w:pPr>
            <w:r>
              <w:rPr>
                <w:sz w:val="20"/>
                <w:szCs w:val="20"/>
              </w:rPr>
              <w:t xml:space="preserve">frei bestellte Kapazität </w:t>
            </w:r>
            <m:oMath>
              <m:r>
                <w:rPr>
                  <w:rFonts w:ascii="Cambria Math" w:hAnsi="Cambria Math"/>
                  <w:sz w:val="20"/>
                  <w:szCs w:val="20"/>
                </w:rPr>
                <m:t>C</m:t>
              </m:r>
            </m:oMath>
          </w:p>
        </w:tc>
        <w:tc>
          <w:tcPr>
            <w:tcW w:w="1418" w:type="dxa"/>
          </w:tcPr>
          <w:p w14:paraId="714196B0" w14:textId="77777777" w:rsidR="00D1541E" w:rsidRPr="00EC1C19" w:rsidRDefault="009B6523">
            <w:pPr>
              <w:pStyle w:val="Compact"/>
              <w:rPr>
                <w:sz w:val="20"/>
                <w:szCs w:val="20"/>
              </w:rPr>
            </w:pPr>
            <w:r>
              <w:rPr>
                <w:sz w:val="20"/>
                <w:szCs w:val="20"/>
              </w:rPr>
              <w:t>[19] § 19 Abs. 2 / [20]</w:t>
            </w:r>
          </w:p>
        </w:tc>
        <w:tc>
          <w:tcPr>
            <w:tcW w:w="1150" w:type="dxa"/>
          </w:tcPr>
          <w:p w14:paraId="7C3ECE2D" w14:textId="77777777" w:rsidR="00D1541E" w:rsidRPr="00EC1C19" w:rsidRDefault="009B6523">
            <w:pPr>
              <w:pStyle w:val="Compact"/>
              <w:rPr>
                <w:sz w:val="20"/>
                <w:szCs w:val="20"/>
              </w:rPr>
            </w:pPr>
            <w:r>
              <w:rPr>
                <w:sz w:val="20"/>
                <w:szCs w:val="20"/>
              </w:rPr>
              <w:t>reviewed</w:t>
            </w:r>
          </w:p>
        </w:tc>
      </w:tr>
      <w:tr w:rsidR="00D1541E" w:rsidRPr="00EC1C19" w14:paraId="18C31C5C" w14:textId="77777777" w:rsidTr="00EC1C19">
        <w:tc>
          <w:tcPr>
            <w:tcW w:w="2235" w:type="dxa"/>
          </w:tcPr>
          <w:p w14:paraId="7D7D303E" w14:textId="77777777" w:rsidR="00D1541E" w:rsidRPr="00EC1C19" w:rsidRDefault="009B6523">
            <w:pPr>
              <w:pStyle w:val="Compact"/>
              <w:rPr>
                <w:sz w:val="20"/>
                <w:szCs w:val="20"/>
              </w:rPr>
            </w:pPr>
            <w:r>
              <w:rPr>
                <w:sz w:val="20"/>
                <w:szCs w:val="20"/>
              </w:rPr>
              <w:t>Arbeitspreisstruktur</w:t>
            </w:r>
          </w:p>
        </w:tc>
        <w:tc>
          <w:tcPr>
            <w:tcW w:w="2126" w:type="dxa"/>
          </w:tcPr>
          <w:p w14:paraId="46B0AAC4" w14:textId="77777777" w:rsidR="00D1541E" w:rsidRPr="00EC1C19" w:rsidRDefault="009B6523">
            <w:pPr>
              <w:pStyle w:val="Compact"/>
              <w:rPr>
                <w:sz w:val="20"/>
                <w:szCs w:val="20"/>
              </w:rPr>
            </w:pPr>
            <w:r>
              <w:rPr>
                <w:sz w:val="20"/>
                <w:szCs w:val="20"/>
              </w:rPr>
              <w:t>ein Arbeitspreis je Tarifpaar</w:t>
            </w:r>
          </w:p>
        </w:tc>
        <w:tc>
          <w:tcPr>
            <w:tcW w:w="2693" w:type="dxa"/>
          </w:tcPr>
          <w:p w14:paraId="0293FEF1" w14:textId="77777777" w:rsidR="00D1541E" w:rsidRPr="00EC1C19" w:rsidRDefault="009B6523">
            <w:pPr>
              <w:pStyle w:val="Compact"/>
              <w:rPr>
                <w:sz w:val="20"/>
                <w:szCs w:val="20"/>
                <w:lang w:val="de-DE"/>
              </w:rPr>
            </w:pPr>
            <w:r>
              <w:rPr>
                <w:sz w:val="20"/>
                <w:szCs w:val="20"/>
                <w:lang w:val="de-DE"/>
              </w:rPr>
              <w:t xml:space="preserve">zweistufig: </w:t>
            </w:r>
            <m:oMath>
              <m:sSub>
                <m:sSubPr>
                  <m:ctrlPr>
                    <w:rPr>
                      <w:rFonts w:ascii="Cambria Math" w:hAnsi="Cambria Math"/>
                      <w:sz w:val="20"/>
                      <w:szCs w:val="20"/>
                    </w:rPr>
                  </m:ctrlPr>
                </m:sSubPr>
                <m:e>
                  <m:r>
                    <m:rPr>
                      <m:sty m:val="p"/>
                    </m:rPr>
                    <w:rPr>
                      <w:rFonts w:ascii="Cambria Math" w:hAnsi="Cambria Math"/>
                      <w:sz w:val="20"/>
                      <w:szCs w:val="20"/>
                      <w:lang w:val="de-DE"/>
                    </w:rPr>
                    <m:t>AP</m:t>
                  </m:r>
                </m:e>
                <m:sub>
                  <m:r>
                    <w:rPr>
                      <w:rFonts w:ascii="Cambria Math" w:hAnsi="Cambria Math"/>
                      <w:sz w:val="20"/>
                      <w:szCs w:val="20"/>
                      <w:lang w:val="de-DE"/>
                    </w:rPr>
                    <m:t>1</m:t>
                  </m:r>
                </m:sub>
              </m:sSub>
            </m:oMath>
            <w:r>
              <w:rPr>
                <w:sz w:val="20"/>
                <w:szCs w:val="20"/>
                <w:lang w:val="de-DE"/>
              </w:rPr>
              <w:t xml:space="preserve"> (</w:t>
            </w:r>
            <m:oMath>
              <m:r>
                <m:rPr>
                  <m:sty m:val="p"/>
                </m:rPr>
                <w:rPr>
                  <w:rFonts w:ascii="Cambria Math" w:hAnsi="Cambria Math"/>
                  <w:sz w:val="20"/>
                  <w:szCs w:val="20"/>
                  <w:lang w:val="de-DE"/>
                </w:rPr>
                <m:t>≤</m:t>
              </m:r>
              <m:r>
                <w:rPr>
                  <w:rFonts w:ascii="Cambria Math" w:hAnsi="Cambria Math"/>
                  <w:sz w:val="20"/>
                  <w:szCs w:val="20"/>
                </w:rPr>
                <m:t>C</m:t>
              </m:r>
            </m:oMath>
            <w:r>
              <w:rPr>
                <w:sz w:val="20"/>
                <w:szCs w:val="20"/>
                <w:lang w:val="de-DE"/>
              </w:rPr>
              <w:t xml:space="preserve">), </w:t>
            </w:r>
            <m:oMath>
              <m:sSub>
                <m:sSubPr>
                  <m:ctrlPr>
                    <w:rPr>
                      <w:rFonts w:ascii="Cambria Math" w:hAnsi="Cambria Math"/>
                      <w:sz w:val="20"/>
                      <w:szCs w:val="20"/>
                    </w:rPr>
                  </m:ctrlPr>
                </m:sSubPr>
                <m:e>
                  <m:r>
                    <m:rPr>
                      <m:sty m:val="p"/>
                    </m:rPr>
                    <w:rPr>
                      <w:rFonts w:ascii="Cambria Math" w:hAnsi="Cambria Math"/>
                      <w:sz w:val="20"/>
                      <w:szCs w:val="20"/>
                      <w:lang w:val="de-DE"/>
                    </w:rPr>
                    <m:t>AP</m:t>
                  </m:r>
                </m:e>
                <m:sub>
                  <m:r>
                    <w:rPr>
                      <w:rFonts w:ascii="Cambria Math" w:hAnsi="Cambria Math"/>
                      <w:sz w:val="20"/>
                      <w:szCs w:val="20"/>
                      <w:lang w:val="de-DE"/>
                    </w:rPr>
                    <m:t>2</m:t>
                  </m:r>
                </m:sub>
              </m:sSub>
              <m:r>
                <m:rPr>
                  <m:sty m:val="p"/>
                </m:rPr>
                <w:rPr>
                  <w:rFonts w:ascii="Cambria Math" w:hAnsi="Cambria Math"/>
                  <w:sz w:val="20"/>
                  <w:szCs w:val="20"/>
                  <w:lang w:val="de-DE"/>
                </w:rPr>
                <m:t>&gt;</m:t>
              </m:r>
              <m:sSub>
                <m:sSubPr>
                  <m:ctrlPr>
                    <w:rPr>
                      <w:rFonts w:ascii="Cambria Math" w:hAnsi="Cambria Math"/>
                      <w:sz w:val="20"/>
                      <w:szCs w:val="20"/>
                    </w:rPr>
                  </m:ctrlPr>
                </m:sSubPr>
                <m:e>
                  <m:r>
                    <m:rPr>
                      <m:sty m:val="p"/>
                    </m:rPr>
                    <w:rPr>
                      <w:rFonts w:ascii="Cambria Math" w:hAnsi="Cambria Math"/>
                      <w:sz w:val="20"/>
                      <w:szCs w:val="20"/>
                      <w:lang w:val="de-DE"/>
                    </w:rPr>
                    <m:t>AP</m:t>
                  </m:r>
                </m:e>
                <m:sub>
                  <m:r>
                    <w:rPr>
                      <w:rFonts w:ascii="Cambria Math" w:hAnsi="Cambria Math"/>
                      <w:sz w:val="20"/>
                      <w:szCs w:val="20"/>
                      <w:lang w:val="de-DE"/>
                    </w:rPr>
                    <m:t>1</m:t>
                  </m:r>
                </m:sub>
              </m:sSub>
            </m:oMath>
            <w:r>
              <w:rPr>
                <w:sz w:val="20"/>
                <w:szCs w:val="20"/>
                <w:lang w:val="de-DE"/>
              </w:rPr>
              <w:t xml:space="preserve"> (</w:t>
            </w:r>
            <m:oMath>
              <m:r>
                <m:rPr>
                  <m:sty m:val="p"/>
                </m:rPr>
                <w:rPr>
                  <w:rFonts w:ascii="Cambria Math" w:hAnsi="Cambria Math"/>
                  <w:sz w:val="20"/>
                  <w:szCs w:val="20"/>
                  <w:lang w:val="de-DE"/>
                </w:rPr>
                <m:t>&gt;</m:t>
              </m:r>
              <m:r>
                <w:rPr>
                  <w:rFonts w:ascii="Cambria Math" w:hAnsi="Cambria Math"/>
                  <w:sz w:val="20"/>
                  <w:szCs w:val="20"/>
                </w:rPr>
                <m:t>C</m:t>
              </m:r>
            </m:oMath>
            <w:r>
              <w:rPr>
                <w:sz w:val="20"/>
                <w:szCs w:val="20"/>
                <w:lang w:val="de-DE"/>
              </w:rPr>
              <w:t>)</w:t>
            </w:r>
          </w:p>
        </w:tc>
        <w:tc>
          <w:tcPr>
            <w:tcW w:w="1418" w:type="dxa"/>
          </w:tcPr>
          <w:p w14:paraId="02A81FF2" w14:textId="77777777" w:rsidR="00D1541E" w:rsidRPr="00EC1C19" w:rsidRDefault="009B6523">
            <w:pPr>
              <w:pStyle w:val="Compact"/>
              <w:rPr>
                <w:sz w:val="20"/>
                <w:szCs w:val="20"/>
              </w:rPr>
            </w:pPr>
            <w:r>
              <w:rPr>
                <w:sz w:val="20"/>
                <w:szCs w:val="20"/>
              </w:rPr>
              <w:t>[20]</w:t>
            </w:r>
          </w:p>
        </w:tc>
        <w:tc>
          <w:tcPr>
            <w:tcW w:w="1150" w:type="dxa"/>
          </w:tcPr>
          <w:p w14:paraId="06DE49D5" w14:textId="77777777" w:rsidR="00D1541E" w:rsidRPr="00EC1C19" w:rsidRDefault="009B6523">
            <w:pPr>
              <w:pStyle w:val="Compact"/>
              <w:rPr>
                <w:sz w:val="20"/>
                <w:szCs w:val="20"/>
              </w:rPr>
            </w:pPr>
            <w:r>
              <w:rPr>
                <w:sz w:val="20"/>
                <w:szCs w:val="20"/>
              </w:rPr>
              <w:t>reviewed</w:t>
            </w:r>
          </w:p>
        </w:tc>
      </w:tr>
      <w:tr w:rsidR="00D1541E" w:rsidRPr="00EC1C19" w14:paraId="45F8A6B4" w14:textId="77777777" w:rsidTr="00EC1C19">
        <w:tc>
          <w:tcPr>
            <w:tcW w:w="2235" w:type="dxa"/>
          </w:tcPr>
          <w:p w14:paraId="1023B92E" w14:textId="77777777" w:rsidR="00D1541E" w:rsidRPr="00EC1C19" w:rsidRDefault="009B6523">
            <w:pPr>
              <w:pStyle w:val="Compact"/>
              <w:rPr>
                <w:sz w:val="20"/>
                <w:szCs w:val="20"/>
              </w:rPr>
            </w:pPr>
            <w:r>
              <w:rPr>
                <w:sz w:val="20"/>
                <w:szCs w:val="20"/>
              </w:rPr>
              <w:t>Schwellenwert / Bestellgrenzen</w:t>
            </w:r>
          </w:p>
        </w:tc>
        <w:tc>
          <w:tcPr>
            <w:tcW w:w="2126" w:type="dxa"/>
          </w:tcPr>
          <w:p w14:paraId="4583CD21" w14:textId="77777777" w:rsidR="00D1541E" w:rsidRPr="00EC1C19" w:rsidRDefault="009B6523">
            <w:pPr>
              <w:pStyle w:val="Compact"/>
              <w:rPr>
                <w:sz w:val="20"/>
                <w:szCs w:val="20"/>
              </w:rPr>
            </w:pPr>
            <w:r>
              <w:rPr>
                <w:sz w:val="20"/>
                <w:szCs w:val="20"/>
              </w:rPr>
              <w:t>2.500 h/a (zwei Tarifpaare)</w:t>
            </w:r>
          </w:p>
        </w:tc>
        <w:tc>
          <w:tcPr>
            <w:tcW w:w="2693" w:type="dxa"/>
          </w:tcPr>
          <w:p w14:paraId="6C615434" w14:textId="77777777" w:rsidR="00D1541E" w:rsidRPr="00EC1C19" w:rsidRDefault="009B6523">
            <w:pPr>
              <w:pStyle w:val="Compact"/>
              <w:rPr>
                <w:sz w:val="20"/>
                <w:szCs w:val="20"/>
              </w:rPr>
            </w:pPr>
            <m:oMathPara>
              <m:oMath>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max,prev</m:t>
                    </m:r>
                  </m:sub>
                </m:sSub>
                <m:r>
                  <m:rPr>
                    <m:sty m:val="p"/>
                  </m:rPr>
                  <w:rPr>
                    <w:rFonts w:ascii="Cambria Math" w:hAnsi="Cambria Math"/>
                    <w:sz w:val="20"/>
                    <w:szCs w:val="20"/>
                  </w:rPr>
                  <m:t>≤</m:t>
                </m:r>
                <m:r>
                  <w:rPr>
                    <w:rFonts w:ascii="Cambria Math" w:hAnsi="Cambria Math"/>
                    <w:sz w:val="20"/>
                    <w:szCs w:val="20"/>
                  </w:rPr>
                  <m:t>C</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grid</m:t>
                    </m:r>
                  </m:sub>
                </m:sSub>
              </m:oMath>
            </m:oMathPara>
          </w:p>
        </w:tc>
        <w:tc>
          <w:tcPr>
            <w:tcW w:w="1418" w:type="dxa"/>
          </w:tcPr>
          <w:p w14:paraId="6CE8481F" w14:textId="77777777" w:rsidR="00D1541E" w:rsidRPr="00EC1C19" w:rsidRDefault="009B6523">
            <w:pPr>
              <w:pStyle w:val="Compact"/>
              <w:rPr>
                <w:sz w:val="20"/>
                <w:szCs w:val="20"/>
              </w:rPr>
            </w:pPr>
            <w:r>
              <w:rPr>
                <w:sz w:val="20"/>
                <w:szCs w:val="20"/>
              </w:rPr>
              <w:t>[19] / [20]</w:t>
            </w:r>
          </w:p>
        </w:tc>
        <w:tc>
          <w:tcPr>
            <w:tcW w:w="1150" w:type="dxa"/>
          </w:tcPr>
          <w:p w14:paraId="2623C992" w14:textId="77777777" w:rsidR="00D1541E" w:rsidRPr="00EC1C19" w:rsidRDefault="009B6523">
            <w:pPr>
              <w:pStyle w:val="Compact"/>
              <w:rPr>
                <w:sz w:val="20"/>
                <w:szCs w:val="20"/>
              </w:rPr>
            </w:pPr>
            <w:r>
              <w:rPr>
                <w:sz w:val="20"/>
                <w:szCs w:val="20"/>
              </w:rPr>
              <w:t>reviewed / unverified</w:t>
            </w:r>
          </w:p>
        </w:tc>
      </w:tr>
      <w:tr w:rsidR="00D1541E" w:rsidRPr="00EC1C19" w14:paraId="10F9B187" w14:textId="77777777" w:rsidTr="00EC1C19">
        <w:tc>
          <w:tcPr>
            <w:tcW w:w="2235" w:type="dxa"/>
          </w:tcPr>
          <w:p w14:paraId="6F2017DC" w14:textId="77777777" w:rsidR="00D1541E" w:rsidRPr="00EC1C19" w:rsidRDefault="009B6523">
            <w:pPr>
              <w:pStyle w:val="Compact"/>
              <w:rPr>
                <w:sz w:val="20"/>
                <w:szCs w:val="20"/>
              </w:rPr>
            </w:pPr>
            <w:r>
              <w:rPr>
                <w:sz w:val="20"/>
                <w:szCs w:val="20"/>
              </w:rPr>
              <w:t>Bestellzeitpunkt</w:t>
            </w:r>
          </w:p>
        </w:tc>
        <w:tc>
          <w:tcPr>
            <w:tcW w:w="2126" w:type="dxa"/>
          </w:tcPr>
          <w:p w14:paraId="3D405646" w14:textId="77777777" w:rsidR="00D1541E" w:rsidRPr="00EC1C19" w:rsidRDefault="009B6523">
            <w:pPr>
              <w:pStyle w:val="Compact"/>
              <w:rPr>
                <w:sz w:val="20"/>
                <w:szCs w:val="20"/>
                <w:lang w:val="de-DE"/>
              </w:rPr>
            </w:pPr>
            <w:r>
              <w:rPr>
                <w:sz w:val="20"/>
                <w:szCs w:val="20"/>
                <w:lang w:val="de-DE"/>
              </w:rPr>
              <w:t>n. a. (ex post gemessen)</w:t>
            </w:r>
          </w:p>
        </w:tc>
        <w:tc>
          <w:tcPr>
            <w:tcW w:w="2693" w:type="dxa"/>
          </w:tcPr>
          <w:p w14:paraId="683A7EF0" w14:textId="77777777" w:rsidR="00D1541E" w:rsidRPr="00EC1C19" w:rsidRDefault="009B6523">
            <w:pPr>
              <w:pStyle w:val="Compact"/>
              <w:rPr>
                <w:sz w:val="20"/>
                <w:szCs w:val="20"/>
              </w:rPr>
            </w:pPr>
            <w:r>
              <w:rPr>
                <w:sz w:val="20"/>
                <w:szCs w:val="20"/>
              </w:rPr>
              <w:t>vor Jahresbeginn (ex ante)</w:t>
            </w:r>
          </w:p>
        </w:tc>
        <w:tc>
          <w:tcPr>
            <w:tcW w:w="1418" w:type="dxa"/>
          </w:tcPr>
          <w:p w14:paraId="2724B047" w14:textId="77777777" w:rsidR="00D1541E" w:rsidRPr="00EC1C19" w:rsidRDefault="009B6523">
            <w:pPr>
              <w:pStyle w:val="Compact"/>
              <w:rPr>
                <w:sz w:val="20"/>
                <w:szCs w:val="20"/>
              </w:rPr>
            </w:pPr>
            <w:r>
              <w:rPr>
                <w:sz w:val="20"/>
                <w:szCs w:val="20"/>
              </w:rPr>
              <w:t>[20]</w:t>
            </w:r>
          </w:p>
        </w:tc>
        <w:tc>
          <w:tcPr>
            <w:tcW w:w="1150" w:type="dxa"/>
          </w:tcPr>
          <w:p w14:paraId="458B6DA2" w14:textId="77777777" w:rsidR="00D1541E" w:rsidRPr="00EC1C19" w:rsidRDefault="009B6523">
            <w:pPr>
              <w:pStyle w:val="Compact"/>
              <w:rPr>
                <w:sz w:val="20"/>
                <w:szCs w:val="20"/>
              </w:rPr>
            </w:pPr>
            <w:r>
              <w:rPr>
                <w:sz w:val="20"/>
                <w:szCs w:val="20"/>
              </w:rPr>
              <w:t>reviewed</w:t>
            </w:r>
          </w:p>
        </w:tc>
      </w:tr>
      <w:tr w:rsidR="00D1541E" w:rsidRPr="00EC1C19" w14:paraId="0A8D6750" w14:textId="77777777" w:rsidTr="00EC1C19">
        <w:tc>
          <w:tcPr>
            <w:tcW w:w="2235" w:type="dxa"/>
          </w:tcPr>
          <w:p w14:paraId="561C3B11" w14:textId="77777777" w:rsidR="00D1541E" w:rsidRPr="00EC1C19" w:rsidRDefault="009B6523">
            <w:pPr>
              <w:pStyle w:val="Compact"/>
              <w:rPr>
                <w:sz w:val="20"/>
                <w:szCs w:val="20"/>
                <w:lang w:val="de-DE"/>
              </w:rPr>
            </w:pPr>
            <w:r>
              <w:rPr>
                <w:sz w:val="20"/>
                <w:szCs w:val="20"/>
                <w:lang w:val="de-DE"/>
              </w:rPr>
              <w:t>Max. Leistungsaufschlag bei geringer Nutzung</w:t>
            </w:r>
          </w:p>
        </w:tc>
        <w:tc>
          <w:tcPr>
            <w:tcW w:w="2126" w:type="dxa"/>
          </w:tcPr>
          <w:p w14:paraId="1412EFC4" w14:textId="77777777" w:rsidR="00EC1C19" w:rsidRDefault="009B6523">
            <w:pPr>
              <w:pStyle w:val="Compact"/>
              <w:rPr>
                <w:sz w:val="20"/>
                <w:szCs w:val="20"/>
                <w:lang w:val="de-DE"/>
              </w:rPr>
            </w:pPr>
            <w:r>
              <w:rPr>
                <w:sz w:val="20"/>
                <w:szCs w:val="20"/>
                <w:lang w:val="de-DE"/>
              </w:rPr>
              <w:t>unbeschränkt für</w:t>
            </w:r>
          </w:p>
          <w:p w14:paraId="3584FDF5" w14:textId="77777777" w:rsidR="00D1541E" w:rsidRPr="00EC1C19" w:rsidRDefault="009B6523">
            <w:pPr>
              <w:pStyle w:val="Compact"/>
              <w:rPr>
                <w:sz w:val="20"/>
                <w:szCs w:val="20"/>
                <w:lang w:val="de-DE"/>
              </w:rPr>
            </w:pPr>
            <w:r>
              <w:rPr>
                <w:sz w:val="20"/>
                <w:szCs w:val="20"/>
                <w:lang w:val="de-DE"/>
              </w:rPr>
              <w:t xml:space="preserve"> </w:t>
            </w:r>
            <m:oMath>
              <m:r>
                <w:rPr>
                  <w:rFonts w:ascii="Cambria Math" w:hAnsi="Cambria Math"/>
                  <w:sz w:val="20"/>
                  <w:szCs w:val="20"/>
                  <w:lang w:val="de-DE"/>
                </w:rPr>
                <m:t>h</m:t>
              </m:r>
              <m:r>
                <m:rPr>
                  <m:sty m:val="p"/>
                </m:rPr>
                <w:rPr>
                  <w:rFonts w:ascii="Cambria Math" w:hAnsi="Cambria Math"/>
                  <w:sz w:val="20"/>
                  <w:szCs w:val="20"/>
                  <w:lang w:val="de-DE"/>
                </w:rPr>
                <m:t>→</m:t>
              </m:r>
              <m:r>
                <w:rPr>
                  <w:rFonts w:ascii="Cambria Math" w:hAnsi="Cambria Math"/>
                  <w:sz w:val="20"/>
                  <w:szCs w:val="20"/>
                  <w:lang w:val="de-DE"/>
                </w:rPr>
                <m:t>0</m:t>
              </m:r>
            </m:oMath>
            <w:r>
              <w:rPr>
                <w:sz w:val="20"/>
                <w:szCs w:val="20"/>
                <w:lang w:val="de-DE"/>
              </w:rPr>
              <w:t xml:space="preserve"> (</w:t>
            </w:r>
            <m:oMath>
              <m:r>
                <w:rPr>
                  <w:rFonts w:ascii="Cambria Math" w:hAnsi="Cambria Math"/>
                  <w:sz w:val="20"/>
                  <w:szCs w:val="20"/>
                </w:rPr>
                <m:t>σ</m:t>
              </m:r>
              <m:r>
                <m:rPr>
                  <m:sty m:val="p"/>
                </m:rPr>
                <w:rPr>
                  <w:rFonts w:ascii="Cambria Math" w:hAnsi="Cambria Math"/>
                  <w:sz w:val="20"/>
                  <w:szCs w:val="20"/>
                  <w:lang w:val="de-DE"/>
                </w:rPr>
                <m:t>=</m:t>
              </m:r>
              <m:r>
                <w:rPr>
                  <w:rFonts w:ascii="Cambria Math" w:hAnsi="Cambria Math"/>
                  <w:sz w:val="20"/>
                  <w:szCs w:val="20"/>
                  <w:lang w:val="de-DE"/>
                </w:rPr>
                <m:t>1000 </m:t>
              </m:r>
              <m:r>
                <m:rPr>
                  <m:sty m:val="p"/>
                </m:rPr>
                <w:rPr>
                  <w:rFonts w:ascii="Cambria Math" w:hAnsi="Cambria Math"/>
                  <w:sz w:val="20"/>
                  <w:szCs w:val="20"/>
                  <w:lang w:val="de-DE"/>
                </w:rPr>
                <m:t>LP/</m:t>
              </m:r>
              <m:r>
                <w:rPr>
                  <w:rFonts w:ascii="Cambria Math" w:hAnsi="Cambria Math"/>
                  <w:sz w:val="20"/>
                  <w:szCs w:val="20"/>
                  <w:lang w:val="de-DE"/>
                </w:rPr>
                <m:t>h</m:t>
              </m:r>
            </m:oMath>
            <w:r>
              <w:rPr>
                <w:sz w:val="20"/>
                <w:szCs w:val="20"/>
                <w:lang w:val="de-DE"/>
              </w:rPr>
              <w:t>)</w:t>
            </w:r>
          </w:p>
        </w:tc>
        <w:tc>
          <w:tcPr>
            <w:tcW w:w="2693" w:type="dxa"/>
          </w:tcPr>
          <w:p w14:paraId="4A0F6BFB" w14:textId="77777777" w:rsidR="00D1541E" w:rsidRPr="00EC1C19" w:rsidRDefault="009B6523">
            <w:pPr>
              <w:pStyle w:val="Compact"/>
              <w:rPr>
                <w:sz w:val="20"/>
                <w:szCs w:val="20"/>
                <w:lang w:val="de-DE"/>
              </w:rPr>
            </w:pPr>
            <w:r>
              <w:rPr>
                <w:sz w:val="20"/>
                <w:szCs w:val="20"/>
                <w:lang w:val="de-DE"/>
              </w:rPr>
              <w:t xml:space="preserve">beschränkt auf </w:t>
            </w:r>
            <m:oMath>
              <m:sSub>
                <m:sSubPr>
                  <m:ctrlPr>
                    <w:rPr>
                      <w:rFonts w:ascii="Cambria Math" w:hAnsi="Cambria Math"/>
                      <w:sz w:val="20"/>
                      <w:szCs w:val="20"/>
                    </w:rPr>
                  </m:ctrlPr>
                </m:sSubPr>
                <m:e>
                  <m:r>
                    <m:rPr>
                      <m:sty m:val="p"/>
                    </m:rPr>
                    <w:rPr>
                      <w:rFonts w:ascii="Cambria Math" w:hAnsi="Cambria Math"/>
                      <w:sz w:val="20"/>
                      <w:szCs w:val="20"/>
                      <w:lang w:val="de-DE"/>
                    </w:rPr>
                    <m:t>AP</m:t>
                  </m:r>
                </m:e>
                <m:sub>
                  <m:r>
                    <w:rPr>
                      <w:rFonts w:ascii="Cambria Math" w:hAnsi="Cambria Math"/>
                      <w:sz w:val="20"/>
                      <w:szCs w:val="20"/>
                      <w:lang w:val="de-DE"/>
                    </w:rPr>
                    <m:t>2</m:t>
                  </m:r>
                </m:sub>
              </m:sSub>
              <m:r>
                <m:rPr>
                  <m:sty m:val="p"/>
                </m:rPr>
                <w:rPr>
                  <w:rFonts w:ascii="Cambria Math" w:hAnsi="Cambria Math"/>
                  <w:sz w:val="20"/>
                  <w:szCs w:val="20"/>
                  <w:lang w:val="de-DE"/>
                </w:rPr>
                <m:t>-</m:t>
              </m:r>
              <m:sSub>
                <m:sSubPr>
                  <m:ctrlPr>
                    <w:rPr>
                      <w:rFonts w:ascii="Cambria Math" w:hAnsi="Cambria Math"/>
                      <w:sz w:val="20"/>
                      <w:szCs w:val="20"/>
                    </w:rPr>
                  </m:ctrlPr>
                </m:sSubPr>
                <m:e>
                  <m:r>
                    <m:rPr>
                      <m:sty m:val="p"/>
                    </m:rPr>
                    <w:rPr>
                      <w:rFonts w:ascii="Cambria Math" w:hAnsi="Cambria Math"/>
                      <w:sz w:val="20"/>
                      <w:szCs w:val="20"/>
                      <w:lang w:val="de-DE"/>
                    </w:rPr>
                    <m:t>AP</m:t>
                  </m:r>
                </m:e>
                <m:sub>
                  <m:r>
                    <w:rPr>
                      <w:rFonts w:ascii="Cambria Math" w:hAnsi="Cambria Math"/>
                      <w:sz w:val="20"/>
                      <w:szCs w:val="20"/>
                      <w:lang w:val="de-DE"/>
                    </w:rPr>
                    <m:t>1</m:t>
                  </m:r>
                </m:sub>
              </m:sSub>
            </m:oMath>
            <w:r>
              <w:rPr>
                <w:sz w:val="20"/>
                <w:szCs w:val="20"/>
                <w:lang w:val="de-DE"/>
              </w:rPr>
              <w:t xml:space="preserve"> (Ebene MS: 69,3 EUR/MWh)</w:t>
            </w:r>
          </w:p>
        </w:tc>
        <w:tc>
          <w:tcPr>
            <w:tcW w:w="1418" w:type="dxa"/>
          </w:tcPr>
          <w:p w14:paraId="4CAE5D11" w14:textId="77777777" w:rsidR="00D1541E" w:rsidRPr="00EC1C19" w:rsidRDefault="009B6523">
            <w:pPr>
              <w:pStyle w:val="Compact"/>
              <w:rPr>
                <w:sz w:val="20"/>
                <w:szCs w:val="20"/>
              </w:rPr>
            </w:pPr>
            <w:r>
              <w:rPr>
                <w:sz w:val="20"/>
                <w:szCs w:val="20"/>
              </w:rPr>
              <w:t>Abschn. 3.4</w:t>
            </w:r>
          </w:p>
        </w:tc>
        <w:tc>
          <w:tcPr>
            <w:tcW w:w="1150" w:type="dxa"/>
          </w:tcPr>
          <w:p w14:paraId="583529B2" w14:textId="77777777" w:rsidR="00D1541E" w:rsidRPr="00EC1C19" w:rsidRDefault="009B6523">
            <w:pPr>
              <w:pStyle w:val="Compact"/>
              <w:rPr>
                <w:sz w:val="20"/>
                <w:szCs w:val="20"/>
              </w:rPr>
            </w:pPr>
            <w:r>
              <w:rPr>
                <w:sz w:val="20"/>
                <w:szCs w:val="20"/>
              </w:rPr>
              <w:t>derived</w:t>
            </w:r>
          </w:p>
        </w:tc>
      </w:tr>
      <w:tr w:rsidR="00D1541E" w:rsidRPr="00EC1C19" w14:paraId="57C29F78" w14:textId="77777777" w:rsidTr="00EC1C19">
        <w:tc>
          <w:tcPr>
            <w:tcW w:w="2235" w:type="dxa"/>
          </w:tcPr>
          <w:p w14:paraId="6DC10CC6" w14:textId="77777777" w:rsidR="00D1541E" w:rsidRPr="00EC1C19" w:rsidRDefault="009B6523">
            <w:pPr>
              <w:pStyle w:val="Compact"/>
              <w:rPr>
                <w:sz w:val="20"/>
                <w:szCs w:val="20"/>
              </w:rPr>
            </w:pPr>
            <w:r>
              <w:rPr>
                <w:sz w:val="20"/>
                <w:szCs w:val="20"/>
              </w:rPr>
              <w:t>Status Regelwerk</w:t>
            </w:r>
          </w:p>
        </w:tc>
        <w:tc>
          <w:tcPr>
            <w:tcW w:w="2126" w:type="dxa"/>
          </w:tcPr>
          <w:p w14:paraId="22140849" w14:textId="77777777" w:rsidR="00D1541E" w:rsidRPr="00EC1C19" w:rsidRDefault="009B6523">
            <w:pPr>
              <w:pStyle w:val="Compact"/>
              <w:rPr>
                <w:sz w:val="20"/>
                <w:szCs w:val="20"/>
              </w:rPr>
            </w:pPr>
            <w:r>
              <w:rPr>
                <w:sz w:val="20"/>
                <w:szCs w:val="20"/>
              </w:rPr>
              <w:t>geltendes Recht</w:t>
            </w:r>
          </w:p>
        </w:tc>
        <w:tc>
          <w:tcPr>
            <w:tcW w:w="2693" w:type="dxa"/>
          </w:tcPr>
          <w:p w14:paraId="758E91D6" w14:textId="77777777" w:rsidR="00D1541E" w:rsidRPr="00EC1C19" w:rsidRDefault="009B6523">
            <w:pPr>
              <w:pStyle w:val="Compact"/>
              <w:rPr>
                <w:sz w:val="20"/>
                <w:szCs w:val="20"/>
                <w:lang w:val="de-DE"/>
              </w:rPr>
            </w:pPr>
            <w:r>
              <w:rPr>
                <w:sz w:val="20"/>
                <w:szCs w:val="20"/>
                <w:lang w:val="de-DE"/>
              </w:rPr>
              <w:t>Festlegungsentwurf, zum Redaktionsschluss laufende Konsultation bis 18.09.2026, geplante Anwendung ab 01.01.2029</w:t>
            </w:r>
          </w:p>
        </w:tc>
        <w:tc>
          <w:tcPr>
            <w:tcW w:w="1418" w:type="dxa"/>
          </w:tcPr>
          <w:p w14:paraId="797DBD38" w14:textId="77777777" w:rsidR="00D1541E" w:rsidRPr="00EC1C19" w:rsidRDefault="009B6523">
            <w:pPr>
              <w:pStyle w:val="Compact"/>
              <w:rPr>
                <w:sz w:val="20"/>
                <w:szCs w:val="20"/>
              </w:rPr>
            </w:pPr>
            <w:r>
              <w:rPr>
                <w:sz w:val="20"/>
                <w:szCs w:val="20"/>
              </w:rPr>
              <w:t>[20]</w:t>
            </w:r>
          </w:p>
        </w:tc>
        <w:tc>
          <w:tcPr>
            <w:tcW w:w="1150" w:type="dxa"/>
          </w:tcPr>
          <w:p w14:paraId="67D0FE8F" w14:textId="77777777" w:rsidR="00D1541E" w:rsidRPr="00EC1C19" w:rsidRDefault="009B6523">
            <w:pPr>
              <w:pStyle w:val="Compact"/>
              <w:rPr>
                <w:sz w:val="20"/>
                <w:szCs w:val="20"/>
              </w:rPr>
            </w:pPr>
            <w:r>
              <w:rPr>
                <w:sz w:val="20"/>
                <w:szCs w:val="20"/>
              </w:rPr>
              <w:t>reviewed</w:t>
            </w:r>
          </w:p>
        </w:tc>
      </w:tr>
    </w:tbl>
    <w:p w14:paraId="606CB188" w14:textId="77777777" w:rsidR="00D1541E" w:rsidRDefault="009B6523">
      <w:pPr>
        <w:pStyle w:val="berschrift2"/>
      </w:pPr>
      <w:bookmarkStart w:id="7" w:name="X3f346558b9c98738427096b962fc256557a42ef"/>
      <w:bookmarkEnd w:id="6"/>
      <w:r>
        <w:t>3 Analytik: kritische Überschreitungsdauer und Bestellregel</w:t>
      </w:r>
    </w:p>
    <w:p w14:paraId="44E3A0AC" w14:textId="77777777" w:rsidR="00D1541E" w:rsidRDefault="009B6523">
      <w:pPr>
        <w:pStyle w:val="berschrift3"/>
      </w:pPr>
      <w:bookmarkStart w:id="8" w:name="kritische-überschreitungsdauer"/>
      <w:r>
        <w:t>3.1 Kritische Überschreitungsdauer</w:t>
      </w:r>
    </w:p>
    <w:p w14:paraId="6B97C065" w14:textId="77777777" w:rsidR="00D1541E" w:rsidRPr="007128E8" w:rsidRDefault="009B6523">
      <w:pPr>
        <w:pStyle w:val="FirstParagraph"/>
        <w:rPr>
          <w:lang w:val="de-DE"/>
        </w:rPr>
      </w:pPr>
      <w:r>
        <w:rPr>
          <w:lang w:val="de-DE"/>
        </w:rPr>
        <w:t xml:space="preserve">Für eine Leistungsscheibe </w:t>
      </w:r>
      <m:oMath>
        <m:r>
          <w:rPr>
            <w:rFonts w:ascii="Cambria Math" w:hAnsi="Cambria Math"/>
          </w:rPr>
          <m:t>ΔP</m:t>
        </m:r>
      </m:oMath>
      <w:r>
        <w:rPr>
          <w:lang w:val="de-DE"/>
        </w:rPr>
        <w:t xml:space="preserve"> mit Bedarfsdauer </w:t>
      </w:r>
      <m:oMath>
        <m:r>
          <w:rPr>
            <w:rFonts w:ascii="Cambria Math" w:hAnsi="Cambria Math"/>
            <w:lang w:val="de-DE"/>
          </w:rPr>
          <m:t>h</m:t>
        </m:r>
      </m:oMath>
      <w:r>
        <w:rPr>
          <w:lang w:val="de-DE"/>
        </w:rPr>
        <w:t xml:space="preserve"> [h/a] ist es gleichgültig, ob sie bestellt oder als Überschreitung bezogen wird, wenn </w:t>
      </w:r>
      <m:oMath>
        <m:r>
          <m:rPr>
            <m:sty m:val="p"/>
          </m:rPr>
          <w:rPr>
            <w:rFonts w:ascii="Cambria Math" w:hAnsi="Cambria Math"/>
            <w:lang w:val="de-DE"/>
          </w:rPr>
          <m:t>KP⋅</m:t>
        </m:r>
        <m:r>
          <w:rPr>
            <w:rFonts w:ascii="Cambria Math" w:hAnsi="Cambria Math"/>
          </w:rPr>
          <m:t>ΔP</m:t>
        </m:r>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m:rPr>
            <m:sty m:val="p"/>
          </m:rPr>
          <w:rPr>
            <w:rFonts w:ascii="Cambria Math" w:hAnsi="Cambria Math"/>
            <w:lang w:val="de-DE"/>
          </w:rPr>
          <m:t>⋅</m:t>
        </m:r>
        <m:r>
          <w:rPr>
            <w:rFonts w:ascii="Cambria Math" w:hAnsi="Cambria Math"/>
          </w:rPr>
          <m:t>ΔP</m:t>
        </m:r>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oMath>
      <w:r>
        <w:rPr>
          <w:lang w:val="de-DE"/>
        </w:rPr>
        <w:t>, also</w:t>
      </w:r>
    </w:p>
    <w:p w14:paraId="37BCE1B2" w14:textId="77777777" w:rsidR="00D1541E" w:rsidRDefault="00593523">
      <w:pPr>
        <w:pStyle w:val="Textkrper"/>
      </w:pPr>
      <m:oMathPara>
        <m:oMathParaPr>
          <m:jc m:val="center"/>
        </m:oMathParaP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1000 </m:t>
              </m:r>
              <m:r>
                <m:rPr>
                  <m:sty m:val="p"/>
                </m:rPr>
                <w:rPr>
                  <w:rFonts w:ascii="Cambria Math" w:hAnsi="Cambria Math"/>
                </w:rPr>
                <m:t>KP</m:t>
              </m:r>
            </m:num>
            <m:den>
              <m:sSub>
                <m:sSubPr>
                  <m:ctrlPr>
                    <w:rPr>
                      <w:rFonts w:ascii="Cambria Math" w:hAnsi="Cambria Math"/>
                    </w:rPr>
                  </m:ctrlPr>
                </m:sSubPr>
                <m:e>
                  <m:r>
                    <m:rPr>
                      <m:sty m:val="p"/>
                    </m:rPr>
                    <w:rPr>
                      <w:rFonts w:ascii="Cambria Math" w:hAnsi="Cambria Math"/>
                    </w:rPr>
                    <m:t>AP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1000 </m:t>
              </m:r>
              <m:r>
                <m:rPr>
                  <m:sty m:val="p"/>
                </m:rPr>
                <w:rPr>
                  <w:rFonts w:ascii="Cambria Math" w:hAnsi="Cambria Math"/>
                </w:rPr>
                <m:t>KP</m:t>
              </m:r>
            </m:num>
            <m:den>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w:rPr>
                  <w:rFonts w:ascii="Cambria Math" w:hAnsi="Cambria Math"/>
                </w:rPr>
                <m:t> </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den>
          </m:f>
        </m:oMath>
      </m:oMathPara>
    </w:p>
    <w:p w14:paraId="642B3F01" w14:textId="77777777" w:rsidR="00D1541E" w:rsidRPr="007128E8" w:rsidRDefault="009B6523">
      <w:pPr>
        <w:pStyle w:val="berschrift3"/>
        <w:rPr>
          <w:lang w:val="de-DE"/>
        </w:rPr>
      </w:pPr>
      <w:bookmarkStart w:id="9" w:name="optimale-bestellkapazität-kernbeitrag"/>
      <w:bookmarkEnd w:id="8"/>
      <w:r>
        <w:rPr>
          <w:lang w:val="de-DE"/>
        </w:rPr>
        <w:t>3.2 Optimale Bestellkapazität (Kernbeitrag)</w:t>
      </w:r>
    </w:p>
    <w:p w14:paraId="6A1D054B" w14:textId="77777777" w:rsidR="00D1541E" w:rsidRPr="007128E8" w:rsidRDefault="009B6523">
      <w:pPr>
        <w:pStyle w:val="FirstParagraph"/>
        <w:rPr>
          <w:lang w:val="de-DE"/>
        </w:rPr>
      </w:pPr>
      <w:r>
        <w:rPr>
          <w:lang w:val="de-DE"/>
        </w:rPr>
        <w:t xml:space="preserve">Bei gegebenem Lastgang </w:t>
      </w:r>
      <m:oMath>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oMath>
      <w:r>
        <w:rPr>
          <w:lang w:val="de-DE"/>
        </w:rPr>
        <w:t xml:space="preserve"> lauten die Netzkosten</w:t>
      </w:r>
    </w:p>
    <w:p w14:paraId="7660F8B7" w14:textId="77777777" w:rsidR="00D1541E" w:rsidRDefault="009B6523">
      <w:pPr>
        <w:pStyle w:val="Textkrp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=KP⋅</m:t>
          </m:r>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AP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AP</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2</m:t>
              </m:r>
            </m:sub>
          </m:sSub>
          <m:d>
            <m:dPr>
              <m:ctrlPr>
                <w:rPr>
                  <w:rFonts w:ascii="Cambria Math" w:hAnsi="Cambria Math"/>
                </w:rPr>
              </m:ctrlPr>
            </m:dPr>
            <m:e>
              <m:r>
                <w:rPr>
                  <w:rFonts w:ascii="Cambria Math" w:hAnsi="Cambria Math"/>
                </w:rPr>
                <m:t>C</m:t>
              </m:r>
            </m:e>
          </m:d>
          <m:r>
            <m:rPr>
              <m:sty m:val="p"/>
            </m:rPr>
            <w:rPr>
              <w:rFonts w:ascii="Cambria Math" w:hAnsi="Cambria Math"/>
            </w:rPr>
            <m:t>=</m:t>
          </m:r>
          <m:f>
            <m:fPr>
              <m:type m:val="lin"/>
              <m:ctrlPr>
                <w:rPr>
                  <w:rFonts w:ascii="Cambria Math" w:hAnsi="Cambria Math"/>
                </w:rPr>
              </m:ctrlPr>
            </m:fPr>
            <m:num>
              <m:r>
                <w:rPr>
                  <w:rFonts w:ascii="Cambria Math" w:hAnsi="Cambria Math"/>
                </w:rPr>
                <m:t>Δt</m:t>
              </m:r>
            </m:num>
            <m:den>
              <m:r>
                <w:rPr>
                  <w:rFonts w:ascii="Cambria Math" w:hAnsi="Cambria Math"/>
                </w:rPr>
                <m:t>1</m:t>
              </m:r>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1</m:t>
          </m:r>
        </m:oMath>
      </m:oMathPara>
    </w:p>
    <w:p w14:paraId="013288F5" w14:textId="77777777" w:rsidR="00D1541E" w:rsidRPr="007128E8" w:rsidRDefault="00593523">
      <w:pPr>
        <w:pStyle w:val="FirstParagraph"/>
        <w:rPr>
          <w:lang w:val="de-DE"/>
        </w:rPr>
      </w:pPr>
      <m:oMath>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Pr>
          <w:lang w:val="de-DE"/>
        </w:rPr>
        <w:t xml:space="preserve"> ist als Summe von Maximumfunktionen konvex und monoton fallend in </w:t>
      </w:r>
      <m:oMath>
        <m:r>
          <w:rPr>
            <w:rFonts w:ascii="Cambria Math" w:hAnsi="Cambria Math"/>
          </w:rPr>
          <m:t>C</m:t>
        </m:r>
      </m:oMath>
      <w:r>
        <w:rPr>
          <w:lang w:val="de-DE"/>
        </w:rPr>
        <w:t xml:space="preserve"> mit </w:t>
      </w:r>
      <m:oMath>
        <m:r>
          <m:rPr>
            <m:sty m:val="p"/>
          </m:rPr>
          <w:rPr>
            <w:rFonts w:ascii="Cambria Math" w:hAnsi="Cambria Math"/>
            <w:lang w:val="de-DE"/>
          </w:rPr>
          <m:t>∂</m:t>
        </m:r>
        <m:sSub>
          <m:sSubPr>
            <m:ctrlPr>
              <w:rPr>
                <w:rFonts w:ascii="Cambria Math" w:hAnsi="Cambria Math"/>
              </w:rPr>
            </m:ctrlPr>
          </m:sSubPr>
          <m:e>
            <m:r>
              <w:rPr>
                <w:rFonts w:ascii="Cambria Math" w:hAnsi="Cambria Math"/>
              </w:rPr>
              <m:t>E</m:t>
            </m:r>
          </m:e>
          <m:sub>
            <m:r>
              <w:rPr>
                <w:rFonts w:ascii="Cambria Math" w:hAnsi="Cambria Math"/>
                <w:lang w:val="de-DE"/>
              </w:rPr>
              <m:t>2</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r>
          <w:rPr>
            <w:rFonts w:ascii="Cambria Math" w:hAnsi="Cambria Math"/>
          </w:rPr>
          <m:t>D</m:t>
        </m:r>
        <m:d>
          <m:dPr>
            <m:ctrlPr>
              <w:rPr>
                <w:rFonts w:ascii="Cambria Math" w:hAnsi="Cambria Math"/>
              </w:rPr>
            </m:ctrlPr>
          </m:dPr>
          <m:e>
            <m:r>
              <w:rPr>
                <w:rFonts w:ascii="Cambria Math" w:hAnsi="Cambria Math"/>
              </w:rPr>
              <m:t>C</m:t>
            </m:r>
          </m:e>
        </m:d>
        <m:r>
          <m:rPr>
            <m:sty m:val="p"/>
          </m:rPr>
          <w:rPr>
            <w:rFonts w:ascii="Cambria Math" w:hAnsi="Cambria Math"/>
            <w:lang w:val="de-DE"/>
          </w:rPr>
          <m:t>/</m:t>
        </m:r>
        <m:r>
          <w:rPr>
            <w:rFonts w:ascii="Cambria Math" w:hAnsi="Cambria Math"/>
            <w:lang w:val="de-DE"/>
          </w:rPr>
          <m:t>1000</m:t>
        </m:r>
      </m:oMath>
      <w:r>
        <w:rPr>
          <w:lang w:val="de-DE"/>
        </w:rPr>
        <w:t xml:space="preserve">, wobei </w:t>
      </w:r>
      <m:oMath>
        <m:r>
          <w:rPr>
            <w:rFonts w:ascii="Cambria Math" w:hAnsi="Cambria Math"/>
          </w:rPr>
          <m:t>D</m:t>
        </m:r>
        <m:d>
          <m:dPr>
            <m:ctrlPr>
              <w:rPr>
                <w:rFonts w:ascii="Cambria Math" w:hAnsi="Cambria Math"/>
              </w:rPr>
            </m:ctrlPr>
          </m:dPr>
          <m:e>
            <m:r>
              <w:rPr>
                <w:rFonts w:ascii="Cambria Math" w:hAnsi="Cambria Math"/>
              </w:rPr>
              <m:t>C</m:t>
            </m:r>
          </m:e>
        </m:d>
      </m:oMath>
      <w:r>
        <w:rPr>
          <w:lang w:val="de-DE"/>
        </w:rPr>
        <w:t xml:space="preserve"> die Dauer mit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&gt;</m:t>
        </m:r>
        <m:r>
          <w:rPr>
            <w:rFonts w:ascii="Cambria Math" w:hAnsi="Cambria Math"/>
          </w:rPr>
          <m:t>C</m:t>
        </m:r>
      </m:oMath>
      <w:r>
        <w:rPr>
          <w:lang w:val="de-DE"/>
        </w:rPr>
        <w:t xml:space="preserve"> bezeichnet. </w:t>
      </w:r>
      <m:oMath>
        <m:r>
          <w:rPr>
            <w:rFonts w:ascii="Cambria Math" w:hAnsi="Cambria Math"/>
          </w:rPr>
          <m:t>F</m:t>
        </m:r>
      </m:oMath>
      <w:r>
        <w:rPr>
          <w:lang w:val="de-DE"/>
        </w:rPr>
        <w:t xml:space="preserve"> ist damit konvex und </w:t>
      </w:r>
      <w:r>
        <w:rPr>
          <w:lang w:val="de-DE"/>
        </w:rPr>
        <w:lastRenderedPageBreak/>
        <w:t xml:space="preserve">stückweise linear; die Optimalitätsbedingung (Subgradientenbedingung </w:t>
      </w:r>
      <m:oMath>
        <m:r>
          <w:rPr>
            <w:rFonts w:ascii="Cambria Math" w:hAnsi="Cambria Math"/>
            <w:lang w:val="de-DE"/>
          </w:rPr>
          <m:t>0</m:t>
        </m:r>
        <m:r>
          <m:rPr>
            <m:sty m:val="p"/>
          </m:rPr>
          <w:rPr>
            <w:rFonts w:ascii="Cambria Math" w:hAnsi="Cambria Math"/>
            <w:lang w:val="de-DE"/>
          </w:rPr>
          <m:t>∈∂</m:t>
        </m:r>
        <m:r>
          <w:rPr>
            <w:rFonts w:ascii="Cambria Math" w:hAnsi="Cambria Math"/>
          </w:rPr>
          <m:t>F</m:t>
        </m:r>
      </m:oMath>
      <w:r>
        <w:rPr>
          <w:lang w:val="de-DE"/>
        </w:rPr>
        <w:t>) ergibt unmittelbar</w:t>
      </w:r>
    </w:p>
    <w:p w14:paraId="0ABCD7E1" w14:textId="77777777" w:rsidR="00D1541E" w:rsidRPr="007128E8" w:rsidRDefault="00593523">
      <w:pPr>
        <w:pStyle w:val="Textkrper"/>
        <w:rPr>
          <w:lang w:val="de-DE"/>
        </w:rPr>
      </w:pPr>
      <m:oMathPara>
        <m:oMathParaPr>
          <m:jc m:val="center"/>
        </m:oMathParaPr>
        <m:oMath>
          <m:borderBox>
            <m:borderBoxPr>
              <m:ctrlPr>
                <w:rPr>
                  <w:rFonts w:ascii="Cambria Math" w:hAnsi="Cambria Math"/>
                </w:rPr>
              </m:ctrlPr>
            </m:borderBoxPr>
            <m:e>
              <m:r>
                <w:rPr>
                  <w:rFonts w:ascii="Cambria Math" w:hAnsi="Cambria Math"/>
                  <w:lang w:val="de-DE"/>
                </w:rPr>
                <m:t> </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e>
              </m:d>
              <m:r>
                <m:rPr>
                  <m:sty m:val="p"/>
                </m:rPr>
                <w:rPr>
                  <w:rFonts w:ascii="Cambria Math" w:hAnsi="Cambria Math"/>
                  <w:lang w:val="de-DE"/>
                </w:rPr>
                <m: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w:rPr>
                  <w:rFonts w:ascii="Cambria Math" w:hAnsi="Cambria Math"/>
                  <w:lang w:val="de-DE"/>
                </w:rPr>
                <m:t> </m:t>
              </m:r>
              <m:r>
                <m:rPr>
                  <m:sty m:val="p"/>
                </m:rPr>
                <w:rPr>
                  <w:rFonts w:ascii="Cambria Math" w:hAnsi="Cambria Math"/>
                  <w:lang w:val="de-DE"/>
                </w:rPr>
                <m:t>⇔</m:t>
              </m:r>
              <m:r>
                <w:rPr>
                  <w:rFonts w:ascii="Cambria Math" w:hAnsi="Cambria Math"/>
                  <w:lang w:val="de-DE"/>
                </w:rPr>
                <m:t> </m:t>
              </m:r>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r>
                <m:rPr>
                  <m:sty m:val="p"/>
                </m:rPr>
                <w:rPr>
                  <w:rFonts w:ascii="Cambria Math" w:hAnsi="Cambria Math"/>
                  <w:lang w:val="de-DE"/>
                </w:rPr>
                <m:t>=PLDC</m:t>
              </m:r>
              <m:d>
                <m:dPr>
                  <m:ctrlPr>
                    <w:rPr>
                      <w:rFonts w:ascii="Cambria Math" w:hAnsi="Cambria Math"/>
                    </w:rPr>
                  </m:ctrlPr>
                </m:dPr>
                <m:e>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e>
              </m:d>
              <m:r>
                <w:rPr>
                  <w:rFonts w:ascii="Cambria Math" w:hAnsi="Cambria Math"/>
                  <w:lang w:val="de-DE"/>
                </w:rPr>
                <m:t> </m:t>
              </m:r>
            </m:e>
          </m:borderBox>
          <m:r>
            <w:rPr>
              <w:rFonts w:ascii="Cambria Math" w:hAnsi="Cambria Math"/>
              <w:lang w:val="de-DE"/>
            </w:rPr>
            <m:t>  </m:t>
          </m:r>
          <m:r>
            <w:rPr>
              <w:rFonts w:ascii="Cambria Math" w:hAnsi="Cambria Math"/>
              <w:lang w:val="de-DE"/>
            </w:rPr>
            <m:t>mit</m:t>
          </m:r>
          <m:r>
            <w:rPr>
              <w:rFonts w:ascii="Cambria Math" w:hAnsi="Cambria Math"/>
              <w:lang w:val="de-DE"/>
            </w:rPr>
            <m:t xml:space="preserve"> </m:t>
          </m:r>
          <m:r>
            <m:rPr>
              <m:nor/>
            </m:rPr>
            <w:rPr>
              <w:lang w:val="de-DE"/>
            </w:rPr>
            <m:t xml:space="preserve"> </m:t>
          </m:r>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m:oMathPara>
    </w:p>
    <w:p w14:paraId="09B2810C" w14:textId="77777777" w:rsidR="00D1541E" w:rsidRPr="007128E8" w:rsidRDefault="009B6523">
      <w:pPr>
        <w:pStyle w:val="FirstParagraph"/>
        <w:rPr>
          <w:lang w:val="de-DE"/>
        </w:rPr>
      </w:pPr>
      <w:r>
        <w:rPr>
          <w:lang w:val="de-DE"/>
        </w:rPr>
        <w:t>Die kostenminimale Bestellung liest man also am Schnittpunkt der Jahresdauerlinie mit der kritischen Überschreitungsdauer ab. Die Regel ist bei exogenem Lastgang exakt; im gekoppelten Fall entsteht eine Rückkopplung zwischen Bestellkapazität, Netzentgelt, optimaler Anlagenauslegung und dem daraus resultierenden elektrischen Lastgang.</w:t>
      </w:r>
    </w:p>
    <w:p w14:paraId="200D7214" w14:textId="77777777" w:rsidR="00D1541E" w:rsidRPr="007128E8" w:rsidRDefault="009B6523">
      <w:pPr>
        <w:pStyle w:val="berschrift3"/>
        <w:rPr>
          <w:lang w:val="de-DE"/>
        </w:rPr>
      </w:pPr>
      <w:bookmarkStart w:id="10" w:name="X31b0bab42f8e7b7b9227cf19bcafb6fb3c37648"/>
      <w:bookmarkEnd w:id="9"/>
      <w:r>
        <w:rPr>
          <w:lang w:val="de-DE"/>
        </w:rPr>
        <w:t>3.3 Dimensionslose Form (Annahme, keine Identität)</w:t>
      </w:r>
    </w:p>
    <w:p w14:paraId="3EDE3AC0" w14:textId="77777777" w:rsidR="00D1541E" w:rsidRPr="007128E8" w:rsidRDefault="009B6523">
      <w:pPr>
        <w:pStyle w:val="FirstParagraph"/>
        <w:rPr>
          <w:lang w:val="de-DE"/>
        </w:rPr>
      </w:pPr>
      <w:r>
        <w:rPr>
          <w:lang w:val="de-DE"/>
        </w:rPr>
        <w:t xml:space="preserve">Mit der Erlösaufteilung </w:t>
      </w:r>
      <m:oMath>
        <m:r>
          <m:rPr>
            <m:sty m:val="p"/>
          </m:rPr>
          <w:rPr>
            <w:rFonts w:ascii="Cambria Math" w:hAnsi="Cambria Math"/>
            <w:lang w:val="de-DE"/>
          </w:rPr>
          <m:t>KP=</m:t>
        </m:r>
        <m:d>
          <m:dPr>
            <m:ctrlPr>
              <w:rPr>
                <w:rFonts w:ascii="Cambria Math" w:hAnsi="Cambria Math"/>
              </w:rPr>
            </m:ctrlPr>
          </m:dPr>
          <m:e>
            <m:r>
              <w:rPr>
                <w:rFonts w:ascii="Cambria Math" w:hAnsi="Cambria Math"/>
                <w:lang w:val="de-DE"/>
              </w:rPr>
              <m:t>1</m:t>
            </m:r>
            <m:r>
              <m:rPr>
                <m:sty m:val="p"/>
              </m:rPr>
              <w:rPr>
                <w:rFonts w:ascii="Cambria Math" w:hAnsi="Cambria Math"/>
                <w:lang w:val="de-DE"/>
              </w:rPr>
              <m:t>-</m:t>
            </m:r>
            <m:r>
              <w:rPr>
                <w:rFonts w:ascii="Cambria Math" w:hAnsi="Cambria Math"/>
              </w:rPr>
              <m:t>α</m:t>
            </m:r>
          </m:e>
        </m:d>
        <m:r>
          <w:rPr>
            <w:rFonts w:ascii="Cambria Math" w:hAnsi="Cambria Math"/>
          </w:rPr>
          <m:t>k</m:t>
        </m:r>
      </m:oMath>
      <w:r>
        <w:rPr>
          <w:lang w:val="de-DE"/>
        </w:rPr>
        <w:t xml:space="preserve"> und </w:t>
      </w:r>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r>
          <m:rPr>
            <m:sty m:val="p"/>
          </m:rPr>
          <w:rPr>
            <w:rFonts w:ascii="Cambria Math" w:hAnsi="Cambria Math"/>
            <w:lang w:val="de-DE"/>
          </w:rPr>
          <m:t>=</m:t>
        </m:r>
        <m:r>
          <w:rPr>
            <w:rFonts w:ascii="Cambria Math" w:hAnsi="Cambria Math"/>
            <w:lang w:val="de-DE"/>
          </w:rPr>
          <m:t>1000 </m:t>
        </m:r>
        <m:r>
          <w:rPr>
            <w:rFonts w:ascii="Cambria Math" w:hAnsi="Cambria Math"/>
          </w:rPr>
          <m:t>αk</m:t>
        </m:r>
        <m:r>
          <m:rPr>
            <m:sty m:val="p"/>
          </m:rPr>
          <w:rPr>
            <w:rFonts w:ascii="Cambria Math" w:hAnsi="Cambria Math"/>
            <w:lang w:val="de-DE"/>
          </w:rPr>
          <m:t>/</m:t>
        </m:r>
        <m:sSub>
          <m:sSubPr>
            <m:ctrlPr>
              <w:rPr>
                <w:rFonts w:ascii="Cambria Math" w:hAnsi="Cambria Math"/>
              </w:rPr>
            </m:ctrlPr>
          </m:sSubPr>
          <m:e>
            <m:r>
              <w:rPr>
                <w:rFonts w:ascii="Cambria Math" w:hAnsi="Cambria Math"/>
              </w:rPr>
              <m:t>t</m:t>
            </m:r>
          </m:e>
          <m:sub>
            <m:r>
              <w:rPr>
                <w:rFonts w:ascii="Cambria Math" w:hAnsi="Cambria Math"/>
              </w:rPr>
              <m:t>B</m:t>
            </m:r>
          </m:sub>
        </m:sSub>
      </m:oMath>
      <w:r>
        <w:rPr>
          <w:lang w:val="de-DE"/>
        </w:rPr>
        <w:t xml:space="preserve"> folgt</w:t>
      </w:r>
    </w:p>
    <w:p w14:paraId="6E80B2E6" w14:textId="77777777" w:rsidR="00D1541E" w:rsidRDefault="009B6523">
      <w:pPr>
        <w:pStyle w:val="Textkrpe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h</m:t>
                  </m:r>
                </m:e>
                <m:sup>
                  <m:r>
                    <m:rPr>
                      <m:sty m:val="p"/>
                    </m:rPr>
                    <w:rPr>
                      <w:rFonts w:ascii="Cambria Math" w:hAnsi="Cambria Math"/>
                    </w:rPr>
                    <m:t>*</m:t>
                  </m:r>
                </m:sup>
              </m:sSup>
            </m:num>
            <m:den>
              <m:sSub>
                <m:sSubPr>
                  <m:ctrlPr>
                    <w:rPr>
                      <w:rFonts w:ascii="Cambria Math" w:hAnsi="Cambria Math"/>
                    </w:rPr>
                  </m:ctrlPr>
                </m:sSubPr>
                <m:e>
                  <m:r>
                    <w:rPr>
                      <w:rFonts w:ascii="Cambria Math" w:hAnsi="Cambria Math"/>
                    </w:rPr>
                    <m:t>t</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α</m:t>
              </m:r>
            </m:num>
            <m:den>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1</m:t>
                  </m:r>
                </m:e>
              </m:d>
              <m:r>
                <w:rPr>
                  <w:rFonts w:ascii="Cambria Math" w:hAnsi="Cambria Math"/>
                </w:rPr>
                <m:t> α</m:t>
              </m:r>
            </m:den>
          </m:f>
        </m:oMath>
      </m:oMathPara>
    </w:p>
    <w:p w14:paraId="5A5C0D4D" w14:textId="77777777" w:rsidR="00D1541E" w:rsidRPr="007128E8" w:rsidRDefault="009B6523">
      <w:pPr>
        <w:pStyle w:val="FirstParagraph"/>
        <w:rPr>
          <w:lang w:val="de-DE"/>
        </w:rPr>
      </w:pPr>
      <w:r>
        <w:rPr>
          <w:lang w:val="de-DE"/>
        </w:rPr>
        <w:t>Die dimensionslose Regimekennzahl liegt unter den getroffenen Annahmen zwischen 0,27 und 2,33; die Spannweite von Faktor 8,75 zeigt die hohe Parametrierungssensitivität des Regimewechsels.</w:t>
      </w:r>
      <m:oMath>
        <m:r>
          <w:rPr>
            <w:rFonts w:ascii="Cambria Math" w:hAnsi="Cambria Math"/>
          </w:rPr>
          <m:t>α</m:t>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0</m:t>
            </m:r>
            <m:r>
              <m:rPr>
                <m:sty m:val="p"/>
              </m:rPr>
              <w:rPr>
                <w:rFonts w:ascii="Cambria Math" w:hAnsi="Cambria Math"/>
                <w:lang w:val="de-DE"/>
              </w:rPr>
              <m:t>,</m:t>
            </m:r>
            <m:r>
              <w:rPr>
                <w:rFonts w:ascii="Cambria Math" w:hAnsi="Cambria Math"/>
                <w:lang w:val="de-DE"/>
              </w:rPr>
              <m:t>30</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60</m:t>
            </m:r>
          </m:e>
        </m:d>
        <m:r>
          <w:rPr>
            <w:rFonts w:ascii="Cambria Math" w:hAnsi="Cambria Math"/>
          </w:rPr>
          <m:t>f</m:t>
        </m:r>
        <m:r>
          <m:rPr>
            <m:sty m:val="p"/>
          </m:rPr>
          <w:rPr>
            <w:rFonts w:ascii="Cambria Math" w:hAnsi="Cambria Math"/>
            <w:lang w:val="de-DE"/>
          </w:rPr>
          <m:t>∈</m:t>
        </m:r>
        <m:d>
          <m:dPr>
            <m:begChr m:val="["/>
            <m:endChr m:val="]"/>
            <m:ctrlPr>
              <w:rPr>
                <w:rFonts w:ascii="Cambria Math" w:hAnsi="Cambria Math"/>
              </w:rPr>
            </m:ctrlPr>
          </m:dPr>
          <m:e>
            <m:r>
              <w:rPr>
                <w:rFonts w:ascii="Cambria Math" w:hAnsi="Cambria Math"/>
                <w:lang w:val="de-DE"/>
              </w:rPr>
              <m:t>2</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3</m:t>
            </m:r>
            <m:r>
              <m:rPr>
                <m:sty m:val="p"/>
              </m:rPr>
              <w:rPr>
                <w:rFonts w:ascii="Cambria Math" w:hAnsi="Cambria Math"/>
                <w:lang w:val="de-DE"/>
              </w:rPr>
              <m:t>,</m:t>
            </m:r>
            <m:r>
              <w:rPr>
                <w:rFonts w:ascii="Cambria Math" w:hAnsi="Cambria Math"/>
                <w:lang w:val="de-DE"/>
              </w:rPr>
              <m:t>5</m:t>
            </m:r>
          </m:e>
        </m:d>
        <m:r>
          <w:rPr>
            <w:rFonts w:ascii="Cambria Math" w:hAnsi="Cambria Math"/>
          </w:rPr>
          <m:t>θ</m:t>
        </m:r>
      </m:oMath>
    </w:p>
    <w:p w14:paraId="1877249B" w14:textId="77777777" w:rsidR="00D1541E" w:rsidRPr="007128E8" w:rsidRDefault="009B6523">
      <w:pPr>
        <w:pStyle w:val="berschrift3"/>
        <w:rPr>
          <w:lang w:val="de-DE"/>
        </w:rPr>
      </w:pPr>
      <w:bookmarkStart w:id="11" w:name="spezifischer-aufschlag"/>
      <w:bookmarkEnd w:id="10"/>
      <w:r>
        <w:rPr>
          <w:lang w:val="de-DE"/>
        </w:rPr>
        <w:t>3.4 Spezifischer Aufschlag</w:t>
      </w:r>
    </w:p>
    <w:p w14:paraId="2DC41BC9" w14:textId="77777777" w:rsidR="00D1541E" w:rsidRPr="007128E8" w:rsidRDefault="009B6523">
      <w:pPr>
        <w:pStyle w:val="FirstParagraph"/>
        <w:rPr>
          <w:lang w:val="de-DE"/>
        </w:rPr>
      </w:pPr>
      <w:r>
        <w:rPr>
          <w:lang w:val="de-DE"/>
        </w:rPr>
        <w:t>Betrachtet wird ausschließlich der leistungs-/kapazitätsbezogene Anteil:</w:t>
      </w:r>
    </w:p>
    <w:p w14:paraId="576AC0D0" w14:textId="77777777" w:rsidR="00D1541E" w:rsidRPr="007128E8" w:rsidRDefault="00593523">
      <w:pPr>
        <w:pStyle w:val="Textkrper"/>
        <w:rPr>
          <w:lang w:val="de-DE"/>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lang w:val="de-DE"/>
                </w:rPr>
                <m:t>NEV</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t>
          </m:r>
          <m:f>
            <m:fPr>
              <m:ctrlPr>
                <w:rPr>
                  <w:rFonts w:ascii="Cambria Math" w:hAnsi="Cambria Math"/>
                </w:rPr>
              </m:ctrlPr>
            </m:fPr>
            <m:num>
              <m:r>
                <w:rPr>
                  <w:rFonts w:ascii="Cambria Math" w:hAnsi="Cambria Math"/>
                  <w:lang w:val="de-DE"/>
                </w:rPr>
                <m:t>1000 </m:t>
              </m:r>
              <m:r>
                <m:rPr>
                  <m:sty m:val="p"/>
                </m:rPr>
                <w:rPr>
                  <w:rFonts w:ascii="Cambria Math" w:hAnsi="Cambria Math"/>
                  <w:lang w:val="de-DE"/>
                </w:rPr>
                <m:t>LP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σ</m:t>
              </m:r>
            </m:e>
            <m:sub>
              <m:r>
                <m:rPr>
                  <m:sty m:val="p"/>
                </m:rPr>
                <w:rPr>
                  <w:rFonts w:ascii="Cambria Math" w:hAnsi="Cambria Math"/>
                  <w:lang w:val="de-DE"/>
                </w:rPr>
                <m:t>AgNes</m:t>
              </m:r>
            </m:sub>
          </m:sSub>
          <m:d>
            <m:dPr>
              <m:ctrlPr>
                <w:rPr>
                  <w:rFonts w:ascii="Cambria Math" w:hAnsi="Cambria Math"/>
                </w:rPr>
              </m:ctrlPr>
            </m:dPr>
            <m:e>
              <m:r>
                <w:rPr>
                  <w:rFonts w:ascii="Cambria Math" w:hAnsi="Cambria Math"/>
                  <w:lang w:val="de-DE"/>
                </w:rPr>
                <m:t>h</m:t>
              </m:r>
            </m:e>
          </m:d>
          <m:r>
            <m:rPr>
              <m:sty m:val="p"/>
            </m:rPr>
            <w:rPr>
              <w:rFonts w:ascii="Cambria Math" w:hAnsi="Cambria Math"/>
              <w:lang w:val="de-DE"/>
            </w:rPr>
            <m:t>=min</m:t>
          </m:r>
          <m:r>
            <w:rPr>
              <w:rFonts w:ascii="Cambria Math" w:hAnsi="Cambria Math"/>
              <w:lang w:val="de-DE"/>
            </w:rPr>
            <m:t>​</m:t>
          </m:r>
          <m:d>
            <m:dPr>
              <m:begChr m:val="{"/>
              <m:endChr m:val="}"/>
              <m:ctrlPr>
                <w:rPr>
                  <w:rFonts w:ascii="Cambria Math" w:hAnsi="Cambria Math"/>
                </w:rPr>
              </m:ctrlPr>
            </m:dPr>
            <m:e>
              <m:f>
                <m:fPr>
                  <m:ctrlPr>
                    <w:rPr>
                      <w:rFonts w:ascii="Cambria Math" w:hAnsi="Cambria Math"/>
                    </w:rPr>
                  </m:ctrlPr>
                </m:fPr>
                <m:num>
                  <m:r>
                    <w:rPr>
                      <w:rFonts w:ascii="Cambria Math" w:hAnsi="Cambria Math"/>
                      <w:lang w:val="de-DE"/>
                    </w:rPr>
                    <m:t>1000 </m:t>
                  </m:r>
                  <m:r>
                    <m:rPr>
                      <m:sty m:val="p"/>
                    </m:rPr>
                    <w:rPr>
                      <w:rFonts w:ascii="Cambria Math" w:hAnsi="Cambria Math"/>
                      <w:lang w:val="de-DE"/>
                    </w:rPr>
                    <m:t>KP</m:t>
                  </m:r>
                </m:num>
                <m:den>
                  <m:r>
                    <w:rPr>
                      <w:rFonts w:ascii="Cambria Math" w:hAnsi="Cambria Math"/>
                      <w:lang w:val="de-DE"/>
                    </w:rPr>
                    <m:t>h</m:t>
                  </m:r>
                </m:den>
              </m:f>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r>
            <w:rPr>
              <w:rFonts w:ascii="Cambria Math" w:hAnsi="Cambria Math"/>
              <w:lang w:val="de-DE"/>
            </w:rPr>
            <m:t> </m:t>
          </m:r>
          <m:d>
            <m:dPr>
              <m:begChr m:val="["/>
              <m:endChr m:val="]"/>
              <m:ctrlPr>
                <w:rPr>
                  <w:rFonts w:ascii="Cambria Math" w:hAnsi="Cambria Math"/>
                </w:rPr>
              </m:ctrlPr>
            </m:dPr>
            <m:e>
              <m:r>
                <m:rPr>
                  <m:nor/>
                </m:rPr>
                <w:rPr>
                  <w:lang w:val="de-DE"/>
                </w:rPr>
                <m:t>EUR/MWh</m:t>
              </m:r>
            </m:e>
          </m:d>
        </m:oMath>
      </m:oMathPara>
    </w:p>
    <w:p w14:paraId="3573E0C0" w14:textId="77777777" w:rsidR="00D1541E" w:rsidRPr="007128E8" w:rsidRDefault="009B6523">
      <w:pPr>
        <w:pStyle w:val="FirstParagraph"/>
        <w:rPr>
          <w:lang w:val="de-DE"/>
        </w:rPr>
      </w:pPr>
      <w:r>
        <w:rPr>
          <w:lang w:val="de-DE"/>
        </w:rPr>
        <w:t>Der leistungs-/kapazitätsbezogene Kostenanteil ist unter AgNes anders strukturiert als unter StromNEV. Die Nettowirkung ist standortspezifisch und wird deshalb im Modell numerisch bestimmt [15–17].</w:t>
      </w:r>
    </w:p>
    <w:bookmarkEnd w:id="11"/>
    <w:p w14:paraId="398202E3" w14:textId="77777777" w:rsidR="00D1541E" w:rsidRPr="007128E8" w:rsidRDefault="009B6523">
      <w:pPr>
        <w:pStyle w:val="berschrift3"/>
        <w:rPr>
          <w:lang w:val="de-DE"/>
        </w:rPr>
      </w:pPr>
      <w:r>
        <w:rPr>
          <w:lang w:val="de-DE"/>
        </w:rPr>
        <w:t>3.5 Prüfbare Hypothesen zum Speicherwert</w:t>
      </w:r>
    </w:p>
    <w:p w14:paraId="4BB58FD6" w14:textId="77777777" w:rsidR="00D1541E" w:rsidRPr="007128E8" w:rsidRDefault="009B6523">
      <w:pPr>
        <w:pStyle w:val="FirstParagraph"/>
        <w:rPr>
          <w:lang w:val="de-DE"/>
        </w:rPr>
      </w:pPr>
      <w:r>
        <w:rPr>
          <w:lang w:val="de-DE"/>
        </w:rPr>
        <w:t>Der Speicher kann unter AgNes weiterhin wertvoll sein, wenn er die bestellte Kapazität reduziert; vermeidet er lediglich kurze Überschreitungen, sinkt sein netzentgeltseitiger Zusatzwert. Welche Wirkung dominiert, wird im Modell geprüft.</w:t>
      </w:r>
      <m:oMath>
        <m:r>
          <w:rPr>
            <w:rFonts w:ascii="Cambria Math" w:hAnsi="Cambria Math"/>
            <w:lang w:val="de-DE"/>
          </w:rPr>
          <m:t>h</m:t>
        </m:r>
        <m:r>
          <m:rPr>
            <m:sty m:val="p"/>
          </m:rPr>
          <w:rPr>
            <w:rFonts w:ascii="Cambria Math" w:hAnsi="Cambria Math"/>
            <w:lang w:val="de-DE"/>
          </w:rPr>
          <m:t>&gt;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KP/LP</m:t>
        </m:r>
        <m:r>
          <w:rPr>
            <w:rFonts w:ascii="Cambria Math" w:hAnsi="Cambria Math"/>
            <w:lang w:val="de-DE"/>
          </w:rPr>
          <m:t>h</m:t>
        </m:r>
        <m:r>
          <m:rPr>
            <m:sty m:val="p"/>
          </m:rPr>
          <w:rPr>
            <w:rFonts w:ascii="Cambria Math" w:hAnsi="Cambria Math"/>
            <w:lang w:val="de-DE"/>
          </w:rPr>
          <m:t>&lt;</m:t>
        </m:r>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p>
    <w:p w14:paraId="0F5BE8A0" w14:textId="77777777" w:rsidR="00D1541E" w:rsidRPr="007128E8" w:rsidRDefault="009B6523">
      <w:pPr>
        <w:pStyle w:val="berschrift2"/>
        <w:rPr>
          <w:lang w:val="de-DE"/>
        </w:rPr>
      </w:pPr>
      <w:bookmarkStart w:id="12" w:name="modell"/>
      <w:bookmarkEnd w:id="7"/>
      <w:r>
        <w:rPr>
          <w:lang w:val="de-DE"/>
        </w:rPr>
        <w:t>4 Modell</w:t>
      </w:r>
    </w:p>
    <w:p w14:paraId="53F7FA78" w14:textId="77777777" w:rsidR="00D1541E" w:rsidRPr="007128E8" w:rsidRDefault="000A697F">
      <w:pPr>
        <w:pStyle w:val="FirstParagraph"/>
        <w:rPr>
          <w:lang w:val="de-DE"/>
        </w:rPr>
      </w:pPr>
      <w:bookmarkStart w:id="13" w:name="systemgrenze"/>
      <w:r>
        <w:rPr>
          <w:lang w:val="de-DE"/>
        </w:rPr>
        <w:t>Das lineare Modell umfasst Gesamtstrombezug, Wärmepumpe, Elektrodenkessel, Gaskessel und Wärmespeicher; das Netzentgelt bezieht sich auf den Gesamtbezug. Damit sind Grundlast und Wärmeelektrifizierung im Kapazitätspreis nicht additiv separierbar.</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base,</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HP,</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EK,</m:t>
            </m:r>
            <m:r>
              <w:rPr>
                <w:rFonts w:ascii="Cambria Math" w:hAnsi="Cambria Math"/>
              </w:rPr>
              <m:t>t</m:t>
            </m:r>
          </m:sub>
        </m:sSub>
        <m:d>
          <m:dPr>
            <m:ctrlPr>
              <w:rPr>
                <w:rFonts w:ascii="Cambria Math" w:hAnsi="Cambria Math"/>
              </w:rPr>
            </m:ctrlPr>
          </m:dPr>
          <m:e>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EF,</m:t>
                </m:r>
                <m:r>
                  <w:rPr>
                    <w:rFonts w:ascii="Cambria Math" w:hAnsi="Cambria Math"/>
                  </w:rPr>
                  <m:t>t</m:t>
                </m:r>
              </m:sub>
            </m:sSub>
          </m:e>
        </m:d>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oMath>
    </w:p>
    <w:p w14:paraId="6B50BE35" w14:textId="77777777" w:rsidR="007128E8" w:rsidRDefault="007128E8" w:rsidP="007128E8">
      <w:pPr>
        <w:pStyle w:val="Blocktext"/>
        <w:jc w:val="center"/>
        <w:rPr>
          <w:b/>
          <w:bCs/>
          <w:lang w:val="de-DE"/>
        </w:rPr>
      </w:pPr>
      <w:r>
        <w:rPr>
          <w:noProof/>
        </w:rPr>
        <w:drawing>
          <wp:inline distT="0" distB="0" distL="0" distR="0" wp14:anchorId="49B859EF" wp14:editId="3AAA2FC4">
            <wp:extent cx="3981450" cy="1967867"/>
            <wp:effectExtent l="0" t="0" r="0" b="0"/>
            <wp:docPr id="1789178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78957" name=""/>
                    <pic:cNvPicPr/>
                  </pic:nvPicPr>
                  <pic:blipFill>
                    <a:blip r:embed="rId7">
                      <a:extLst>
                        <a:ext uri="{96DAC541-7B7A-43D3-8B79-37D633B846F1}">
                          <asvg:svgBlip xmlns:asvg="http://schemas.microsoft.com/office/drawing/2016/SVG/main" r:embed="rId8"/>
                        </a:ext>
                      </a:extLst>
                    </a:blip>
                    <a:stretch>
                      <a:fillRect/>
                    </a:stretch>
                  </pic:blipFill>
                  <pic:spPr>
                    <a:xfrm>
                      <a:off x="0" y="0"/>
                      <a:ext cx="3987366" cy="1970791"/>
                    </a:xfrm>
                    <a:prstGeom prst="rect">
                      <a:avLst/>
                    </a:prstGeom>
                  </pic:spPr>
                </pic:pic>
              </a:graphicData>
            </a:graphic>
          </wp:inline>
        </w:drawing>
      </w:r>
    </w:p>
    <w:p w14:paraId="139DF7AF" w14:textId="77777777" w:rsidR="00D1541E" w:rsidRPr="007128E8" w:rsidRDefault="009B6523" w:rsidP="00852142">
      <w:pPr>
        <w:pStyle w:val="Blocktext"/>
        <w:ind w:left="0" w:right="0"/>
        <w:rPr>
          <w:lang w:val="de-DE"/>
        </w:rPr>
      </w:pPr>
      <w:r>
        <w:rPr>
          <w:b/>
          <w:bCs/>
          <w:lang w:val="de-DE"/>
        </w:rPr>
        <w:lastRenderedPageBreak/>
        <w:t>Abb. 1:</w:t>
      </w:r>
      <w:r>
        <w:rPr>
          <w:lang w:val="de-DE"/>
        </w:rPr>
        <w:t xml:space="preserve"> Systemgrenze/Superstruktur: Grundlast, Wärmepumpe, Elektrodenkessel und Gaskessel speisen — über einen Wärmespeicher — ein Prozesswärmeband; das Netzentgelt gilt für den Gesamtnetzbezug.</w:t>
      </w:r>
    </w:p>
    <w:p w14:paraId="2E33B4F0" w14:textId="77777777" w:rsidR="000A697F" w:rsidRDefault="000A697F" w:rsidP="000A697F">
      <w:pPr>
        <w:pStyle w:val="FirstParagraph"/>
        <w:rPr>
          <w:rFonts w:asciiTheme="majorHAnsi" w:eastAsiaTheme="majorEastAsia" w:hAnsiTheme="majorHAnsi" w:cstheme="majorBidi"/>
          <w:b/>
          <w:bCs/>
          <w:color w:val="4F81BD" w:themeColor="accent1"/>
          <w:lang w:val="de-DE"/>
        </w:rPr>
      </w:pPr>
      <w:bookmarkStart w:id="14" w:name="temperaturbänder"/>
      <w:bookmarkEnd w:id="13"/>
      <w:r>
        <w:rPr>
          <w:bCs/>
          <w:lang w:val="de-DE"/>
        </w:rPr>
        <w:t>Modelliert werden ein Niedertemperaturband (≤100 °C) mit Wärmepumpe, Elektrodenkessel, Gaskessel und Speicher sowie ein Hochtemperaturband (100–250 °C), in dem die Wärmepumpe nur zur Vorwärmung beiträgt. Ein separates &gt;500-°C-Band wird mangels belastbarer Bandtrennung nicht angesetzt.</w:t>
      </w:r>
      <m:oMath>
        <m:sSub>
          <m:sSubPr>
            <m:ctrlPr>
              <w:rPr>
                <w:rFonts w:ascii="Cambria Math" w:hAnsi="Cambria Math"/>
              </w:rPr>
            </m:ctrlPr>
          </m:sSubPr>
          <m:e>
            <m:r>
              <w:rPr>
                <w:rFonts w:ascii="Cambria Math" w:hAnsi="Cambria Math"/>
              </w:rPr>
              <m:t>q</m:t>
            </m:r>
          </m:e>
          <m:sub>
            <m:r>
              <m:rPr>
                <m:sty m:val="p"/>
              </m:rPr>
              <w:rPr>
                <w:rFonts w:ascii="Cambria Math" w:hAnsi="Cambria Math"/>
                <w:lang w:val="de-DE"/>
              </w:rPr>
              <m:t>HP,pre,</m:t>
            </m:r>
            <m:r>
              <w:rPr>
                <w:rFonts w:ascii="Cambria Math" w:hAnsi="Cambria Math"/>
              </w:rPr>
              <m:t>t</m:t>
            </m:r>
          </m:sub>
        </m:sSub>
        <m:r>
          <m:rPr>
            <m:sty m:val="p"/>
          </m:rPr>
          <w:rPr>
            <w:rFonts w:ascii="Cambria Math" w:hAnsi="Cambria Math"/>
            <w:lang w:val="de-DE"/>
          </w:rPr>
          <m:t>≤</m:t>
        </m:r>
        <m:r>
          <w:rPr>
            <w:rFonts w:ascii="Cambria Math" w:hAnsi="Cambria Math"/>
          </w:rPr>
          <m:t>κ</m:t>
        </m:r>
        <m:r>
          <w:rPr>
            <w:rFonts w:ascii="Cambria Math" w:hAnsi="Cambria Math"/>
            <w:lang w:val="de-DE"/>
          </w:rPr>
          <m:t> </m:t>
        </m:r>
        <m:sSub>
          <m:sSubPr>
            <m:ctrlPr>
              <w:rPr>
                <w:rFonts w:ascii="Cambria Math" w:hAnsi="Cambria Math"/>
              </w:rPr>
            </m:ctrlPr>
          </m:sSubPr>
          <m:e>
            <m:r>
              <w:rPr>
                <w:rFonts w:ascii="Cambria Math" w:hAnsi="Cambria Math"/>
              </w:rPr>
              <m:t>Q</m:t>
            </m:r>
          </m:e>
          <m:sub>
            <m:r>
              <m:rPr>
                <m:sty m:val="p"/>
              </m:rPr>
              <w:rPr>
                <w:rFonts w:ascii="Cambria Math" w:hAnsi="Cambria Math"/>
                <w:lang w:val="de-DE"/>
              </w:rPr>
              <m:t>HT,</m:t>
            </m:r>
            <m:r>
              <w:rPr>
                <w:rFonts w:ascii="Cambria Math" w:hAnsi="Cambria Math"/>
              </w:rPr>
              <m:t>t</m:t>
            </m:r>
          </m:sub>
        </m:sSub>
        <m:sSub>
          <m:sSubPr>
            <m:ctrlPr>
              <w:rPr>
                <w:rFonts w:ascii="Cambria Math" w:hAnsi="Cambria Math"/>
              </w:rPr>
            </m:ctrlPr>
          </m:sSubPr>
          <m:e>
            <m:r>
              <m:rPr>
                <m:sty m:val="p"/>
              </m:rPr>
              <w:rPr>
                <w:rFonts w:ascii="Cambria Math" w:hAnsi="Cambria Math"/>
                <w:lang w:val="de-DE"/>
              </w:rPr>
              <m:t>COP</m:t>
            </m:r>
          </m:e>
          <m:sub>
            <m:r>
              <m:rPr>
                <m:sty m:val="p"/>
              </m:rPr>
              <w:rPr>
                <w:rFonts w:ascii="Cambria Math" w:hAnsi="Cambria Math"/>
                <w:lang w:val="de-DE"/>
              </w:rPr>
              <m:t>pre</m:t>
            </m:r>
          </m:sub>
        </m:sSub>
      </m:oMath>
      <w:bookmarkStart w:id="15" w:name="modellklasse"/>
      <w:bookmarkEnd w:id="14"/>
    </w:p>
    <w:p w14:paraId="10B13627" w14:textId="77777777" w:rsidR="00D1541E" w:rsidRDefault="000A697F" w:rsidP="000A697F">
      <w:pPr>
        <w:pStyle w:val="FirstParagraph"/>
        <w:rPr>
          <w:lang w:val="de-DE"/>
        </w:rPr>
      </w:pPr>
      <w:r>
        <w:rPr>
          <w:lang w:val="de-DE"/>
        </w:rPr>
        <w:t>Das Modell ist ein kontinuierliches LP mit Perfect Foresight, 15-min-Auflösung, einem Kalenderjahr und zyklisch geschlossenem Speicher. Zeitreihen werden nicht aggregiert [11]. Die kontinuierliche Formulierung bleibt wegen der zugrunde liegenden Monotonie ohne Binärvariablen LP-exakt.</w:t>
      </w:r>
      <m:oMath>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=min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lang w:val="de-DE"/>
              </w:rPr>
              <m:t>,</m:t>
            </m:r>
            <m:r>
              <w:rPr>
                <w:rFonts w:ascii="Cambria Math" w:hAnsi="Cambria Math"/>
              </w:rPr>
              <m:t>C</m:t>
            </m:r>
          </m:e>
        </m:d>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r>
          <w:rPr>
            <w:rFonts w:ascii="Cambria Math" w:hAnsi="Cambria Math"/>
          </w:rPr>
          <m:t>C</m:t>
        </m:r>
        <m:sSub>
          <m:sSubPr>
            <m:ctrlPr>
              <w:rPr>
                <w:rFonts w:ascii="Cambria Math" w:hAnsi="Cambria Math"/>
              </w:rPr>
            </m:ctrlPr>
          </m:sSubPr>
          <m:e>
            <m:r>
              <w:rPr>
                <w:rFonts w:ascii="Cambria Math" w:hAnsi="Cambria Math"/>
              </w:rPr>
              <m:t>P</m:t>
            </m:r>
          </m:e>
          <m:sub>
            <m:r>
              <w:rPr>
                <w:rFonts w:ascii="Cambria Math" w:hAnsi="Cambria Math"/>
                <w:lang w:val="de-DE"/>
              </w:rPr>
              <m:t>1</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lang w:val="de-DE"/>
              </w:rPr>
              <m:t>2</m:t>
            </m:r>
            <m:r>
              <m:rPr>
                <m:sty m:val="p"/>
              </m:rPr>
              <w:rPr>
                <w:rFonts w:ascii="Cambria Math" w:hAnsi="Cambria Math"/>
                <w:lang w:val="de-DE"/>
              </w:rPr>
              <m:t>,</m:t>
            </m:r>
            <m:r>
              <w:rPr>
                <w:rFonts w:ascii="Cambria Math" w:hAnsi="Cambria Math"/>
              </w:rPr>
              <m:t>t</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t</m:t>
            </m:r>
          </m:sub>
        </m:sSub>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&gt;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oMath>
      <w:bookmarkStart w:id="16" w:name="zielfunktion"/>
      <w:bookmarkEnd w:id="15"/>
    </w:p>
    <w:p w14:paraId="79773D46" w14:textId="77777777" w:rsidR="00D1541E" w:rsidRPr="007128E8" w:rsidRDefault="000A697F" w:rsidP="000A697F">
      <w:pPr>
        <w:pStyle w:val="Textkrper"/>
        <w:rPr>
          <w:lang w:val="de-DE"/>
        </w:rPr>
      </w:pPr>
      <w:r>
        <w:rPr>
          <w:lang w:val="de-DE"/>
        </w:rPr>
        <w:t>Minimiert werden annuisiertes CAPEX, Strom-, Gas-, CO₂-, Netzentgelt- und fixe O&amp;M-Kosten [13, 14, 25, 26]. AgNes und StromNEV werden nach den in Abschnitt 2 beschriebenen Tarifregeln abgebildet; für StromNEV wird nur Regimekonsistenz verlangt, nicht Exaktheit der Abbildung.</w:t>
      </w:r>
    </w:p>
    <w:p w14:paraId="6E768EBA" w14:textId="77777777" w:rsidR="00E171F2" w:rsidRDefault="009B6523">
      <w:pPr>
        <w:pStyle w:val="FirstParagraph"/>
        <w:rPr>
          <w:lang w:val="de-DE"/>
        </w:rPr>
      </w:pPr>
      <w:bookmarkStart w:id="17" w:name="entgeltregime"/>
      <w:bookmarkEnd w:id="16"/>
      <w:r>
        <w:rPr>
          <w:b/>
          <w:bCs/>
          <w:lang w:val="de-DE"/>
        </w:rPr>
        <w:t>AgNes:</w:t>
      </w:r>
      <w:r>
        <w:rPr>
          <w:lang w:val="de-DE"/>
        </w:rPr>
        <w:t xml:space="preserve"> </w:t>
      </w:r>
      <m:oMath>
        <m:r>
          <w:rPr>
            <w:rFonts w:ascii="Cambria Math" w:hAnsi="Cambria Math"/>
          </w:rPr>
          <m:t>F</m:t>
        </m:r>
        <m:r>
          <m:rPr>
            <m:sty m:val="p"/>
          </m:rPr>
          <w:rPr>
            <w:rFonts w:ascii="Cambria Math" w:hAnsi="Cambria Math"/>
            <w:lang w:val="de-DE"/>
          </w:rPr>
          <m:t>=KP</m:t>
        </m:r>
        <m:r>
          <w:rPr>
            <w:rFonts w:ascii="Cambria Math" w:hAnsi="Cambria Math"/>
            <w:lang w:val="de-DE"/>
          </w:rPr>
          <m:t> </m:t>
        </m:r>
        <m:r>
          <w:rPr>
            <w:rFonts w:ascii="Cambria Math" w:hAnsi="Cambria Math"/>
          </w:rPr>
          <m:t>C</m:t>
        </m:r>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sSub>
          <m:sSubPr>
            <m:ctrlPr>
              <w:rPr>
                <w:rFonts w:ascii="Cambria Math" w:hAnsi="Cambria Math"/>
              </w:rPr>
            </m:ctrlPr>
          </m:sSubPr>
          <m:e>
            <m:r>
              <w:rPr>
                <w:rFonts w:ascii="Cambria Math" w:hAnsi="Cambria Math"/>
              </w:rPr>
              <m:t>E</m:t>
            </m:r>
          </m:e>
          <m:sub>
            <m:r>
              <w:rPr>
                <w:rFonts w:ascii="Cambria Math" w:hAnsi="Cambria Math"/>
                <w:lang w:val="de-DE"/>
              </w:rPr>
              <m:t>1</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Pr>
          <w:lang w:val="de-DE"/>
        </w:rPr>
        <w:t xml:space="preserve"> mit </w:t>
      </w:r>
      <m:oMath>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r>
          <w:rPr>
            <w:rFonts w:ascii="Cambria Math" w:hAnsi="Cambria Math"/>
          </w:rPr>
          <m:t>C</m:t>
        </m:r>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oMath>
      <w:r>
        <w:rPr>
          <w:lang w:val="de-DE"/>
        </w:rPr>
        <w:t xml:space="preserve">. </w:t>
      </w:r>
    </w:p>
    <w:p w14:paraId="554E6FC7" w14:textId="77777777" w:rsidR="00D1541E" w:rsidRPr="0013020A" w:rsidRDefault="009B6523" w:rsidP="00C32AAD">
      <w:pPr>
        <w:pStyle w:val="FirstParagraph"/>
        <w:rPr>
          <w:lang w:val="de-DE"/>
        </w:rPr>
      </w:pPr>
      <w:r>
        <w:rPr>
          <w:b/>
          <w:bCs/>
          <w:lang w:val="de-DE"/>
        </w:rPr>
        <w:t>StromNEV:</w:t>
      </w:r>
      <w:r>
        <w:rPr>
          <w:lang w:val="de-DE"/>
        </w:rPr>
        <w:t xml:space="preserve"> je Tarifpaar ein Leistungspreis, anschließend Konsistenzprüfung (</w:t>
      </w:r>
      <m:oMath>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max</m:t>
            </m:r>
          </m:e>
          <m:sub>
            <m:r>
              <w:rPr>
                <w:rFonts w:ascii="Cambria Math" w:hAnsi="Cambria Math"/>
              </w:rPr>
              <m:t>t</m:t>
            </m:r>
          </m:sub>
        </m:sSub>
        <m:sSub>
          <m:sSubPr>
            <m:ctrlPr>
              <w:rPr>
                <w:rFonts w:ascii="Cambria Math" w:hAnsi="Cambria Math"/>
              </w:rPr>
            </m:ctrlPr>
          </m:sSubPr>
          <m:e>
            <m:r>
              <w:rPr>
                <w:rFonts w:ascii="Cambria Math" w:hAnsi="Cambria Math"/>
              </w:rPr>
              <m:t>P</m:t>
            </m:r>
          </m:e>
          <m:sub>
            <m:r>
              <w:rPr>
                <w:rFonts w:ascii="Cambria Math" w:hAnsi="Cambria Math"/>
              </w:rPr>
              <m:t>t</m:t>
            </m:r>
          </m:sub>
        </m:sSub>
      </m:oMath>
      <w:r>
        <w:rPr>
          <w:lang w:val="de-DE"/>
        </w:rPr>
        <w:t xml:space="preserve">; realisierte Benutzungsdauer im zum Paar gehörenden Bereich). Nur konsistente Läufe werden gewertet; Mehrdeutigkeit wird als </w:t>
      </w:r>
      <w:r>
        <w:rPr>
          <w:rStyle w:val="VerbatimChar"/>
          <w:lang w:val="de-DE"/>
        </w:rPr>
        <w:t>tariff_ambiguous</w:t>
      </w:r>
      <w:r>
        <w:rPr>
          <w:lang w:val="de-DE"/>
        </w:rPr>
        <w:t xml:space="preserve"> berichtet. Für die StromNEV-Abbildung wird ausdrücklich </w:t>
      </w:r>
      <w:r>
        <w:rPr>
          <w:bCs/>
          <w:lang w:val="de-DE"/>
        </w:rPr>
        <w:t>kein Exaktheitsanspruch</w:t>
      </w:r>
      <w:r>
        <w:rPr>
          <w:lang w:val="de-DE"/>
        </w:rPr>
        <w:t xml:space="preserve"> erhoben, sondern Vergleichbarkeit auf Regimeebene angestrebt.</w:t>
      </w:r>
    </w:p>
    <w:p w14:paraId="3D230906" w14:textId="77777777" w:rsidR="00822935" w:rsidRPr="00822935" w:rsidRDefault="00822935" w:rsidP="00822935">
      <w:pPr>
        <w:pStyle w:val="FirstParagraph"/>
        <w:rPr>
          <w:lang w:val="de-DE"/>
        </w:rPr>
      </w:pPr>
      <w:bookmarkStart w:id="18" w:name="untersuchungsdesign-fälle-und-daten"/>
      <w:bookmarkEnd w:id="12"/>
      <w:bookmarkEnd w:id="17"/>
      <w:r>
        <w:rPr>
          <w:lang w:val="de-DE"/>
        </w:rPr>
        <w:t>Die Fallstudie umfasst vier gemessene Fabriklastgänge aus Lebensmittel, Chemie, Metall und Papier. Drei Fälle verwenden 2023, der Chemiefall 2024; Vergleiche erfolgen daher primär innerhalb des jeweiligen Standorts.</w:t>
      </w:r>
    </w:p>
    <w:p w14:paraId="041DFBF5" w14:textId="77777777" w:rsidR="00822935" w:rsidRPr="00822935" w:rsidRDefault="00822935" w:rsidP="00822935">
      <w:pPr>
        <w:pStyle w:val="FirstParagraph"/>
        <w:rPr>
          <w:lang w:val="de-DE"/>
        </w:rPr>
      </w:pPr>
      <w:r>
        <w:rPr>
          <w:lang w:val="de-DE"/>
        </w:rPr>
        <w:t>Stundenpreise werden auf die 15-min-Intervalle repliziert; dies unterschätzt mögliche Intraday-Arbitrage. Die Spannungsebene wird aus der Ist-Höchstlast bestimmt und fixiert. Bandanteile werden prozessbasiert zugeordnet und mit ±10 Prozentpunkten variiert.</w:t>
      </w:r>
    </w:p>
    <w:p w14:paraId="0D579224" w14:textId="77777777" w:rsidR="00822935" w:rsidRPr="00822935" w:rsidRDefault="00822935" w:rsidP="00822935">
      <w:pPr>
        <w:pStyle w:val="FirstParagraph"/>
        <w:rPr>
          <w:lang w:val="de-DE"/>
        </w:rPr>
      </w:pPr>
      <w:r>
        <w:rPr>
          <w:lang w:val="de-DE"/>
        </w:rPr>
        <w:t>Die Kostenwirkung wird in evaluate (Auslegung und Betrieb fix), redispatch (Auslegung fix, Betrieb frei) und optimize (alles frei) zerlegt. Zusätzlich wird ein 2×2-Design aus {StromNEV, AgNes} × {Fixpreis, Day-Ahead} gerechnet; der Interaktionsterm ist eine deterministische Szenariodifferenz.</w:t>
      </w:r>
      <m:oMath>
        <m:sSub>
          <m:sSubPr>
            <m:ctrlPr>
              <w:rPr>
                <w:rFonts w:ascii="Cambria Math" w:hAnsi="Cambria Math"/>
              </w:rPr>
            </m:ctrlPr>
          </m:sSubPr>
          <m:e>
            <m:r>
              <w:rPr>
                <w:rFonts w:ascii="Cambria Math" w:hAnsi="Cambria Math"/>
              </w:rPr>
              <m:t>Δ</m:t>
            </m:r>
          </m:e>
          <m:sub>
            <m:r>
              <m:rPr>
                <m:sty m:val="p"/>
              </m:rPr>
              <w:rPr>
                <w:rFonts w:ascii="Cambria Math" w:hAnsi="Cambria Math"/>
                <w:lang w:val="de-DE"/>
              </w:rPr>
              <m:t>total</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mech</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disp</m:t>
            </m:r>
          </m:sub>
        </m:sSub>
        <m:r>
          <m:rPr>
            <m:sty m:val="p"/>
          </m:rPr>
          <w:rPr>
            <w:rFonts w:ascii="Cambria Math" w:hAnsi="Cambria Math"/>
            <w:lang w:val="de-DE"/>
          </w:rPr>
          <m:t>+</m:t>
        </m:r>
        <m:sSub>
          <m:sSubPr>
            <m:ctrlPr>
              <w:rPr>
                <w:rFonts w:ascii="Cambria Math" w:hAnsi="Cambria Math"/>
              </w:rPr>
            </m:ctrlPr>
          </m:sSubPr>
          <m:e>
            <m:r>
              <w:rPr>
                <w:rFonts w:ascii="Cambria Math" w:hAnsi="Cambria Math"/>
              </w:rPr>
              <m:t>Δ</m:t>
            </m:r>
          </m:e>
          <m:sub>
            <m:r>
              <m:rPr>
                <m:sty m:val="p"/>
              </m:rPr>
              <w:rPr>
                <w:rFonts w:ascii="Cambria Math" w:hAnsi="Cambria Math"/>
                <w:lang w:val="de-DE"/>
              </w:rPr>
              <m:t>design</m:t>
            </m:r>
          </m:sub>
        </m:sSub>
        <m:sSub>
          <m:sSubPr>
            <m:ctrlPr>
              <w:rPr>
                <w:rFonts w:ascii="Cambria Math" w:hAnsi="Cambria Math"/>
              </w:rPr>
            </m:ctrlPr>
          </m:sSubPr>
          <m:e>
            <m:r>
              <w:rPr>
                <w:rFonts w:ascii="Cambria Math" w:hAnsi="Cambria Math"/>
              </w:rPr>
              <m:t>Δ</m:t>
            </m:r>
          </m:e>
          <m:sub>
            <m:r>
              <m:rPr>
                <m:sty m:val="p"/>
              </m:rPr>
              <w:rPr>
                <w:rFonts w:ascii="Cambria Math" w:hAnsi="Cambria Math"/>
                <w:lang w:val="de-DE"/>
              </w:rPr>
              <m:t>inter</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10</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01</m:t>
            </m:r>
          </m:sub>
        </m:sSub>
        <m:r>
          <m:rPr>
            <m:sty m:val="p"/>
          </m:rP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lang w:val="de-DE"/>
              </w:rPr>
              <m:t>00</m:t>
            </m:r>
          </m:sub>
        </m:sSub>
      </m:oMath>
    </w:p>
    <w:p w14:paraId="738E2207" w14:textId="77777777" w:rsidR="00822935" w:rsidRPr="00822935" w:rsidRDefault="00822935" w:rsidP="00822935">
      <w:pPr>
        <w:pStyle w:val="FirstParagraph"/>
        <w:rPr>
          <w:lang w:val="de-DE"/>
        </w:rPr>
      </w:pPr>
      <w:r>
        <w:rPr>
          <w:lang w:val="de-DE"/>
        </w:rPr>
        <w:t>Das Kostenmaß ist inkrementell: BASE beschreibt denselben Standort ohne modellierte Wärmeversorgung im gleichen Regime. Eine verursachungsgerechte Aufteilung des Kapazitätspreises auf Grund- und Wärmelast ist nicht möglich.</w:t>
      </w:r>
      <m:oMath>
        <m:sSub>
          <m:sSubPr>
            <m:ctrlPr>
              <w:rPr>
                <w:rFonts w:ascii="Cambria Math" w:hAnsi="Cambria Math"/>
              </w:rPr>
            </m:ctrlPr>
          </m:sSubPr>
          <m:e>
            <m:r>
              <m:rPr>
                <m:sty m:val="p"/>
              </m:rPr>
              <w:rPr>
                <w:rFonts w:ascii="Cambria Math" w:hAnsi="Cambria Math"/>
                <w:lang w:val="de-DE"/>
              </w:rPr>
              <m:t>LCOH</m:t>
            </m:r>
          </m:e>
          <m:sub>
            <m:r>
              <m:rPr>
                <m:sty m:val="p"/>
              </m:rPr>
              <w:rPr>
                <w:rFonts w:ascii="Cambria Math" w:hAnsi="Cambria Math"/>
                <w:lang w:val="de-DE"/>
              </w:rPr>
              <m:t>inc</m:t>
            </m:r>
          </m:sub>
        </m:sSub>
        <m:r>
          <m:rPr>
            <m:sty m:val="p"/>
          </m:rPr>
          <w:rPr>
            <w:rFonts w:ascii="Cambria Math" w:hAnsi="Cambria Math"/>
            <w:lang w:val="de-DE"/>
          </w:rPr>
          <m:t>=</m:t>
        </m:r>
        <m:d>
          <m:dPr>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lang w:val="de-DE"/>
                  </w:rPr>
                  <m:t>site</m:t>
                </m:r>
              </m:sub>
            </m:sSub>
            <m:r>
              <m:rPr>
                <m:sty m:val="p"/>
              </m:rPr>
              <w:rPr>
                <w:rFonts w:ascii="Cambria Math" w:hAnsi="Cambria Math"/>
                <w:lang w:val="de-DE"/>
              </w:rPr>
              <m:t>-</m:t>
            </m:r>
            <m:sSub>
              <m:sSubPr>
                <m:ctrlPr>
                  <w:rPr>
                    <w:rFonts w:ascii="Cambria Math" w:hAnsi="Cambria Math"/>
                  </w:rPr>
                </m:ctrlPr>
              </m:sSubPr>
              <m:e>
                <m:r>
                  <w:rPr>
                    <w:rFonts w:ascii="Cambria Math" w:hAnsi="Cambria Math"/>
                  </w:rPr>
                  <m:t>K</m:t>
                </m:r>
              </m:e>
              <m:sub>
                <m:r>
                  <m:rPr>
                    <m:sty m:val="p"/>
                  </m:rPr>
                  <w:rPr>
                    <w:rFonts w:ascii="Cambria Math" w:hAnsi="Cambria Math"/>
                    <w:lang w:val="de-DE"/>
                  </w:rPr>
                  <m:t>base</m:t>
                </m:r>
              </m:sub>
            </m:sSub>
          </m:e>
        </m:d>
        <m:r>
          <m:rPr>
            <m:sty m:val="p"/>
          </m:rPr>
          <w:rPr>
            <w:rFonts w:ascii="Cambria Math" w:hAnsi="Cambria Math"/>
            <w:lang w:val="de-DE"/>
          </w:rPr>
          <m:t>/</m:t>
        </m:r>
        <m:sSub>
          <m:sSubPr>
            <m:ctrlPr>
              <w:rPr>
                <w:rFonts w:ascii="Cambria Math" w:hAnsi="Cambria Math"/>
              </w:rPr>
            </m:ctrlPr>
          </m:sSubPr>
          <m:e>
            <m:r>
              <w:rPr>
                <w:rFonts w:ascii="Cambria Math" w:hAnsi="Cambria Math"/>
              </w:rPr>
              <m:t>Q</m:t>
            </m:r>
          </m:e>
          <m:sub>
            <m:r>
              <m:rPr>
                <m:sty m:val="p"/>
              </m:rPr>
              <w:rPr>
                <w:rFonts w:ascii="Cambria Math" w:hAnsi="Cambria Math"/>
                <w:lang w:val="de-DE"/>
              </w:rPr>
              <m:t>useful</m:t>
            </m:r>
          </m:sub>
        </m:sSub>
      </m:oMath>
    </w:p>
    <w:p w14:paraId="2EBC542A" w14:textId="77777777" w:rsidR="00D1541E" w:rsidRPr="007128E8" w:rsidRDefault="009B6523">
      <w:pPr>
        <w:pStyle w:val="Textkrper"/>
        <w:rPr>
          <w:lang w:val="de-DE"/>
        </w:rPr>
      </w:pPr>
      <w:bookmarkStart w:id="19" w:name="kostenmaß"/>
      <w:r>
        <w:rPr>
          <w:b/>
          <w:bCs/>
          <w:lang w:val="de-DE"/>
        </w:rPr>
        <w:t>Tab. 3: Standortübersicht.</w:t>
      </w:r>
      <w:r>
        <w:rPr>
          <w:lang w:val="de-DE"/>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oMath>
      <w:r>
        <w:rPr>
          <w:lang w:val="de-DE"/>
        </w:rPr>
        <w:t xml:space="preserve"> (Vorjahreshöchstlast an derselben Messgrenze) entspricht in allen vier Fällen der gemessenen Grundlast-Höchstlast; kein Standort weist im Modell ein separat modelliertes Sehr-Hochtemperatur-Band auf (vgl. 4.2/8.4).</w:t>
      </w:r>
    </w:p>
    <w:tbl>
      <w:tblPr>
        <w:tblStyle w:val="Table"/>
        <w:tblW w:w="5000" w:type="pct"/>
        <w:tblLayout w:type="fixed"/>
        <w:tblLook w:val="0020" w:firstRow="1" w:lastRow="0" w:firstColumn="0" w:lastColumn="0" w:noHBand="0" w:noVBand="0"/>
      </w:tblPr>
      <w:tblGrid>
        <w:gridCol w:w="1763"/>
        <w:gridCol w:w="972"/>
        <w:gridCol w:w="276"/>
        <w:gridCol w:w="513"/>
        <w:gridCol w:w="736"/>
        <w:gridCol w:w="441"/>
        <w:gridCol w:w="392"/>
        <w:gridCol w:w="785"/>
        <w:gridCol w:w="254"/>
        <w:gridCol w:w="922"/>
        <w:gridCol w:w="169"/>
        <w:gridCol w:w="1007"/>
        <w:gridCol w:w="84"/>
        <w:gridCol w:w="1092"/>
      </w:tblGrid>
      <w:tr w:rsidR="00D1541E" w:rsidRPr="00213EF9" w14:paraId="390497B4" w14:textId="77777777" w:rsidTr="00213EF9">
        <w:trPr>
          <w:cnfStyle w:val="100000000000" w:firstRow="1" w:lastRow="0" w:firstColumn="0" w:lastColumn="0" w:oddVBand="0" w:evenVBand="0" w:oddHBand="0" w:evenHBand="0" w:firstRowFirstColumn="0" w:firstRowLastColumn="0" w:lastRowFirstColumn="0" w:lastRowLastColumn="0"/>
          <w:tblHeader/>
        </w:trPr>
        <w:tc>
          <w:tcPr>
            <w:tcW w:w="1809" w:type="dxa"/>
          </w:tcPr>
          <w:p w14:paraId="09F59F36" w14:textId="77777777" w:rsidR="00D1541E" w:rsidRPr="00213EF9" w:rsidRDefault="009B6523">
            <w:pPr>
              <w:pStyle w:val="Compact"/>
              <w:rPr>
                <w:sz w:val="18"/>
                <w:szCs w:val="18"/>
              </w:rPr>
            </w:pPr>
            <w:r>
              <w:rPr>
                <w:sz w:val="18"/>
                <w:szCs w:val="18"/>
              </w:rPr>
              <w:t>Standort</w:t>
            </w:r>
          </w:p>
        </w:tc>
        <w:tc>
          <w:tcPr>
            <w:tcW w:w="1276" w:type="dxa"/>
            <w:gridSpan w:val="2"/>
          </w:tcPr>
          <w:p w14:paraId="2EE986D4" w14:textId="77777777" w:rsidR="00D1541E" w:rsidRPr="00213EF9" w:rsidRDefault="009B6523">
            <w:pPr>
              <w:pStyle w:val="Compact"/>
              <w:rPr>
                <w:sz w:val="18"/>
                <w:szCs w:val="18"/>
              </w:rPr>
            </w:pPr>
            <w:r>
              <w:rPr>
                <w:sz w:val="18"/>
                <w:szCs w:val="18"/>
              </w:rPr>
              <w:t>Wärmebed. [MWh_th/a]</w:t>
            </w:r>
          </w:p>
        </w:tc>
        <w:tc>
          <w:tcPr>
            <w:tcW w:w="1276" w:type="dxa"/>
            <w:gridSpan w:val="2"/>
          </w:tcPr>
          <w:p w14:paraId="4FE62CEF" w14:textId="77777777" w:rsidR="00D1541E" w:rsidRPr="00213EF9" w:rsidRDefault="009B6523">
            <w:pPr>
              <w:pStyle w:val="Compact"/>
              <w:rPr>
                <w:sz w:val="18"/>
                <w:szCs w:val="18"/>
              </w:rPr>
            </w:pPr>
            <w:r>
              <w:rPr>
                <w:sz w:val="18"/>
                <w:szCs w:val="18"/>
              </w:rPr>
              <w:t>Wärme-Peak [MW_th]</w:t>
            </w:r>
          </w:p>
        </w:tc>
        <w:tc>
          <w:tcPr>
            <w:tcW w:w="850" w:type="dxa"/>
            <w:gridSpan w:val="2"/>
          </w:tcPr>
          <w:p w14:paraId="4C56B653" w14:textId="77777777" w:rsidR="00D1541E" w:rsidRPr="00213EF9" w:rsidRDefault="009B6523">
            <w:pPr>
              <w:pStyle w:val="Compact"/>
              <w:rPr>
                <w:sz w:val="18"/>
                <w:szCs w:val="18"/>
              </w:rPr>
            </w:pPr>
            <w:r>
              <w:rPr>
                <w:sz w:val="18"/>
                <w:szCs w:val="18"/>
              </w:rPr>
              <w:t>Volllast-h [h/a]</w:t>
            </w:r>
          </w:p>
        </w:tc>
        <w:tc>
          <w:tcPr>
            <w:tcW w:w="1062" w:type="dxa"/>
            <w:gridSpan w:val="2"/>
          </w:tcPr>
          <w:p w14:paraId="359D5E67" w14:textId="77777777" w:rsidR="00D1541E" w:rsidRPr="00213EF9" w:rsidRDefault="009B6523">
            <w:pPr>
              <w:pStyle w:val="Compact"/>
              <w:rPr>
                <w:sz w:val="18"/>
                <w:szCs w:val="18"/>
              </w:rPr>
            </w:pPr>
            <w:r>
              <w:rPr>
                <w:sz w:val="18"/>
                <w:szCs w:val="18"/>
              </w:rPr>
              <w:t>Grundlast Ø [kW]</w:t>
            </w:r>
          </w:p>
        </w:tc>
        <w:tc>
          <w:tcPr>
            <w:tcW w:w="1116" w:type="dxa"/>
            <w:gridSpan w:val="2"/>
          </w:tcPr>
          <w:p w14:paraId="713B5D7F" w14:textId="77777777" w:rsidR="00D1541E" w:rsidRPr="00213EF9" w:rsidRDefault="009B6523">
            <w:pPr>
              <w:pStyle w:val="Compact"/>
              <w:rPr>
                <w:sz w:val="18"/>
                <w:szCs w:val="18"/>
              </w:rPr>
            </w:pPr>
            <w:r>
              <w:rPr>
                <w:sz w:val="18"/>
                <w:szCs w:val="18"/>
              </w:rPr>
              <w:t>Grundlast max [kW]</w:t>
            </w:r>
          </w:p>
        </w:tc>
        <w:tc>
          <w:tcPr>
            <w:tcW w:w="1116" w:type="dxa"/>
            <w:gridSpan w:val="2"/>
          </w:tcPr>
          <w:p w14:paraId="0D7EC74D" w14:textId="77777777" w:rsidR="00D1541E" w:rsidRPr="00213EF9" w:rsidRDefault="009B6523">
            <w:pPr>
              <w:pStyle w:val="Compact"/>
              <w:rPr>
                <w:sz w:val="18"/>
                <w:szCs w:val="18"/>
              </w:rPr>
            </w:pPr>
            <w:r>
              <w:rPr>
                <w:sz w:val="18"/>
                <w:szCs w:val="18"/>
              </w:rPr>
              <w:t>Ebene</w:t>
            </w:r>
          </w:p>
        </w:tc>
        <w:tc>
          <w:tcPr>
            <w:tcW w:w="1117" w:type="dxa"/>
          </w:tcPr>
          <w:p w14:paraId="53B099AE" w14:textId="77777777" w:rsidR="00D1541E" w:rsidRPr="00213EF9" w:rsidRDefault="009B6523">
            <w:pPr>
              <w:pStyle w:val="Compact"/>
              <w:rPr>
                <w:sz w:val="18"/>
                <w:szCs w:val="18"/>
              </w:rPr>
            </w:pPr>
            <w:r>
              <w:rPr>
                <w:sz w:val="18"/>
                <w:szCs w:val="18"/>
              </w:rPr>
              <w:t>Jahr</w:t>
            </w:r>
          </w:p>
        </w:tc>
      </w:tr>
      <w:tr w:rsidR="00D1541E" w:rsidRPr="00213EF9" w14:paraId="02FEA067" w14:textId="77777777" w:rsidTr="00213EF9">
        <w:tc>
          <w:tcPr>
            <w:tcW w:w="1809" w:type="dxa"/>
          </w:tcPr>
          <w:p w14:paraId="003CB906" w14:textId="77777777" w:rsidR="00D1541E" w:rsidRPr="00213EF9" w:rsidRDefault="009B6523">
            <w:pPr>
              <w:pStyle w:val="Compact"/>
              <w:rPr>
                <w:sz w:val="18"/>
                <w:szCs w:val="18"/>
              </w:rPr>
            </w:pPr>
            <w:r>
              <w:rPr>
                <w:sz w:val="18"/>
                <w:szCs w:val="18"/>
              </w:rPr>
              <w:t>Lebensmittelunternehmen (Schwarzwald)</w:t>
            </w:r>
          </w:p>
        </w:tc>
        <w:tc>
          <w:tcPr>
            <w:tcW w:w="1276" w:type="dxa"/>
            <w:gridSpan w:val="2"/>
          </w:tcPr>
          <w:p w14:paraId="3492CC7C" w14:textId="77777777" w:rsidR="00D1541E" w:rsidRPr="00213EF9" w:rsidRDefault="009B6523">
            <w:pPr>
              <w:pStyle w:val="Compact"/>
              <w:rPr>
                <w:sz w:val="18"/>
                <w:szCs w:val="18"/>
              </w:rPr>
            </w:pPr>
            <w:r>
              <w:rPr>
                <w:sz w:val="18"/>
                <w:szCs w:val="18"/>
              </w:rPr>
              <w:t>75.046,4</w:t>
            </w:r>
          </w:p>
        </w:tc>
        <w:tc>
          <w:tcPr>
            <w:tcW w:w="1276" w:type="dxa"/>
            <w:gridSpan w:val="2"/>
          </w:tcPr>
          <w:p w14:paraId="7EBB7874" w14:textId="77777777" w:rsidR="00D1541E" w:rsidRPr="00213EF9" w:rsidRDefault="009B6523">
            <w:pPr>
              <w:pStyle w:val="Compact"/>
              <w:rPr>
                <w:sz w:val="18"/>
                <w:szCs w:val="18"/>
              </w:rPr>
            </w:pPr>
            <w:r>
              <w:rPr>
                <w:sz w:val="18"/>
                <w:szCs w:val="18"/>
              </w:rPr>
              <w:t>18,84</w:t>
            </w:r>
          </w:p>
        </w:tc>
        <w:tc>
          <w:tcPr>
            <w:tcW w:w="850" w:type="dxa"/>
            <w:gridSpan w:val="2"/>
          </w:tcPr>
          <w:p w14:paraId="7908E655" w14:textId="77777777" w:rsidR="00D1541E" w:rsidRPr="00213EF9" w:rsidRDefault="009B6523">
            <w:pPr>
              <w:pStyle w:val="Compact"/>
              <w:rPr>
                <w:sz w:val="18"/>
                <w:szCs w:val="18"/>
              </w:rPr>
            </w:pPr>
            <w:r>
              <w:rPr>
                <w:sz w:val="18"/>
                <w:szCs w:val="18"/>
              </w:rPr>
              <w:t>3.983</w:t>
            </w:r>
          </w:p>
        </w:tc>
        <w:tc>
          <w:tcPr>
            <w:tcW w:w="1062" w:type="dxa"/>
            <w:gridSpan w:val="2"/>
          </w:tcPr>
          <w:p w14:paraId="6579562B" w14:textId="77777777" w:rsidR="00D1541E" w:rsidRPr="00213EF9" w:rsidRDefault="009B6523">
            <w:pPr>
              <w:pStyle w:val="Compact"/>
              <w:rPr>
                <w:sz w:val="18"/>
                <w:szCs w:val="18"/>
              </w:rPr>
            </w:pPr>
            <w:r>
              <w:rPr>
                <w:sz w:val="18"/>
                <w:szCs w:val="18"/>
              </w:rPr>
              <w:t>5.800,2</w:t>
            </w:r>
          </w:p>
        </w:tc>
        <w:tc>
          <w:tcPr>
            <w:tcW w:w="1116" w:type="dxa"/>
            <w:gridSpan w:val="2"/>
          </w:tcPr>
          <w:p w14:paraId="7AEBA33B" w14:textId="77777777" w:rsidR="00D1541E" w:rsidRPr="00213EF9" w:rsidRDefault="009B6523">
            <w:pPr>
              <w:pStyle w:val="Compact"/>
              <w:rPr>
                <w:sz w:val="18"/>
                <w:szCs w:val="18"/>
              </w:rPr>
            </w:pPr>
            <w:r>
              <w:rPr>
                <w:sz w:val="18"/>
                <w:szCs w:val="18"/>
              </w:rPr>
              <w:t>16.452,8</w:t>
            </w:r>
          </w:p>
        </w:tc>
        <w:tc>
          <w:tcPr>
            <w:tcW w:w="1116" w:type="dxa"/>
            <w:gridSpan w:val="2"/>
          </w:tcPr>
          <w:p w14:paraId="3CE2190D" w14:textId="77777777" w:rsidR="00D1541E" w:rsidRPr="00213EF9" w:rsidRDefault="009B6523">
            <w:pPr>
              <w:pStyle w:val="Compact"/>
              <w:rPr>
                <w:sz w:val="18"/>
                <w:szCs w:val="18"/>
              </w:rPr>
            </w:pPr>
            <w:r>
              <w:rPr>
                <w:sz w:val="18"/>
                <w:szCs w:val="18"/>
              </w:rPr>
              <w:t>MS</w:t>
            </w:r>
          </w:p>
        </w:tc>
        <w:tc>
          <w:tcPr>
            <w:tcW w:w="1117" w:type="dxa"/>
          </w:tcPr>
          <w:p w14:paraId="48E7E30F" w14:textId="77777777" w:rsidR="00D1541E" w:rsidRPr="00213EF9" w:rsidRDefault="009B6523">
            <w:pPr>
              <w:pStyle w:val="Compact"/>
              <w:rPr>
                <w:sz w:val="18"/>
                <w:szCs w:val="18"/>
              </w:rPr>
            </w:pPr>
            <w:r>
              <w:rPr>
                <w:sz w:val="18"/>
                <w:szCs w:val="18"/>
              </w:rPr>
              <w:t>2023</w:t>
            </w:r>
          </w:p>
        </w:tc>
      </w:tr>
      <w:tr w:rsidR="00D1541E" w:rsidRPr="00213EF9" w14:paraId="4B23251D" w14:textId="77777777" w:rsidTr="00213EF9">
        <w:tc>
          <w:tcPr>
            <w:tcW w:w="1809" w:type="dxa"/>
          </w:tcPr>
          <w:p w14:paraId="7D5C3CBF" w14:textId="77777777" w:rsidR="00D1541E" w:rsidRPr="00213EF9" w:rsidRDefault="009B6523">
            <w:pPr>
              <w:pStyle w:val="Compact"/>
              <w:rPr>
                <w:sz w:val="18"/>
                <w:szCs w:val="18"/>
              </w:rPr>
            </w:pPr>
            <w:r>
              <w:rPr>
                <w:sz w:val="18"/>
                <w:szCs w:val="18"/>
              </w:rPr>
              <w:t>Chemieunternehmen (Essen)</w:t>
            </w:r>
          </w:p>
        </w:tc>
        <w:tc>
          <w:tcPr>
            <w:tcW w:w="1276" w:type="dxa"/>
            <w:gridSpan w:val="2"/>
          </w:tcPr>
          <w:p w14:paraId="56936778" w14:textId="77777777" w:rsidR="00D1541E" w:rsidRPr="00213EF9" w:rsidRDefault="009B6523">
            <w:pPr>
              <w:pStyle w:val="Compact"/>
              <w:rPr>
                <w:sz w:val="18"/>
                <w:szCs w:val="18"/>
              </w:rPr>
            </w:pPr>
            <w:r>
              <w:rPr>
                <w:sz w:val="18"/>
                <w:szCs w:val="18"/>
              </w:rPr>
              <w:t>53.474,3</w:t>
            </w:r>
          </w:p>
        </w:tc>
        <w:tc>
          <w:tcPr>
            <w:tcW w:w="1276" w:type="dxa"/>
            <w:gridSpan w:val="2"/>
          </w:tcPr>
          <w:p w14:paraId="6FF54FB7" w14:textId="77777777" w:rsidR="00D1541E" w:rsidRPr="00213EF9" w:rsidRDefault="009B6523">
            <w:pPr>
              <w:pStyle w:val="Compact"/>
              <w:rPr>
                <w:sz w:val="18"/>
                <w:szCs w:val="18"/>
              </w:rPr>
            </w:pPr>
            <w:r>
              <w:rPr>
                <w:sz w:val="18"/>
                <w:szCs w:val="18"/>
              </w:rPr>
              <w:t>13,81</w:t>
            </w:r>
          </w:p>
        </w:tc>
        <w:tc>
          <w:tcPr>
            <w:tcW w:w="850" w:type="dxa"/>
            <w:gridSpan w:val="2"/>
          </w:tcPr>
          <w:p w14:paraId="3100199D" w14:textId="77777777" w:rsidR="00D1541E" w:rsidRPr="00213EF9" w:rsidRDefault="009B6523">
            <w:pPr>
              <w:pStyle w:val="Compact"/>
              <w:rPr>
                <w:sz w:val="18"/>
                <w:szCs w:val="18"/>
              </w:rPr>
            </w:pPr>
            <w:r>
              <w:rPr>
                <w:sz w:val="18"/>
                <w:szCs w:val="18"/>
              </w:rPr>
              <w:t>3.871</w:t>
            </w:r>
          </w:p>
        </w:tc>
        <w:tc>
          <w:tcPr>
            <w:tcW w:w="1062" w:type="dxa"/>
            <w:gridSpan w:val="2"/>
          </w:tcPr>
          <w:p w14:paraId="6BE378DE" w14:textId="77777777" w:rsidR="00D1541E" w:rsidRPr="00213EF9" w:rsidRDefault="009B6523">
            <w:pPr>
              <w:pStyle w:val="Compact"/>
              <w:rPr>
                <w:sz w:val="18"/>
                <w:szCs w:val="18"/>
              </w:rPr>
            </w:pPr>
            <w:r>
              <w:rPr>
                <w:sz w:val="18"/>
                <w:szCs w:val="18"/>
              </w:rPr>
              <w:t>4.640,4</w:t>
            </w:r>
          </w:p>
        </w:tc>
        <w:tc>
          <w:tcPr>
            <w:tcW w:w="1116" w:type="dxa"/>
            <w:gridSpan w:val="2"/>
          </w:tcPr>
          <w:p w14:paraId="10A0DEE1" w14:textId="77777777" w:rsidR="00D1541E" w:rsidRPr="00213EF9" w:rsidRDefault="009B6523">
            <w:pPr>
              <w:pStyle w:val="Compact"/>
              <w:rPr>
                <w:sz w:val="18"/>
                <w:szCs w:val="18"/>
              </w:rPr>
            </w:pPr>
            <w:r>
              <w:rPr>
                <w:sz w:val="18"/>
                <w:szCs w:val="18"/>
              </w:rPr>
              <w:t>6.449,3</w:t>
            </w:r>
          </w:p>
        </w:tc>
        <w:tc>
          <w:tcPr>
            <w:tcW w:w="1116" w:type="dxa"/>
            <w:gridSpan w:val="2"/>
          </w:tcPr>
          <w:p w14:paraId="06930587" w14:textId="77777777" w:rsidR="00D1541E" w:rsidRPr="00213EF9" w:rsidRDefault="009B6523">
            <w:pPr>
              <w:pStyle w:val="Compact"/>
              <w:rPr>
                <w:sz w:val="18"/>
                <w:szCs w:val="18"/>
              </w:rPr>
            </w:pPr>
            <w:r>
              <w:rPr>
                <w:sz w:val="18"/>
                <w:szCs w:val="18"/>
              </w:rPr>
              <w:t>MS</w:t>
            </w:r>
          </w:p>
        </w:tc>
        <w:tc>
          <w:tcPr>
            <w:tcW w:w="1117" w:type="dxa"/>
          </w:tcPr>
          <w:p w14:paraId="5147D0D4" w14:textId="77777777" w:rsidR="00D1541E" w:rsidRPr="00213EF9" w:rsidRDefault="009B6523">
            <w:pPr>
              <w:pStyle w:val="Compact"/>
              <w:rPr>
                <w:sz w:val="18"/>
                <w:szCs w:val="18"/>
              </w:rPr>
            </w:pPr>
            <w:r>
              <w:rPr>
                <w:sz w:val="18"/>
                <w:szCs w:val="18"/>
              </w:rPr>
              <w:t>2024</w:t>
            </w:r>
          </w:p>
        </w:tc>
      </w:tr>
      <w:tr w:rsidR="00D1541E" w:rsidRPr="00213EF9" w14:paraId="6B26F507" w14:textId="77777777" w:rsidTr="00213EF9">
        <w:tc>
          <w:tcPr>
            <w:tcW w:w="1809" w:type="dxa"/>
          </w:tcPr>
          <w:p w14:paraId="1E53AA0C" w14:textId="77777777" w:rsidR="00D1541E" w:rsidRPr="00213EF9" w:rsidRDefault="009B6523">
            <w:pPr>
              <w:pStyle w:val="Compact"/>
              <w:rPr>
                <w:sz w:val="18"/>
                <w:szCs w:val="18"/>
              </w:rPr>
            </w:pPr>
            <w:r>
              <w:rPr>
                <w:sz w:val="18"/>
                <w:szCs w:val="18"/>
              </w:rPr>
              <w:lastRenderedPageBreak/>
              <w:t>Metallerzeugung (Schwarzwald)</w:t>
            </w:r>
          </w:p>
        </w:tc>
        <w:tc>
          <w:tcPr>
            <w:tcW w:w="1276" w:type="dxa"/>
            <w:gridSpan w:val="2"/>
          </w:tcPr>
          <w:p w14:paraId="0AAF400A" w14:textId="77777777" w:rsidR="00D1541E" w:rsidRPr="00213EF9" w:rsidRDefault="009B6523">
            <w:pPr>
              <w:pStyle w:val="Compact"/>
              <w:rPr>
                <w:sz w:val="18"/>
                <w:szCs w:val="18"/>
              </w:rPr>
            </w:pPr>
            <w:r>
              <w:rPr>
                <w:sz w:val="18"/>
                <w:szCs w:val="18"/>
              </w:rPr>
              <w:t>254,5</w:t>
            </w:r>
          </w:p>
        </w:tc>
        <w:tc>
          <w:tcPr>
            <w:tcW w:w="1276" w:type="dxa"/>
            <w:gridSpan w:val="2"/>
          </w:tcPr>
          <w:p w14:paraId="00388386" w14:textId="77777777" w:rsidR="00D1541E" w:rsidRPr="00213EF9" w:rsidRDefault="009B6523">
            <w:pPr>
              <w:pStyle w:val="Compact"/>
              <w:rPr>
                <w:sz w:val="18"/>
                <w:szCs w:val="18"/>
              </w:rPr>
            </w:pPr>
            <w:r>
              <w:rPr>
                <w:sz w:val="18"/>
                <w:szCs w:val="18"/>
              </w:rPr>
              <w:t>0,14</w:t>
            </w:r>
          </w:p>
        </w:tc>
        <w:tc>
          <w:tcPr>
            <w:tcW w:w="850" w:type="dxa"/>
            <w:gridSpan w:val="2"/>
          </w:tcPr>
          <w:p w14:paraId="131A4E86" w14:textId="77777777" w:rsidR="00D1541E" w:rsidRPr="00213EF9" w:rsidRDefault="009B6523">
            <w:pPr>
              <w:pStyle w:val="Compact"/>
              <w:rPr>
                <w:sz w:val="18"/>
                <w:szCs w:val="18"/>
              </w:rPr>
            </w:pPr>
            <w:r>
              <w:rPr>
                <w:sz w:val="18"/>
                <w:szCs w:val="18"/>
              </w:rPr>
              <w:t>1.885</w:t>
            </w:r>
          </w:p>
        </w:tc>
        <w:tc>
          <w:tcPr>
            <w:tcW w:w="1062" w:type="dxa"/>
            <w:gridSpan w:val="2"/>
          </w:tcPr>
          <w:p w14:paraId="73432FE9" w14:textId="77777777" w:rsidR="00D1541E" w:rsidRPr="00213EF9" w:rsidRDefault="009B6523">
            <w:pPr>
              <w:pStyle w:val="Compact"/>
              <w:rPr>
                <w:sz w:val="18"/>
                <w:szCs w:val="18"/>
              </w:rPr>
            </w:pPr>
            <w:r>
              <w:rPr>
                <w:sz w:val="18"/>
                <w:szCs w:val="18"/>
              </w:rPr>
              <w:t>109,6</w:t>
            </w:r>
          </w:p>
        </w:tc>
        <w:tc>
          <w:tcPr>
            <w:tcW w:w="1116" w:type="dxa"/>
            <w:gridSpan w:val="2"/>
          </w:tcPr>
          <w:p w14:paraId="739205EB" w14:textId="77777777" w:rsidR="00D1541E" w:rsidRPr="00213EF9" w:rsidRDefault="009B6523">
            <w:pPr>
              <w:pStyle w:val="Compact"/>
              <w:rPr>
                <w:sz w:val="18"/>
                <w:szCs w:val="18"/>
              </w:rPr>
            </w:pPr>
            <w:r>
              <w:rPr>
                <w:sz w:val="18"/>
                <w:szCs w:val="18"/>
              </w:rPr>
              <w:t>722,9</w:t>
            </w:r>
          </w:p>
        </w:tc>
        <w:tc>
          <w:tcPr>
            <w:tcW w:w="1116" w:type="dxa"/>
            <w:gridSpan w:val="2"/>
          </w:tcPr>
          <w:p w14:paraId="43F9F996" w14:textId="77777777" w:rsidR="00D1541E" w:rsidRPr="00213EF9" w:rsidRDefault="009B6523">
            <w:pPr>
              <w:pStyle w:val="Compact"/>
              <w:rPr>
                <w:sz w:val="18"/>
                <w:szCs w:val="18"/>
              </w:rPr>
            </w:pPr>
            <w:r>
              <w:rPr>
                <w:sz w:val="18"/>
                <w:szCs w:val="18"/>
              </w:rPr>
              <w:t>NS</w:t>
            </w:r>
          </w:p>
        </w:tc>
        <w:tc>
          <w:tcPr>
            <w:tcW w:w="1117" w:type="dxa"/>
          </w:tcPr>
          <w:p w14:paraId="67E8DB03" w14:textId="77777777" w:rsidR="00D1541E" w:rsidRPr="00213EF9" w:rsidRDefault="009B6523">
            <w:pPr>
              <w:pStyle w:val="Compact"/>
              <w:rPr>
                <w:sz w:val="18"/>
                <w:szCs w:val="18"/>
              </w:rPr>
            </w:pPr>
            <w:r>
              <w:rPr>
                <w:sz w:val="18"/>
                <w:szCs w:val="18"/>
              </w:rPr>
              <w:t>2023</w:t>
            </w:r>
          </w:p>
        </w:tc>
      </w:tr>
      <w:tr w:rsidR="00D1541E" w:rsidRPr="00213EF9" w14:paraId="2E174813" w14:textId="77777777" w:rsidTr="00213EF9">
        <w:tc>
          <w:tcPr>
            <w:tcW w:w="1809" w:type="dxa"/>
          </w:tcPr>
          <w:p w14:paraId="5092FFCF" w14:textId="77777777" w:rsidR="00D1541E" w:rsidRPr="00213EF9" w:rsidRDefault="009B6523">
            <w:pPr>
              <w:pStyle w:val="Compact"/>
              <w:rPr>
                <w:sz w:val="18"/>
                <w:szCs w:val="18"/>
              </w:rPr>
            </w:pPr>
            <w:r>
              <w:rPr>
                <w:sz w:val="18"/>
                <w:szCs w:val="18"/>
              </w:rPr>
              <w:t>Papierfabrik (Augsburg)</w:t>
            </w:r>
          </w:p>
        </w:tc>
        <w:tc>
          <w:tcPr>
            <w:tcW w:w="993" w:type="dxa"/>
          </w:tcPr>
          <w:p w14:paraId="326C8230" w14:textId="77777777" w:rsidR="00D1541E" w:rsidRPr="00213EF9" w:rsidRDefault="009B6523">
            <w:pPr>
              <w:pStyle w:val="Compact"/>
              <w:rPr>
                <w:sz w:val="18"/>
                <w:szCs w:val="18"/>
              </w:rPr>
            </w:pPr>
            <w:r>
              <w:rPr>
                <w:sz w:val="18"/>
                <w:szCs w:val="18"/>
              </w:rPr>
              <w:t>232.767,0</w:t>
            </w:r>
          </w:p>
        </w:tc>
        <w:tc>
          <w:tcPr>
            <w:tcW w:w="805" w:type="dxa"/>
            <w:gridSpan w:val="2"/>
          </w:tcPr>
          <w:p w14:paraId="07CB4B0D" w14:textId="77777777" w:rsidR="00D1541E" w:rsidRPr="00213EF9" w:rsidRDefault="009B6523">
            <w:pPr>
              <w:pStyle w:val="Compact"/>
              <w:rPr>
                <w:sz w:val="18"/>
                <w:szCs w:val="18"/>
              </w:rPr>
            </w:pPr>
            <w:r>
              <w:rPr>
                <w:sz w:val="18"/>
                <w:szCs w:val="18"/>
              </w:rPr>
              <w:t>59,90</w:t>
            </w:r>
          </w:p>
        </w:tc>
        <w:tc>
          <w:tcPr>
            <w:tcW w:w="1203" w:type="dxa"/>
            <w:gridSpan w:val="2"/>
          </w:tcPr>
          <w:p w14:paraId="1D0ADC82" w14:textId="77777777" w:rsidR="00D1541E" w:rsidRPr="00213EF9" w:rsidRDefault="009B6523">
            <w:pPr>
              <w:pStyle w:val="Compact"/>
              <w:rPr>
                <w:sz w:val="18"/>
                <w:szCs w:val="18"/>
              </w:rPr>
            </w:pPr>
            <w:r>
              <w:rPr>
                <w:sz w:val="18"/>
                <w:szCs w:val="18"/>
              </w:rPr>
              <w:t>3.886</w:t>
            </w:r>
          </w:p>
        </w:tc>
        <w:tc>
          <w:tcPr>
            <w:tcW w:w="1203" w:type="dxa"/>
            <w:gridSpan w:val="2"/>
          </w:tcPr>
          <w:p w14:paraId="44BA3633" w14:textId="77777777" w:rsidR="00D1541E" w:rsidRPr="00213EF9" w:rsidRDefault="009B6523">
            <w:pPr>
              <w:pStyle w:val="Compact"/>
              <w:rPr>
                <w:sz w:val="18"/>
                <w:szCs w:val="18"/>
              </w:rPr>
            </w:pPr>
            <w:r>
              <w:rPr>
                <w:sz w:val="18"/>
                <w:szCs w:val="18"/>
              </w:rPr>
              <w:t>30.725,6</w:t>
            </w:r>
          </w:p>
        </w:tc>
        <w:tc>
          <w:tcPr>
            <w:tcW w:w="1203" w:type="dxa"/>
            <w:gridSpan w:val="2"/>
          </w:tcPr>
          <w:p w14:paraId="36BE2D9A" w14:textId="77777777" w:rsidR="00D1541E" w:rsidRPr="00213EF9" w:rsidRDefault="009B6523">
            <w:pPr>
              <w:pStyle w:val="Compact"/>
              <w:rPr>
                <w:sz w:val="18"/>
                <w:szCs w:val="18"/>
              </w:rPr>
            </w:pPr>
            <w:r>
              <w:rPr>
                <w:sz w:val="18"/>
                <w:szCs w:val="18"/>
              </w:rPr>
              <w:t>54.927,4</w:t>
            </w:r>
          </w:p>
        </w:tc>
        <w:tc>
          <w:tcPr>
            <w:tcW w:w="1203" w:type="dxa"/>
            <w:gridSpan w:val="2"/>
          </w:tcPr>
          <w:p w14:paraId="38E83613" w14:textId="77777777" w:rsidR="00D1541E" w:rsidRPr="00213EF9" w:rsidRDefault="009B6523">
            <w:pPr>
              <w:pStyle w:val="Compact"/>
              <w:rPr>
                <w:sz w:val="18"/>
                <w:szCs w:val="18"/>
              </w:rPr>
            </w:pPr>
            <w:r>
              <w:rPr>
                <w:sz w:val="18"/>
                <w:szCs w:val="18"/>
              </w:rPr>
              <w:t>HS/MS</w:t>
            </w:r>
          </w:p>
        </w:tc>
        <w:tc>
          <w:tcPr>
            <w:tcW w:w="1203" w:type="dxa"/>
            <w:gridSpan w:val="2"/>
          </w:tcPr>
          <w:p w14:paraId="3F6F5B88" w14:textId="77777777" w:rsidR="00D1541E" w:rsidRPr="00213EF9" w:rsidRDefault="009B6523">
            <w:pPr>
              <w:pStyle w:val="Compact"/>
              <w:rPr>
                <w:sz w:val="18"/>
                <w:szCs w:val="18"/>
              </w:rPr>
            </w:pPr>
            <w:r>
              <w:rPr>
                <w:sz w:val="18"/>
                <w:szCs w:val="18"/>
              </w:rPr>
              <w:t>2023</w:t>
            </w:r>
          </w:p>
        </w:tc>
      </w:tr>
    </w:tbl>
    <w:p w14:paraId="4E34C84F" w14:textId="77777777" w:rsidR="00D1541E" w:rsidRDefault="00D1541E">
      <w:bookmarkStart w:id="20" w:name="verifikation-und-reproduzierbarkeit"/>
      <w:bookmarkEnd w:id="18"/>
      <w:bookmarkEnd w:id="19"/>
    </w:p>
    <w:p w14:paraId="59F55C82" w14:textId="77777777" w:rsidR="00D1541E" w:rsidRPr="007128E8" w:rsidRDefault="00727CF6">
      <w:pPr>
        <w:pStyle w:val="berschrift2"/>
        <w:rPr>
          <w:lang w:val="de-DE"/>
        </w:rPr>
      </w:pPr>
      <w:bookmarkStart w:id="21" w:name="ergebnisse"/>
      <w:bookmarkEnd w:id="20"/>
      <w:r>
        <w:rPr>
          <w:lang w:val="de-DE"/>
        </w:rPr>
        <w:t>5 Ergebnisse</w:t>
      </w:r>
    </w:p>
    <w:p w14:paraId="34EAD0F4" w14:textId="77777777" w:rsidR="00822935" w:rsidRPr="00822935" w:rsidRDefault="00822935" w:rsidP="00822935">
      <w:pPr>
        <w:pStyle w:val="FirstParagraph"/>
        <w:rPr>
          <w:lang w:val="de-DE"/>
        </w:rPr>
      </w:pPr>
      <w:r>
        <w:rPr>
          <w:lang w:val="de-DE"/>
        </w:rPr>
        <w:t>Alle berechneten Läufe erreichen den Solverstatus optimal; Wärme- und Speicherbilanzfehler liegen auf numerischem Genauigkeitsniveau. Die 15-min-Auflösung verändert die Höchstlast gegenüber einer Stundenrechnung messbar, das LCOH dagegen nur um 0,02 % bzw. 0,05 % (Chemie/Papier).</w:t>
      </w:r>
    </w:p>
    <w:p w14:paraId="2F5EDF6F" w14:textId="77777777" w:rsidR="00822935" w:rsidRPr="00822935" w:rsidRDefault="00822935" w:rsidP="00822935">
      <w:pPr>
        <w:pStyle w:val="FirstParagraph"/>
        <w:rPr>
          <w:lang w:val="de-DE"/>
        </w:rPr>
      </w:pPr>
      <w:r>
        <w:rPr>
          <w:lang w:val="de-DE"/>
        </w:rPr>
        <w:t>Der Regimewechsel verschiebt die inkrementellen Wärmekosten um −0,3 bis +14,2 EUR/MWh bei Fixpreis und −4,1 bis +14,8 EUR/MWh bei Day-Ahead. Der Interaktionsterm liegt zwischen −3,8 und +4,6 EUR/MWh und ist an drei von vier Standorten positiv; in den untersuchten Fällen wirken Netzentgelt- und Spotpreisflexibilität damit überwiegend komplementär. Die Zerlegung in einen direkten Tarifeffekt und einen Betriebsanpassungseffekt wird nicht als allgemeingültige Prozentaufteilung interpretiert.</w:t>
      </w:r>
    </w:p>
    <w:p w14:paraId="65AE610A" w14:textId="77777777" w:rsidR="00822935" w:rsidRPr="00822935" w:rsidRDefault="00822935" w:rsidP="00822935">
      <w:pPr>
        <w:pStyle w:val="FirstParagraph"/>
        <w:rPr>
          <w:lang w:val="de-DE"/>
        </w:rPr>
      </w:pPr>
    </w:p>
    <w:p w14:paraId="6DCDB3EB" w14:textId="77777777" w:rsidR="00822935" w:rsidRDefault="00822935" w:rsidP="00822935">
      <w:pPr>
        <w:pStyle w:val="FirstParagraph"/>
        <w:rPr>
          <w:lang w:val="de-DE"/>
        </w:rPr>
      </w:pPr>
      <w:r>
        <w:rPr>
          <w:lang w:val="de-DE"/>
        </w:rPr>
        <w:t>Unter Fixpreis verschiebt der Regimewechsel die Wärmepumpenkapazität um −3.443 bis +10 kW und die Speicherkapazität um −10.816 bis +11 kWh; der Elektrodenkessel bleibt in allen Kernläufen bei 0 kW. Der Speicher erreicht über die Kernlauf-Zellen einen Systemwert von 236.109 EUR/a, definiert als jährliche Kostenreduktion gegenüber einem ansonsten identischen System ohne Speicher.</w:t>
      </w:r>
    </w:p>
    <w:p w14:paraId="077C1ECF" w14:textId="77777777" w:rsidR="00822935" w:rsidRPr="007128E8" w:rsidRDefault="00822935" w:rsidP="00822935">
      <w:pPr>
        <w:pStyle w:val="FirstParagraph"/>
        <w:rPr>
          <w:lang w:val="de-DE"/>
        </w:rPr>
      </w:pPr>
      <w:r>
        <w:rPr>
          <w:b/>
          <w:bCs/>
          <w:noProof/>
          <w:lang w:val="de-DE"/>
        </w:rPr>
        <w:drawing>
          <wp:inline distT="0" distB="0" distL="0" distR="0" wp14:anchorId="593584BC" wp14:editId="7532151B">
            <wp:extent cx="5518150" cy="1645920"/>
            <wp:effectExtent l="0" t="0" r="6350" b="0"/>
            <wp:docPr id="392479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578"/>
                    <a:stretch>
                      <a:fillRect/>
                    </a:stretch>
                  </pic:blipFill>
                  <pic:spPr bwMode="auto">
                    <a:xfrm>
                      <a:off x="0" y="0"/>
                      <a:ext cx="5518150"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3FB695FC" w14:textId="77777777" w:rsidR="00822935" w:rsidRPr="007128E8" w:rsidRDefault="00822935" w:rsidP="00852142">
      <w:pPr>
        <w:pStyle w:val="Blocktext"/>
        <w:ind w:left="0" w:right="0"/>
        <w:rPr>
          <w:lang w:val="de-DE"/>
        </w:rPr>
      </w:pPr>
      <w:r>
        <w:rPr>
          <w:b/>
          <w:bCs/>
          <w:lang w:val="de-DE"/>
        </w:rPr>
        <w:t>Abb. 2:</w:t>
      </w:r>
      <w:r>
        <w:rPr>
          <w:lang w:val="de-DE"/>
        </w:rPr>
        <w:t xml:space="preserve"> (a) </w:t>
      </w:r>
      <m:oMath>
        <m:sSub>
          <m:sSubPr>
            <m:ctrlPr>
              <w:rPr>
                <w:rFonts w:ascii="Cambria Math" w:hAnsi="Cambria Math"/>
              </w:rPr>
            </m:ctrlPr>
          </m:sSubPr>
          <m:e>
            <m:r>
              <m:rPr>
                <m:sty m:val="p"/>
              </m:rPr>
              <w:rPr>
                <w:rFonts w:ascii="Cambria Math" w:hAnsi="Cambria Math"/>
                <w:lang w:val="de-DE"/>
              </w:rPr>
              <m:t>LCOH</m:t>
            </m:r>
          </m:e>
          <m:sub>
            <m:r>
              <m:rPr>
                <m:sty m:val="p"/>
              </m:rPr>
              <w:rPr>
                <w:rFonts w:ascii="Cambria Math" w:hAnsi="Cambria Math"/>
                <w:lang w:val="de-DE"/>
              </w:rPr>
              <m:t>inc</m:t>
            </m:r>
          </m:sub>
        </m:sSub>
      </m:oMath>
      <w:r>
        <w:rPr>
          <w:lang w:val="de-DE"/>
        </w:rPr>
        <w:t xml:space="preserve"> je Standort über die vier Regime. (b) Anlagenauslegung (HP/EK/Gas, gestapelt) unter AgNes/Day-Ahead. (c) Wärmespeicherkapazität je Standort unter AgNes/Day-Ahead.</w:t>
      </w:r>
    </w:p>
    <w:p w14:paraId="5AA4B385" w14:textId="77777777" w:rsidR="00822935" w:rsidRDefault="00822935" w:rsidP="00822935">
      <w:pPr>
        <w:pStyle w:val="FirstParagraph"/>
        <w:rPr>
          <w:lang w:val="de-DE"/>
        </w:rPr>
      </w:pPr>
      <w:r>
        <w:rPr>
          <w:lang w:val="de-DE"/>
        </w:rPr>
        <w:t>Das Verhältnis C/Pmax liegt zwischen 15 % und 92 %, E₂/E im Mittel bei 14 %. Die analytische Regel weist im evaluate-Modus eine relative Abweichung von weniger als 0,5 % auf, weicht im untersuchten gekoppelten Modell jedoch um bis zu 31,5 % ab. Ursache ist die Rückkopplung zwischen Anlagenbetrieb, Lastdauerlinie und der über C* bestimmten Bemessungsgröße.</w:t>
      </w:r>
    </w:p>
    <w:p w14:paraId="7B87E063" w14:textId="77777777" w:rsidR="00822935" w:rsidRDefault="00822935" w:rsidP="00822935">
      <w:pPr>
        <w:pStyle w:val="Blocktext"/>
        <w:jc w:val="center"/>
        <w:rPr>
          <w:b/>
          <w:bCs/>
          <w:lang w:val="de-DE"/>
        </w:rPr>
      </w:pPr>
      <w:bookmarkStart w:id="22" w:name="X298b8a1c1e9de96d4e3b2b6b7caa014de1b88e0"/>
      <w:r>
        <w:rPr>
          <w:noProof/>
        </w:rPr>
        <w:lastRenderedPageBreak/>
        <w:drawing>
          <wp:inline distT="0" distB="0" distL="0" distR="0" wp14:anchorId="08FD3FE9" wp14:editId="3E6853D3">
            <wp:extent cx="3284525" cy="2693152"/>
            <wp:effectExtent l="0" t="0" r="0" b="0"/>
            <wp:docPr id="152210127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516"/>
                    <a:stretch>
                      <a:fillRect/>
                    </a:stretch>
                  </pic:blipFill>
                  <pic:spPr bwMode="auto">
                    <a:xfrm>
                      <a:off x="0" y="0"/>
                      <a:ext cx="3303723" cy="2708893"/>
                    </a:xfrm>
                    <a:prstGeom prst="rect">
                      <a:avLst/>
                    </a:prstGeom>
                    <a:noFill/>
                    <a:ln>
                      <a:noFill/>
                    </a:ln>
                    <a:extLst>
                      <a:ext uri="{53640926-AAD7-44D8-BBD7-CCE9431645EC}">
                        <a14:shadowObscured xmlns:a14="http://schemas.microsoft.com/office/drawing/2010/main"/>
                      </a:ext>
                    </a:extLst>
                  </pic:spPr>
                </pic:pic>
              </a:graphicData>
            </a:graphic>
          </wp:inline>
        </w:drawing>
      </w:r>
    </w:p>
    <w:p w14:paraId="26B82576" w14:textId="77777777" w:rsidR="00822935" w:rsidRPr="007128E8" w:rsidRDefault="00822935" w:rsidP="00852142">
      <w:pPr>
        <w:pStyle w:val="Blocktext"/>
        <w:ind w:left="0" w:right="0"/>
        <w:rPr>
          <w:lang w:val="de-DE"/>
        </w:rPr>
      </w:pPr>
      <w:r>
        <w:rPr>
          <w:b/>
          <w:bCs/>
          <w:lang w:val="de-DE"/>
        </w:rPr>
        <w:t>Abb. 3:</w:t>
      </w:r>
      <w:r>
        <w:rPr>
          <w:lang w:val="de-DE"/>
        </w:rPr>
        <w:t xml:space="preserve"> Jahresdauerlinien je Standort (ELEC, AgNes, Day-Ahead) mit bestellter Kapazität </w:t>
      </w:r>
      <m:oMath>
        <m:r>
          <w:rPr>
            <w:rFonts w:ascii="Cambria Math" w:hAnsi="Cambria Math"/>
          </w:rPr>
          <m:t>C</m:t>
        </m:r>
      </m:oMath>
      <w:r>
        <w:rPr>
          <w:lang w:val="de-DE"/>
        </w:rPr>
        <w:t xml:space="preserve">, realisiertem </w:t>
      </w:r>
      <m:oMath>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oMath>
      <w:r>
        <w:rPr>
          <w:lang w:val="de-DE"/>
        </w:rPr>
        <w:t xml:space="preserve">, der </w:t>
      </w:r>
      <m:oMath>
        <m:sSub>
          <m:sSubPr>
            <m:ctrlPr>
              <w:rPr>
                <w:rFonts w:ascii="Cambria Math" w:hAnsi="Cambria Math"/>
              </w:rPr>
            </m:ctrlPr>
          </m:sSubPr>
          <m:e>
            <m:r>
              <w:rPr>
                <w:rFonts w:ascii="Cambria Math" w:hAnsi="Cambria Math"/>
              </w:rPr>
              <m:t>E</m:t>
            </m:r>
          </m:e>
          <m:sub>
            <m:r>
              <w:rPr>
                <w:rFonts w:ascii="Cambria Math" w:hAnsi="Cambria Math"/>
                <w:lang w:val="de-DE"/>
              </w:rPr>
              <m:t>2</m:t>
            </m:r>
          </m:sub>
        </m:sSub>
      </m:oMath>
      <w:r>
        <w:rPr>
          <w:lang w:val="de-DE"/>
        </w:rPr>
        <w:t xml:space="preserve">-Fläche und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-Marker auf der Dauerachse.</w:t>
      </w:r>
    </w:p>
    <w:bookmarkEnd w:id="22"/>
    <w:p w14:paraId="0181DE23" w14:textId="03BF012D" w:rsidR="00822935" w:rsidRDefault="00822935" w:rsidP="00822935">
      <w:pPr>
        <w:pStyle w:val="FirstParagraph"/>
        <w:rPr>
          <w:lang w:val="de-DE"/>
        </w:rPr>
      </w:pPr>
      <w:r>
        <w:rPr>
          <w:lang w:val="de-DE"/>
        </w:rPr>
        <w:t>Der Break-even-Gaspreis liegt bei festem CO₂-Preis zwischen 16 und 32 EUR/MWhHu; der Break-even-CO₂-Preis bei festem Gaspreis zwischen 18 und 31 EUR/t. Die Break-even-Werte werden als modellinterne Schwellenwerte interpretiert; ein Vergleich mit aktuellen Marktpreisen ist nicht Bestandteil dieser Auswertung.</w:t>
      </w:r>
    </w:p>
    <w:p w14:paraId="6E339604" w14:textId="57BEC0CF" w:rsidR="00822935" w:rsidRPr="007128E8" w:rsidRDefault="00852142" w:rsidP="00852142">
      <w:pPr>
        <w:pStyle w:val="Blocktext"/>
        <w:ind w:left="0" w:right="0"/>
        <w:rPr>
          <w:lang w:val="de-DE"/>
        </w:rPr>
      </w:pPr>
      <w:r>
        <w:rPr>
          <w:noProof/>
          <w:lang w:val="de-DE"/>
        </w:rPr>
        <w:drawing>
          <wp:inline distT="0" distB="0" distL="0" distR="0" wp14:anchorId="4BF79DB0" wp14:editId="4B61A425">
            <wp:extent cx="5972175" cy="1924050"/>
            <wp:effectExtent l="0" t="0" r="9525" b="0"/>
            <wp:docPr id="9653254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4627"/>
                    <a:stretch>
                      <a:fillRect/>
                    </a:stretch>
                  </pic:blipFill>
                  <pic:spPr bwMode="auto">
                    <a:xfrm>
                      <a:off x="0" y="0"/>
                      <a:ext cx="5972175" cy="1924050"/>
                    </a:xfrm>
                    <a:prstGeom prst="rect">
                      <a:avLst/>
                    </a:prstGeom>
                    <a:noFill/>
                    <a:ln>
                      <a:noFill/>
                    </a:ln>
                    <a:extLst>
                      <a:ext uri="{53640926-AAD7-44D8-BBD7-CCE9431645EC}">
                        <a14:shadowObscured xmlns:a14="http://schemas.microsoft.com/office/drawing/2010/main"/>
                      </a:ext>
                    </a:extLst>
                  </pic:spPr>
                </pic:pic>
              </a:graphicData>
            </a:graphic>
          </wp:inline>
        </w:drawing>
      </w:r>
      <w:r w:rsidR="00822935">
        <w:rPr>
          <w:b/>
          <w:bCs/>
          <w:lang w:val="de-DE"/>
        </w:rPr>
        <w:t>Abb. 4:</w:t>
      </w:r>
      <w:r w:rsidR="00822935">
        <w:rPr>
          <w:lang w:val="de-DE"/>
        </w:rPr>
        <w:t xml:space="preserve"> Fossiler Break-even-Gas- und -CO₂-Preis je Standort und Netzregime (ELEC vs. GAS, Day-Ahead, ELEC-Kapazitäten aus dem jeweiligen Kernlauf-Optimum im Redispatch-Modus).</w:t>
      </w:r>
    </w:p>
    <w:p w14:paraId="4C0F0539" w14:textId="77777777" w:rsidR="00822935" w:rsidRPr="00822935" w:rsidRDefault="00822935" w:rsidP="00822935">
      <w:pPr>
        <w:pStyle w:val="FirstParagraph"/>
        <w:rPr>
          <w:lang w:val="de-DE"/>
        </w:rPr>
      </w:pPr>
      <w:r>
        <w:rPr>
          <w:lang w:val="de-DE"/>
        </w:rPr>
        <w:t>Die Tarifsensitivität zeigt eine Variation von C um 62.665 kW und der Speicherkapazität um 29.286 kWh. Für θ &gt; 1 wird in keinem Lauf mindestens 98 % von Pmax bestellt; θ ≈ 1 markiert damit empirisch die Grenze zwischen Voll- und Teilbestellung. Die Bandanteil-Sensitivität verändert die Rangfolge der größten Erzeuger nicht.</w:t>
      </w:r>
    </w:p>
    <w:p w14:paraId="77484521" w14:textId="77777777" w:rsidR="00D1541E" w:rsidRPr="007128E8" w:rsidRDefault="009B6523">
      <w:pPr>
        <w:pStyle w:val="Textkrper"/>
        <w:rPr>
          <w:lang w:val="de-DE"/>
        </w:rPr>
      </w:pPr>
      <w:bookmarkStart w:id="23" w:name="tarifsensitivität"/>
      <w:r>
        <w:rPr>
          <w:b/>
          <w:bCs/>
          <w:lang w:val="de-DE"/>
        </w:rPr>
        <w:t>Tab. 4: Kern-KPI je Standort.</w:t>
      </w:r>
      <w:r>
        <w:rPr>
          <w:lang w:val="de-DE"/>
        </w:rPr>
        <w:t xml:space="preserve"> LCOH₀₀: </w:t>
      </w:r>
      <m:oMath>
        <m:sSub>
          <m:sSubPr>
            <m:ctrlPr>
              <w:rPr>
                <w:rFonts w:ascii="Cambria Math" w:hAnsi="Cambria Math"/>
              </w:rPr>
            </m:ctrlPr>
          </m:sSubPr>
          <m:e>
            <m:r>
              <m:rPr>
                <m:sty m:val="p"/>
              </m:rPr>
              <w:rPr>
                <w:rFonts w:ascii="Cambria Math" w:hAnsi="Cambria Math"/>
                <w:lang w:val="de-DE"/>
              </w:rPr>
              <m:t>LCOH</m:t>
            </m:r>
          </m:e>
          <m:sub>
            <m:r>
              <m:rPr>
                <m:sty m:val="p"/>
              </m:rPr>
              <w:rPr>
                <w:rFonts w:ascii="Cambria Math" w:hAnsi="Cambria Math"/>
                <w:lang w:val="de-DE"/>
              </w:rPr>
              <m:t>inc</m:t>
            </m:r>
          </m:sub>
        </m:sSub>
      </m:oMath>
      <w:r>
        <w:rPr>
          <w:lang w:val="de-DE"/>
        </w:rPr>
        <w:t xml:space="preserve"> im Referenzfall StromNEV/Fixpreis. </w:t>
      </w:r>
      <w:r>
        <w:t>Δ</w:t>
      </w:r>
      <w:r>
        <w:rPr>
          <w:lang w:val="de-DE"/>
        </w:rPr>
        <w:t xml:space="preserve">_Netz: AgNes − StromNEV, getrennt für Fixpreis und Day-Ahead (DA). </w:t>
      </w:r>
      <w:r>
        <w:t>Δ</w:t>
      </w:r>
      <w:r>
        <w:rPr>
          <w:lang w:val="de-DE"/>
        </w:rPr>
        <w:t xml:space="preserve">_Preis: DA − Fixpreis, getrennt für StromNEV und AgNes. </w:t>
      </w:r>
      <w:r>
        <w:t>Δ</w:t>
      </w:r>
      <w:r>
        <w:rPr>
          <w:lang w:val="de-DE"/>
        </w:rPr>
        <w:t xml:space="preserve">_inter: 2×2-Interaktionsterm. Alle Werte in EUR/MWh. </w:t>
      </w:r>
      <m:oMath>
        <m:r>
          <w:rPr>
            <w:rFonts w:ascii="Cambria Math" w:hAnsi="Cambria Math"/>
          </w:rPr>
          <m:t>C</m:t>
        </m:r>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max</m:t>
            </m:r>
          </m:sub>
        </m:sSub>
      </m:oMath>
      <w:r>
        <w:rPr>
          <w:lang w:val="de-DE"/>
        </w:rPr>
        <w:t xml:space="preserve">, </w:t>
      </w:r>
      <m:oMath>
        <m:sSub>
          <m:sSubPr>
            <m:ctrlPr>
              <w:rPr>
                <w:rFonts w:ascii="Cambria Math" w:hAnsi="Cambria Math"/>
              </w:rPr>
            </m:ctrlPr>
          </m:sSubPr>
          <m:e>
            <m:r>
              <w:rPr>
                <w:rFonts w:ascii="Cambria Math" w:hAnsi="Cambria Math"/>
              </w:rPr>
              <m:t>E</m:t>
            </m:r>
          </m:e>
          <m:sub>
            <m:r>
              <w:rPr>
                <w:rFonts w:ascii="Cambria Math" w:hAnsi="Cambria Math"/>
                <w:lang w:val="de-DE"/>
              </w:rPr>
              <m:t>2</m:t>
            </m:r>
          </m:sub>
        </m:sSub>
        <m:r>
          <m:rPr>
            <m:sty m:val="p"/>
          </m:rPr>
          <w:rPr>
            <w:rFonts w:ascii="Cambria Math" w:hAnsi="Cambria Math"/>
            <w:lang w:val="de-DE"/>
          </w:rPr>
          <m:t>/</m:t>
        </m:r>
        <m:r>
          <w:rPr>
            <w:rFonts w:ascii="Cambria Math" w:hAnsi="Cambria Math"/>
          </w:rPr>
          <m:t>E</m:t>
        </m:r>
      </m:oMath>
      <w:r>
        <w:rPr>
          <w:lang w:val="de-DE"/>
        </w:rPr>
        <w:t xml:space="preserve"> unter AgNes/Day-Ahead.</w:t>
      </w:r>
    </w:p>
    <w:tbl>
      <w:tblPr>
        <w:tblStyle w:val="Table"/>
        <w:tblW w:w="5000" w:type="pct"/>
        <w:tblLayout w:type="fixed"/>
        <w:tblLook w:val="0020" w:firstRow="1" w:lastRow="0" w:firstColumn="0" w:lastColumn="0" w:noHBand="0" w:noVBand="0"/>
      </w:tblPr>
      <w:tblGrid>
        <w:gridCol w:w="1046"/>
        <w:gridCol w:w="1045"/>
        <w:gridCol w:w="1045"/>
        <w:gridCol w:w="1045"/>
        <w:gridCol w:w="1045"/>
        <w:gridCol w:w="1045"/>
        <w:gridCol w:w="1045"/>
        <w:gridCol w:w="1045"/>
        <w:gridCol w:w="1045"/>
      </w:tblGrid>
      <w:tr w:rsidR="00D1541E" w:rsidRPr="00C32AAD" w14:paraId="7453EEED" w14:textId="77777777" w:rsidTr="00D1541E">
        <w:trPr>
          <w:cnfStyle w:val="100000000000" w:firstRow="1" w:lastRow="0" w:firstColumn="0" w:lastColumn="0" w:oddVBand="0" w:evenVBand="0" w:oddHBand="0" w:evenHBand="0" w:firstRowFirstColumn="0" w:firstRowLastColumn="0" w:lastRowFirstColumn="0" w:lastRowLastColumn="0"/>
          <w:tblHeader/>
        </w:trPr>
        <w:tc>
          <w:tcPr>
            <w:tcW w:w="879" w:type="dxa"/>
          </w:tcPr>
          <w:p w14:paraId="2A90F2A2" w14:textId="77777777" w:rsidR="00D1541E" w:rsidRPr="00C32AAD" w:rsidRDefault="009B6523">
            <w:pPr>
              <w:pStyle w:val="Compact"/>
              <w:rPr>
                <w:sz w:val="20"/>
                <w:szCs w:val="20"/>
              </w:rPr>
            </w:pPr>
            <w:r>
              <w:rPr>
                <w:sz w:val="20"/>
                <w:szCs w:val="20"/>
              </w:rPr>
              <w:lastRenderedPageBreak/>
              <w:t>Standort</w:t>
            </w:r>
          </w:p>
        </w:tc>
        <w:tc>
          <w:tcPr>
            <w:tcW w:w="879" w:type="dxa"/>
          </w:tcPr>
          <w:p w14:paraId="15B8FD35" w14:textId="77777777" w:rsidR="00D1541E" w:rsidRPr="00C32AAD" w:rsidRDefault="009B6523">
            <w:pPr>
              <w:pStyle w:val="Compact"/>
              <w:rPr>
                <w:sz w:val="20"/>
                <w:szCs w:val="20"/>
              </w:rPr>
            </w:pPr>
            <w:r>
              <w:rPr>
                <w:sz w:val="20"/>
                <w:szCs w:val="20"/>
              </w:rPr>
              <w:t>LCOH₀₀</w:t>
            </w:r>
          </w:p>
        </w:tc>
        <w:tc>
          <w:tcPr>
            <w:tcW w:w="879" w:type="dxa"/>
          </w:tcPr>
          <w:p w14:paraId="74D69140" w14:textId="77777777" w:rsidR="00D1541E" w:rsidRPr="00C32AAD" w:rsidRDefault="009B6523">
            <w:pPr>
              <w:pStyle w:val="Compact"/>
              <w:rPr>
                <w:sz w:val="20"/>
                <w:szCs w:val="20"/>
              </w:rPr>
            </w:pPr>
            <w:r>
              <w:rPr>
                <w:sz w:val="20"/>
                <w:szCs w:val="20"/>
              </w:rPr>
              <w:t>Δ_Netz,Fix</w:t>
            </w:r>
          </w:p>
        </w:tc>
        <w:tc>
          <w:tcPr>
            <w:tcW w:w="879" w:type="dxa"/>
          </w:tcPr>
          <w:p w14:paraId="668F2A86" w14:textId="77777777" w:rsidR="00D1541E" w:rsidRPr="00C32AAD" w:rsidRDefault="009B6523">
            <w:pPr>
              <w:pStyle w:val="Compact"/>
              <w:rPr>
                <w:sz w:val="20"/>
                <w:szCs w:val="20"/>
              </w:rPr>
            </w:pPr>
            <w:r>
              <w:rPr>
                <w:sz w:val="20"/>
                <w:szCs w:val="20"/>
              </w:rPr>
              <w:t>Δ_Netz,DA</w:t>
            </w:r>
          </w:p>
        </w:tc>
        <w:tc>
          <w:tcPr>
            <w:tcW w:w="879" w:type="dxa"/>
          </w:tcPr>
          <w:p w14:paraId="1D5F54A3" w14:textId="77777777" w:rsidR="00D1541E" w:rsidRPr="00C32AAD" w:rsidRDefault="009B6523">
            <w:pPr>
              <w:pStyle w:val="Compact"/>
              <w:rPr>
                <w:sz w:val="20"/>
                <w:szCs w:val="20"/>
              </w:rPr>
            </w:pPr>
            <w:r>
              <w:rPr>
                <w:sz w:val="20"/>
                <w:szCs w:val="20"/>
              </w:rPr>
              <w:t>Δ_Preis,SNEV</w:t>
            </w:r>
          </w:p>
        </w:tc>
        <w:tc>
          <w:tcPr>
            <w:tcW w:w="879" w:type="dxa"/>
          </w:tcPr>
          <w:p w14:paraId="6D3EB1A7" w14:textId="77777777" w:rsidR="00D1541E" w:rsidRPr="00C32AAD" w:rsidRDefault="009B6523">
            <w:pPr>
              <w:pStyle w:val="Compact"/>
              <w:rPr>
                <w:sz w:val="20"/>
                <w:szCs w:val="20"/>
              </w:rPr>
            </w:pPr>
            <w:r>
              <w:rPr>
                <w:sz w:val="20"/>
                <w:szCs w:val="20"/>
              </w:rPr>
              <w:t>Δ_Preis,AgNes</w:t>
            </w:r>
          </w:p>
        </w:tc>
        <w:tc>
          <w:tcPr>
            <w:tcW w:w="879" w:type="dxa"/>
          </w:tcPr>
          <w:p w14:paraId="1932359A" w14:textId="77777777" w:rsidR="00D1541E" w:rsidRPr="00C32AAD" w:rsidRDefault="009B6523">
            <w:pPr>
              <w:pStyle w:val="Compact"/>
              <w:rPr>
                <w:sz w:val="20"/>
                <w:szCs w:val="20"/>
              </w:rPr>
            </w:pPr>
            <w:r>
              <w:rPr>
                <w:sz w:val="20"/>
                <w:szCs w:val="20"/>
              </w:rPr>
              <w:t>Δ_inter</w:t>
            </w:r>
          </w:p>
        </w:tc>
        <w:tc>
          <w:tcPr>
            <w:tcW w:w="879" w:type="dxa"/>
          </w:tcPr>
          <w:p w14:paraId="363F1802" w14:textId="77777777" w:rsidR="00D1541E" w:rsidRPr="00C32AAD" w:rsidRDefault="009B6523">
            <w:pPr>
              <w:pStyle w:val="Compact"/>
              <w:rPr>
                <w:sz w:val="20"/>
                <w:szCs w:val="20"/>
              </w:rPr>
            </w:pPr>
            <m:oMathPara>
              <m:oMath>
                <m:r>
                  <w:rPr>
                    <w:rFonts w:ascii="Cambria Math" w:hAnsi="Cambria Math"/>
                    <w:sz w:val="20"/>
                    <w:szCs w:val="20"/>
                  </w:rPr>
                  <m:t>C</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oMath>
            </m:oMathPara>
          </w:p>
        </w:tc>
        <w:tc>
          <w:tcPr>
            <w:tcW w:w="879" w:type="dxa"/>
          </w:tcPr>
          <w:p w14:paraId="2D88CE02" w14:textId="77777777" w:rsidR="00D1541E" w:rsidRPr="00C32AAD" w:rsidRDefault="00593523">
            <w:pPr>
              <w:pStyle w:val="Compact"/>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E</m:t>
                </m:r>
              </m:oMath>
            </m:oMathPara>
          </w:p>
        </w:tc>
      </w:tr>
      <w:tr w:rsidR="00D1541E" w:rsidRPr="00C32AAD" w14:paraId="0A6D1E24" w14:textId="77777777">
        <w:tc>
          <w:tcPr>
            <w:tcW w:w="879" w:type="dxa"/>
          </w:tcPr>
          <w:p w14:paraId="5301EFE2" w14:textId="77777777" w:rsidR="00D1541E" w:rsidRPr="00C32AAD" w:rsidRDefault="009B6523">
            <w:pPr>
              <w:pStyle w:val="Compact"/>
              <w:rPr>
                <w:sz w:val="20"/>
                <w:szCs w:val="20"/>
              </w:rPr>
            </w:pPr>
            <w:r>
              <w:rPr>
                <w:sz w:val="20"/>
                <w:szCs w:val="20"/>
              </w:rPr>
              <w:t>Lebensmittelunternehmen</w:t>
            </w:r>
          </w:p>
        </w:tc>
        <w:tc>
          <w:tcPr>
            <w:tcW w:w="879" w:type="dxa"/>
          </w:tcPr>
          <w:p w14:paraId="0C5C9FA0" w14:textId="77777777" w:rsidR="00D1541E" w:rsidRPr="00C32AAD" w:rsidRDefault="009B6523">
            <w:pPr>
              <w:pStyle w:val="Compact"/>
              <w:rPr>
                <w:sz w:val="20"/>
                <w:szCs w:val="20"/>
              </w:rPr>
            </w:pPr>
            <w:r>
              <w:rPr>
                <w:sz w:val="20"/>
                <w:szCs w:val="20"/>
              </w:rPr>
              <w:t>35,24</w:t>
            </w:r>
          </w:p>
        </w:tc>
        <w:tc>
          <w:tcPr>
            <w:tcW w:w="879" w:type="dxa"/>
          </w:tcPr>
          <w:p w14:paraId="58646D87" w14:textId="77777777" w:rsidR="00D1541E" w:rsidRPr="00C32AAD" w:rsidRDefault="009B6523">
            <w:pPr>
              <w:pStyle w:val="Compact"/>
              <w:rPr>
                <w:sz w:val="20"/>
                <w:szCs w:val="20"/>
              </w:rPr>
            </w:pPr>
            <w:r>
              <w:rPr>
                <w:sz w:val="20"/>
                <w:szCs w:val="20"/>
              </w:rPr>
              <w:t>14,19</w:t>
            </w:r>
          </w:p>
        </w:tc>
        <w:tc>
          <w:tcPr>
            <w:tcW w:w="879" w:type="dxa"/>
          </w:tcPr>
          <w:p w14:paraId="1FCABAEC" w14:textId="77777777" w:rsidR="00D1541E" w:rsidRPr="00C32AAD" w:rsidRDefault="009B6523">
            <w:pPr>
              <w:pStyle w:val="Compact"/>
              <w:rPr>
                <w:sz w:val="20"/>
                <w:szCs w:val="20"/>
              </w:rPr>
            </w:pPr>
            <w:r>
              <w:rPr>
                <w:sz w:val="20"/>
                <w:szCs w:val="20"/>
              </w:rPr>
              <w:t>14,80</w:t>
            </w:r>
          </w:p>
        </w:tc>
        <w:tc>
          <w:tcPr>
            <w:tcW w:w="879" w:type="dxa"/>
          </w:tcPr>
          <w:p w14:paraId="3F71B245" w14:textId="77777777" w:rsidR="00D1541E" w:rsidRPr="00C32AAD" w:rsidRDefault="009B6523">
            <w:pPr>
              <w:pStyle w:val="Compact"/>
              <w:rPr>
                <w:sz w:val="20"/>
                <w:szCs w:val="20"/>
              </w:rPr>
            </w:pPr>
            <w:r>
              <w:rPr>
                <w:sz w:val="20"/>
                <w:szCs w:val="20"/>
              </w:rPr>
              <w:t>−4,84</w:t>
            </w:r>
          </w:p>
        </w:tc>
        <w:tc>
          <w:tcPr>
            <w:tcW w:w="879" w:type="dxa"/>
          </w:tcPr>
          <w:p w14:paraId="07D0E64C" w14:textId="77777777" w:rsidR="00D1541E" w:rsidRPr="00C32AAD" w:rsidRDefault="009B6523">
            <w:pPr>
              <w:pStyle w:val="Compact"/>
              <w:rPr>
                <w:sz w:val="20"/>
                <w:szCs w:val="20"/>
              </w:rPr>
            </w:pPr>
            <w:r>
              <w:rPr>
                <w:sz w:val="20"/>
                <w:szCs w:val="20"/>
              </w:rPr>
              <w:t>−4,24</w:t>
            </w:r>
          </w:p>
        </w:tc>
        <w:tc>
          <w:tcPr>
            <w:tcW w:w="879" w:type="dxa"/>
          </w:tcPr>
          <w:p w14:paraId="741FB44B" w14:textId="77777777" w:rsidR="00D1541E" w:rsidRPr="00C32AAD" w:rsidRDefault="009B6523">
            <w:pPr>
              <w:pStyle w:val="Compact"/>
              <w:rPr>
                <w:sz w:val="20"/>
                <w:szCs w:val="20"/>
              </w:rPr>
            </w:pPr>
            <w:r>
              <w:rPr>
                <w:sz w:val="20"/>
                <w:szCs w:val="20"/>
              </w:rPr>
              <w:t>0,61</w:t>
            </w:r>
          </w:p>
        </w:tc>
        <w:tc>
          <w:tcPr>
            <w:tcW w:w="879" w:type="dxa"/>
          </w:tcPr>
          <w:p w14:paraId="7F549468" w14:textId="77777777" w:rsidR="00D1541E" w:rsidRPr="00C32AAD" w:rsidRDefault="009B6523">
            <w:pPr>
              <w:pStyle w:val="Compact"/>
              <w:rPr>
                <w:sz w:val="20"/>
                <w:szCs w:val="20"/>
              </w:rPr>
            </w:pPr>
            <w:r>
              <w:rPr>
                <w:sz w:val="20"/>
                <w:szCs w:val="20"/>
              </w:rPr>
              <w:t>82 %</w:t>
            </w:r>
          </w:p>
        </w:tc>
        <w:tc>
          <w:tcPr>
            <w:tcW w:w="879" w:type="dxa"/>
          </w:tcPr>
          <w:p w14:paraId="6ACE6106" w14:textId="77777777" w:rsidR="00D1541E" w:rsidRPr="00C32AAD" w:rsidRDefault="009B6523">
            <w:pPr>
              <w:pStyle w:val="Compact"/>
              <w:rPr>
                <w:sz w:val="20"/>
                <w:szCs w:val="20"/>
              </w:rPr>
            </w:pPr>
            <w:r>
              <w:rPr>
                <w:sz w:val="20"/>
                <w:szCs w:val="20"/>
              </w:rPr>
              <w:t>0 %</w:t>
            </w:r>
          </w:p>
        </w:tc>
      </w:tr>
      <w:tr w:rsidR="00D1541E" w:rsidRPr="00C32AAD" w14:paraId="2644B3F8" w14:textId="77777777">
        <w:tc>
          <w:tcPr>
            <w:tcW w:w="879" w:type="dxa"/>
          </w:tcPr>
          <w:p w14:paraId="172A0167" w14:textId="77777777" w:rsidR="00D1541E" w:rsidRPr="00C32AAD" w:rsidRDefault="009B6523">
            <w:pPr>
              <w:pStyle w:val="Compact"/>
              <w:rPr>
                <w:sz w:val="20"/>
                <w:szCs w:val="20"/>
              </w:rPr>
            </w:pPr>
            <w:r>
              <w:rPr>
                <w:sz w:val="20"/>
                <w:szCs w:val="20"/>
              </w:rPr>
              <w:t>Chemieunternehmen</w:t>
            </w:r>
          </w:p>
        </w:tc>
        <w:tc>
          <w:tcPr>
            <w:tcW w:w="879" w:type="dxa"/>
          </w:tcPr>
          <w:p w14:paraId="41849A58" w14:textId="77777777" w:rsidR="00D1541E" w:rsidRPr="00C32AAD" w:rsidRDefault="009B6523">
            <w:pPr>
              <w:pStyle w:val="Compact"/>
              <w:rPr>
                <w:sz w:val="20"/>
                <w:szCs w:val="20"/>
              </w:rPr>
            </w:pPr>
            <w:r>
              <w:rPr>
                <w:sz w:val="20"/>
                <w:szCs w:val="20"/>
              </w:rPr>
              <w:t>51,42</w:t>
            </w:r>
          </w:p>
        </w:tc>
        <w:tc>
          <w:tcPr>
            <w:tcW w:w="879" w:type="dxa"/>
          </w:tcPr>
          <w:p w14:paraId="1721F837" w14:textId="77777777" w:rsidR="00D1541E" w:rsidRPr="00C32AAD" w:rsidRDefault="009B6523">
            <w:pPr>
              <w:pStyle w:val="Compact"/>
              <w:rPr>
                <w:sz w:val="20"/>
                <w:szCs w:val="20"/>
              </w:rPr>
            </w:pPr>
            <w:r>
              <w:rPr>
                <w:sz w:val="20"/>
                <w:szCs w:val="20"/>
              </w:rPr>
              <w:t>0,09</w:t>
            </w:r>
          </w:p>
        </w:tc>
        <w:tc>
          <w:tcPr>
            <w:tcW w:w="879" w:type="dxa"/>
          </w:tcPr>
          <w:p w14:paraId="0D3C0C15" w14:textId="77777777" w:rsidR="00D1541E" w:rsidRPr="00C32AAD" w:rsidRDefault="009B6523">
            <w:pPr>
              <w:pStyle w:val="Compact"/>
              <w:rPr>
                <w:sz w:val="20"/>
                <w:szCs w:val="20"/>
              </w:rPr>
            </w:pPr>
            <w:r>
              <w:rPr>
                <w:sz w:val="20"/>
                <w:szCs w:val="20"/>
              </w:rPr>
              <w:t>4,68</w:t>
            </w:r>
          </w:p>
        </w:tc>
        <w:tc>
          <w:tcPr>
            <w:tcW w:w="879" w:type="dxa"/>
          </w:tcPr>
          <w:p w14:paraId="53A83AA6" w14:textId="77777777" w:rsidR="00D1541E" w:rsidRPr="00C32AAD" w:rsidRDefault="009B6523">
            <w:pPr>
              <w:pStyle w:val="Compact"/>
              <w:rPr>
                <w:sz w:val="20"/>
                <w:szCs w:val="20"/>
              </w:rPr>
            </w:pPr>
            <w:r>
              <w:rPr>
                <w:sz w:val="20"/>
                <w:szCs w:val="20"/>
              </w:rPr>
              <w:t>−4,60</w:t>
            </w:r>
          </w:p>
        </w:tc>
        <w:tc>
          <w:tcPr>
            <w:tcW w:w="879" w:type="dxa"/>
          </w:tcPr>
          <w:p w14:paraId="77DED4E8" w14:textId="77777777" w:rsidR="00D1541E" w:rsidRPr="00C32AAD" w:rsidRDefault="009B6523">
            <w:pPr>
              <w:pStyle w:val="Compact"/>
              <w:rPr>
                <w:sz w:val="20"/>
                <w:szCs w:val="20"/>
              </w:rPr>
            </w:pPr>
            <w:r>
              <w:rPr>
                <w:sz w:val="20"/>
                <w:szCs w:val="20"/>
              </w:rPr>
              <w:t>0,00</w:t>
            </w:r>
          </w:p>
        </w:tc>
        <w:tc>
          <w:tcPr>
            <w:tcW w:w="879" w:type="dxa"/>
          </w:tcPr>
          <w:p w14:paraId="3A9AC9FC" w14:textId="77777777" w:rsidR="00D1541E" w:rsidRPr="00C32AAD" w:rsidRDefault="009B6523">
            <w:pPr>
              <w:pStyle w:val="Compact"/>
              <w:rPr>
                <w:sz w:val="20"/>
                <w:szCs w:val="20"/>
              </w:rPr>
            </w:pPr>
            <w:r>
              <w:rPr>
                <w:sz w:val="20"/>
                <w:szCs w:val="20"/>
              </w:rPr>
              <w:t>4,60</w:t>
            </w:r>
          </w:p>
        </w:tc>
        <w:tc>
          <w:tcPr>
            <w:tcW w:w="879" w:type="dxa"/>
          </w:tcPr>
          <w:p w14:paraId="5F438C35" w14:textId="77777777" w:rsidR="00D1541E" w:rsidRPr="00C32AAD" w:rsidRDefault="009B6523">
            <w:pPr>
              <w:pStyle w:val="Compact"/>
              <w:rPr>
                <w:sz w:val="20"/>
                <w:szCs w:val="20"/>
              </w:rPr>
            </w:pPr>
            <w:r>
              <w:rPr>
                <w:sz w:val="20"/>
                <w:szCs w:val="20"/>
              </w:rPr>
              <w:t>77 %</w:t>
            </w:r>
          </w:p>
        </w:tc>
        <w:tc>
          <w:tcPr>
            <w:tcW w:w="879" w:type="dxa"/>
          </w:tcPr>
          <w:p w14:paraId="3D66A7EB" w14:textId="77777777" w:rsidR="00D1541E" w:rsidRPr="00C32AAD" w:rsidRDefault="009B6523">
            <w:pPr>
              <w:pStyle w:val="Compact"/>
              <w:rPr>
                <w:sz w:val="20"/>
                <w:szCs w:val="20"/>
              </w:rPr>
            </w:pPr>
            <w:r>
              <w:rPr>
                <w:sz w:val="20"/>
                <w:szCs w:val="20"/>
              </w:rPr>
              <w:t>1 %</w:t>
            </w:r>
          </w:p>
        </w:tc>
      </w:tr>
      <w:tr w:rsidR="00D1541E" w:rsidRPr="00C32AAD" w14:paraId="4F7B804F" w14:textId="77777777">
        <w:tc>
          <w:tcPr>
            <w:tcW w:w="879" w:type="dxa"/>
          </w:tcPr>
          <w:p w14:paraId="34B90384" w14:textId="77777777" w:rsidR="00D1541E" w:rsidRPr="00C32AAD" w:rsidRDefault="009B6523">
            <w:pPr>
              <w:pStyle w:val="Compact"/>
              <w:rPr>
                <w:sz w:val="20"/>
                <w:szCs w:val="20"/>
              </w:rPr>
            </w:pPr>
            <w:r>
              <w:rPr>
                <w:sz w:val="20"/>
                <w:szCs w:val="20"/>
              </w:rPr>
              <w:t>Metallerzeugung</w:t>
            </w:r>
          </w:p>
        </w:tc>
        <w:tc>
          <w:tcPr>
            <w:tcW w:w="879" w:type="dxa"/>
          </w:tcPr>
          <w:p w14:paraId="38C8B14D" w14:textId="77777777" w:rsidR="00D1541E" w:rsidRPr="00C32AAD" w:rsidRDefault="009B6523">
            <w:pPr>
              <w:pStyle w:val="Compact"/>
              <w:rPr>
                <w:sz w:val="20"/>
                <w:szCs w:val="20"/>
              </w:rPr>
            </w:pPr>
            <w:r>
              <w:rPr>
                <w:sz w:val="20"/>
                <w:szCs w:val="20"/>
              </w:rPr>
              <w:t>52,94</w:t>
            </w:r>
          </w:p>
        </w:tc>
        <w:tc>
          <w:tcPr>
            <w:tcW w:w="879" w:type="dxa"/>
          </w:tcPr>
          <w:p w14:paraId="0646A25B" w14:textId="77777777" w:rsidR="00D1541E" w:rsidRPr="00C32AAD" w:rsidRDefault="009B6523">
            <w:pPr>
              <w:pStyle w:val="Compact"/>
              <w:rPr>
                <w:sz w:val="20"/>
                <w:szCs w:val="20"/>
              </w:rPr>
            </w:pPr>
            <w:r>
              <w:rPr>
                <w:sz w:val="20"/>
                <w:szCs w:val="20"/>
              </w:rPr>
              <w:t>−0,27</w:t>
            </w:r>
          </w:p>
        </w:tc>
        <w:tc>
          <w:tcPr>
            <w:tcW w:w="879" w:type="dxa"/>
          </w:tcPr>
          <w:p w14:paraId="5ECF2631" w14:textId="77777777" w:rsidR="00D1541E" w:rsidRPr="00C32AAD" w:rsidRDefault="009B6523">
            <w:pPr>
              <w:pStyle w:val="Compact"/>
              <w:rPr>
                <w:sz w:val="20"/>
                <w:szCs w:val="20"/>
              </w:rPr>
            </w:pPr>
            <w:r>
              <w:rPr>
                <w:sz w:val="20"/>
                <w:szCs w:val="20"/>
              </w:rPr>
              <w:t>−4,11</w:t>
            </w:r>
          </w:p>
        </w:tc>
        <w:tc>
          <w:tcPr>
            <w:tcW w:w="879" w:type="dxa"/>
          </w:tcPr>
          <w:p w14:paraId="4BF91B4A" w14:textId="77777777" w:rsidR="00D1541E" w:rsidRPr="00C32AAD" w:rsidRDefault="009B6523">
            <w:pPr>
              <w:pStyle w:val="Compact"/>
              <w:rPr>
                <w:sz w:val="20"/>
                <w:szCs w:val="20"/>
              </w:rPr>
            </w:pPr>
            <w:r>
              <w:rPr>
                <w:sz w:val="20"/>
                <w:szCs w:val="20"/>
              </w:rPr>
              <w:t>0,00</w:t>
            </w:r>
          </w:p>
        </w:tc>
        <w:tc>
          <w:tcPr>
            <w:tcW w:w="879" w:type="dxa"/>
          </w:tcPr>
          <w:p w14:paraId="2E98B888" w14:textId="77777777" w:rsidR="00D1541E" w:rsidRPr="00C32AAD" w:rsidRDefault="009B6523">
            <w:pPr>
              <w:pStyle w:val="Compact"/>
              <w:rPr>
                <w:sz w:val="20"/>
                <w:szCs w:val="20"/>
              </w:rPr>
            </w:pPr>
            <w:r>
              <w:rPr>
                <w:sz w:val="20"/>
                <w:szCs w:val="20"/>
              </w:rPr>
              <w:t>−3,84</w:t>
            </w:r>
          </w:p>
        </w:tc>
        <w:tc>
          <w:tcPr>
            <w:tcW w:w="879" w:type="dxa"/>
          </w:tcPr>
          <w:p w14:paraId="33EBFA4C" w14:textId="77777777" w:rsidR="00D1541E" w:rsidRPr="00C32AAD" w:rsidRDefault="009B6523">
            <w:pPr>
              <w:pStyle w:val="Compact"/>
              <w:rPr>
                <w:sz w:val="20"/>
                <w:szCs w:val="20"/>
              </w:rPr>
            </w:pPr>
            <w:r>
              <w:rPr>
                <w:sz w:val="20"/>
                <w:szCs w:val="20"/>
              </w:rPr>
              <w:t>−3,84</w:t>
            </w:r>
          </w:p>
        </w:tc>
        <w:tc>
          <w:tcPr>
            <w:tcW w:w="879" w:type="dxa"/>
          </w:tcPr>
          <w:p w14:paraId="7EEDF49F" w14:textId="77777777" w:rsidR="00D1541E" w:rsidRPr="00C32AAD" w:rsidRDefault="009B6523">
            <w:pPr>
              <w:pStyle w:val="Compact"/>
              <w:rPr>
                <w:sz w:val="20"/>
                <w:szCs w:val="20"/>
              </w:rPr>
            </w:pPr>
            <w:r>
              <w:rPr>
                <w:sz w:val="20"/>
                <w:szCs w:val="20"/>
              </w:rPr>
              <w:t>15 %</w:t>
            </w:r>
          </w:p>
        </w:tc>
        <w:tc>
          <w:tcPr>
            <w:tcW w:w="879" w:type="dxa"/>
          </w:tcPr>
          <w:p w14:paraId="09CE6EC0" w14:textId="77777777" w:rsidR="00D1541E" w:rsidRPr="00C32AAD" w:rsidRDefault="009B6523">
            <w:pPr>
              <w:pStyle w:val="Compact"/>
              <w:rPr>
                <w:sz w:val="20"/>
                <w:szCs w:val="20"/>
              </w:rPr>
            </w:pPr>
            <w:r>
              <w:rPr>
                <w:sz w:val="20"/>
                <w:szCs w:val="20"/>
              </w:rPr>
              <w:t>55 %</w:t>
            </w:r>
          </w:p>
        </w:tc>
      </w:tr>
      <w:tr w:rsidR="00D1541E" w:rsidRPr="00C32AAD" w14:paraId="0B033D2E" w14:textId="77777777">
        <w:tc>
          <w:tcPr>
            <w:tcW w:w="879" w:type="dxa"/>
          </w:tcPr>
          <w:p w14:paraId="4FF63841" w14:textId="77777777" w:rsidR="00D1541E" w:rsidRPr="00C32AAD" w:rsidRDefault="009B6523">
            <w:pPr>
              <w:pStyle w:val="Compact"/>
              <w:rPr>
                <w:sz w:val="20"/>
                <w:szCs w:val="20"/>
              </w:rPr>
            </w:pPr>
            <w:r>
              <w:rPr>
                <w:sz w:val="20"/>
                <w:szCs w:val="20"/>
              </w:rPr>
              <w:t>Papierfabrik</w:t>
            </w:r>
          </w:p>
        </w:tc>
        <w:tc>
          <w:tcPr>
            <w:tcW w:w="879" w:type="dxa"/>
          </w:tcPr>
          <w:p w14:paraId="33D9027C" w14:textId="77777777" w:rsidR="00D1541E" w:rsidRPr="00C32AAD" w:rsidRDefault="009B6523">
            <w:pPr>
              <w:pStyle w:val="Compact"/>
              <w:rPr>
                <w:sz w:val="20"/>
                <w:szCs w:val="20"/>
              </w:rPr>
            </w:pPr>
            <w:r>
              <w:rPr>
                <w:sz w:val="20"/>
                <w:szCs w:val="20"/>
              </w:rPr>
              <w:t>44,50</w:t>
            </w:r>
          </w:p>
        </w:tc>
        <w:tc>
          <w:tcPr>
            <w:tcW w:w="879" w:type="dxa"/>
          </w:tcPr>
          <w:p w14:paraId="274125F7" w14:textId="77777777" w:rsidR="00D1541E" w:rsidRPr="00C32AAD" w:rsidRDefault="009B6523">
            <w:pPr>
              <w:pStyle w:val="Compact"/>
              <w:rPr>
                <w:sz w:val="20"/>
                <w:szCs w:val="20"/>
              </w:rPr>
            </w:pPr>
            <w:r>
              <w:rPr>
                <w:sz w:val="20"/>
                <w:szCs w:val="20"/>
              </w:rPr>
              <w:t>4,85</w:t>
            </w:r>
          </w:p>
        </w:tc>
        <w:tc>
          <w:tcPr>
            <w:tcW w:w="879" w:type="dxa"/>
          </w:tcPr>
          <w:p w14:paraId="095A432F" w14:textId="77777777" w:rsidR="00D1541E" w:rsidRPr="00C32AAD" w:rsidRDefault="009B6523">
            <w:pPr>
              <w:pStyle w:val="Compact"/>
              <w:rPr>
                <w:sz w:val="20"/>
                <w:szCs w:val="20"/>
              </w:rPr>
            </w:pPr>
            <w:r>
              <w:rPr>
                <w:sz w:val="20"/>
                <w:szCs w:val="20"/>
              </w:rPr>
              <w:t>4,92</w:t>
            </w:r>
          </w:p>
        </w:tc>
        <w:tc>
          <w:tcPr>
            <w:tcW w:w="879" w:type="dxa"/>
          </w:tcPr>
          <w:p w14:paraId="66D01C5E" w14:textId="77777777" w:rsidR="00D1541E" w:rsidRPr="00C32AAD" w:rsidRDefault="009B6523">
            <w:pPr>
              <w:pStyle w:val="Compact"/>
              <w:rPr>
                <w:sz w:val="20"/>
                <w:szCs w:val="20"/>
              </w:rPr>
            </w:pPr>
            <w:r>
              <w:rPr>
                <w:sz w:val="20"/>
                <w:szCs w:val="20"/>
              </w:rPr>
              <w:t>−4,57</w:t>
            </w:r>
          </w:p>
        </w:tc>
        <w:tc>
          <w:tcPr>
            <w:tcW w:w="879" w:type="dxa"/>
          </w:tcPr>
          <w:p w14:paraId="58DD2820" w14:textId="77777777" w:rsidR="00D1541E" w:rsidRPr="00C32AAD" w:rsidRDefault="009B6523">
            <w:pPr>
              <w:pStyle w:val="Compact"/>
              <w:rPr>
                <w:sz w:val="20"/>
                <w:szCs w:val="20"/>
              </w:rPr>
            </w:pPr>
            <w:r>
              <w:rPr>
                <w:sz w:val="20"/>
                <w:szCs w:val="20"/>
              </w:rPr>
              <w:t>−4,50</w:t>
            </w:r>
          </w:p>
        </w:tc>
        <w:tc>
          <w:tcPr>
            <w:tcW w:w="879" w:type="dxa"/>
          </w:tcPr>
          <w:p w14:paraId="375935A2" w14:textId="77777777" w:rsidR="00D1541E" w:rsidRPr="00C32AAD" w:rsidRDefault="009B6523">
            <w:pPr>
              <w:pStyle w:val="Compact"/>
              <w:rPr>
                <w:sz w:val="20"/>
                <w:szCs w:val="20"/>
              </w:rPr>
            </w:pPr>
            <w:r>
              <w:rPr>
                <w:sz w:val="20"/>
                <w:szCs w:val="20"/>
              </w:rPr>
              <w:t>0,07</w:t>
            </w:r>
          </w:p>
        </w:tc>
        <w:tc>
          <w:tcPr>
            <w:tcW w:w="879" w:type="dxa"/>
          </w:tcPr>
          <w:p w14:paraId="746B51CE" w14:textId="77777777" w:rsidR="00D1541E" w:rsidRPr="00C32AAD" w:rsidRDefault="009B6523">
            <w:pPr>
              <w:pStyle w:val="Compact"/>
              <w:rPr>
                <w:sz w:val="20"/>
                <w:szCs w:val="20"/>
              </w:rPr>
            </w:pPr>
            <w:r>
              <w:rPr>
                <w:sz w:val="20"/>
                <w:szCs w:val="20"/>
              </w:rPr>
              <w:t>92 %</w:t>
            </w:r>
          </w:p>
        </w:tc>
        <w:tc>
          <w:tcPr>
            <w:tcW w:w="879" w:type="dxa"/>
          </w:tcPr>
          <w:p w14:paraId="542E3064" w14:textId="77777777" w:rsidR="00D1541E" w:rsidRPr="00C32AAD" w:rsidRDefault="009B6523">
            <w:pPr>
              <w:pStyle w:val="Compact"/>
              <w:rPr>
                <w:sz w:val="20"/>
                <w:szCs w:val="20"/>
              </w:rPr>
            </w:pPr>
            <w:r>
              <w:rPr>
                <w:sz w:val="20"/>
                <w:szCs w:val="20"/>
              </w:rPr>
              <w:t>1 %</w:t>
            </w:r>
          </w:p>
        </w:tc>
      </w:tr>
    </w:tbl>
    <w:p w14:paraId="164EC0D1" w14:textId="77777777" w:rsidR="00D1541E" w:rsidRPr="007128E8" w:rsidRDefault="00727CF6">
      <w:pPr>
        <w:pStyle w:val="berschrift2"/>
        <w:rPr>
          <w:lang w:val="de-DE"/>
        </w:rPr>
      </w:pPr>
      <w:bookmarkStart w:id="24" w:name="diskussion-und-grenzen"/>
      <w:bookmarkEnd w:id="21"/>
      <w:bookmarkEnd w:id="23"/>
      <w:r>
        <w:rPr>
          <w:lang w:val="de-DE"/>
        </w:rPr>
        <w:t xml:space="preserve">6 Diskussion </w:t>
      </w:r>
    </w:p>
    <w:p w14:paraId="6647C0C1" w14:textId="77777777" w:rsidR="000A697F" w:rsidRPr="000A697F" w:rsidRDefault="000A697F" w:rsidP="000A697F">
      <w:pPr>
        <w:pStyle w:val="FirstParagraph"/>
        <w:rPr>
          <w:lang w:val="de-DE"/>
        </w:rPr>
      </w:pPr>
      <w:r>
        <w:rPr>
          <w:lang w:val="de-DE"/>
        </w:rPr>
        <w:t>Die Wirkung von AgNes ist standortspezifisch: Einer Entlastung durch die freie Kapazitätswahl und die veränderte Bepreisung von Überschreitungen steht eine mögliche höhere Arbeitspreisbelastung gegenüber. Hohe Benutzungsdauern werden dadurch anders beeinflusst als spitzenlastige Standorte. Auch der Speicherwert ist nicht eindeutig; entscheidend ist die Reduktion der Gesamtsystemkosten statt allein der Höchstlast.</w:t>
      </w:r>
    </w:p>
    <w:p w14:paraId="69BA9A1B" w14:textId="77777777" w:rsidR="000A697F" w:rsidRPr="000A697F" w:rsidRDefault="000A697F" w:rsidP="000A697F">
      <w:pPr>
        <w:pStyle w:val="FirstParagraph"/>
        <w:rPr>
          <w:lang w:val="de-DE"/>
        </w:rPr>
      </w:pPr>
      <w:r>
        <w:rPr>
          <w:lang w:val="de-DE"/>
        </w:rPr>
        <w:t>Bei endogenem C entsteht eine Rückkopplung zwischen Bestellkapazität, Anlagenbetrieb und dem daraus resultierenden Lastgang. Diese Rückkopplung wird im gekoppelten Optimierungsfall abgebildet; eine zusätzliche dynamische Nachjustierung der Buchung während des Jahres wird nicht modelliert. Weitere Einschränkungen sind LP statt MILP, Perfect Foresight [12], exogener Wärmebedarf, szenarische Tarife, fixe Ebenenzuordnung, unterschiedliche Preisjahre, replizierte Stundenpreise, nicht modellierte §-19-/Baukosteneffekte, exogenes P_grid, fehlendes &gt;500-°C-Band und der Entwurfsstand von AgNes. Die vier Fälle erlauben keine statistische Verallgemeinerung.</w:t>
      </w:r>
    </w:p>
    <w:p w14:paraId="36B6F086" w14:textId="77777777" w:rsidR="00D1541E" w:rsidRPr="000A697F" w:rsidRDefault="000A697F" w:rsidP="000A697F">
      <w:pPr>
        <w:pStyle w:val="FirstParagraph"/>
        <w:rPr>
          <w:lang w:val="de-DE"/>
        </w:rPr>
      </w:pPr>
      <w:r>
        <w:rPr>
          <w:lang w:val="de-DE"/>
        </w:rPr>
        <w:t>Weiterführend sind insbesondere eine stochastische Bestellung, die Quantifizierung eines Flexibilitäts-Sondernetzentgelts, die Endogenisierung von P_grid sowie die Übertragung der Analytik auf weitere Kapazitätsregime.</w:t>
      </w:r>
    </w:p>
    <w:p w14:paraId="2336220B" w14:textId="77777777" w:rsidR="00D1541E" w:rsidRPr="007128E8" w:rsidRDefault="00727CF6">
      <w:pPr>
        <w:pStyle w:val="berschrift2"/>
        <w:rPr>
          <w:lang w:val="de-DE"/>
        </w:rPr>
      </w:pPr>
      <w:bookmarkStart w:id="25" w:name="handlungsempfehlungen-und-fazit"/>
      <w:bookmarkEnd w:id="24"/>
      <w:r>
        <w:rPr>
          <w:lang w:val="de-DE"/>
        </w:rPr>
        <w:t>7 Fazit</w:t>
      </w:r>
    </w:p>
    <w:p w14:paraId="6EC4BFE8" w14:textId="77777777" w:rsidR="00D1541E" w:rsidRPr="007128E8" w:rsidRDefault="009B6523">
      <w:pPr>
        <w:pStyle w:val="FirstParagraph"/>
        <w:rPr>
          <w:lang w:val="de-DE"/>
        </w:rPr>
      </w:pPr>
      <w:r>
        <w:rPr>
          <w:b/>
          <w:bCs/>
          <w:lang w:val="de-DE"/>
        </w:rPr>
        <w:t>Fünf-Schritte-Bestellverfahren ohne Optimierungssoftware</w:t>
      </w:r>
    </w:p>
    <w:p w14:paraId="0D03252A" w14:textId="77777777" w:rsidR="00D1541E" w:rsidRPr="007128E8" w:rsidRDefault="009B6523">
      <w:pPr>
        <w:pStyle w:val="Compact"/>
        <w:numPr>
          <w:ilvl w:val="0"/>
          <w:numId w:val="4"/>
        </w:numPr>
        <w:rPr>
          <w:lang w:val="de-DE"/>
        </w:rPr>
      </w:pPr>
      <w:r>
        <w:rPr>
          <w:lang w:val="de-DE"/>
        </w:rPr>
        <w:t xml:space="preserve">Viertelstundenlastgang des </w:t>
      </w:r>
      <w:r>
        <w:rPr>
          <w:b/>
          <w:bCs/>
          <w:lang w:val="de-DE"/>
        </w:rPr>
        <w:t>Gesamtwerks</w:t>
      </w:r>
      <w:r>
        <w:rPr>
          <w:lang w:val="de-DE"/>
        </w:rPr>
        <w:t xml:space="preserve"> für das Bestelljahr prognostizieren und die geplante Wärmeelektrifizierung addieren.</w:t>
      </w:r>
    </w:p>
    <w:p w14:paraId="4CB575BA" w14:textId="77777777" w:rsidR="00D1541E" w:rsidRPr="007128E8" w:rsidRDefault="00593523">
      <w:pPr>
        <w:pStyle w:val="Compact"/>
        <w:numPr>
          <w:ilvl w:val="0"/>
          <w:numId w:val="4"/>
        </w:numPr>
        <w:rPr>
          <w:lang w:val="de-DE"/>
        </w:rPr>
      </w:pP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r>
          <m:rPr>
            <m:sty m:val="p"/>
          </m:rPr>
          <w:rPr>
            <w:rFonts w:ascii="Cambria Math" w:hAnsi="Cambria Math"/>
            <w:lang w:val="de-DE"/>
          </w:rPr>
          <m:t>=</m:t>
        </m:r>
        <m:r>
          <w:rPr>
            <w:rFonts w:ascii="Cambria Math" w:hAnsi="Cambria Math"/>
            <w:lang w:val="de-DE"/>
          </w:rPr>
          <m:t>1000</m:t>
        </m:r>
        <m:r>
          <m:rPr>
            <m:sty m:val="p"/>
          </m:rPr>
          <w:rPr>
            <w:rFonts w:ascii="Cambria Math" w:hAnsi="Cambria Math"/>
            <w:lang w:val="de-DE"/>
          </w:rPr>
          <m:t>⋅</m:t>
        </m:r>
        <m:r>
          <m:rPr>
            <m:sty m:val="p"/>
          </m:rPr>
          <w:rPr>
            <w:rFonts w:ascii="Cambria Math" w:hAnsi="Cambria Math"/>
            <w:lang w:val="de-DE"/>
          </w:rPr>
          <m:t>KP/</m:t>
        </m:r>
        <m:d>
          <m:dPr>
            <m:ctrlPr>
              <w:rPr>
                <w:rFonts w:ascii="Cambria Math" w:hAnsi="Cambria Math"/>
              </w:rPr>
            </m:ctrlPr>
          </m:dPr>
          <m:e>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m:rPr>
                    <m:sty m:val="p"/>
                  </m:rPr>
                  <w:rPr>
                    <w:rFonts w:ascii="Cambria Math" w:hAnsi="Cambria Math"/>
                    <w:lang w:val="de-DE"/>
                  </w:rPr>
                  <m:t>AP</m:t>
                </m:r>
              </m:e>
              <m:sub>
                <m:r>
                  <w:rPr>
                    <w:rFonts w:ascii="Cambria Math" w:hAnsi="Cambria Math"/>
                    <w:lang w:val="de-DE"/>
                  </w:rPr>
                  <m:t>1</m:t>
                </m:r>
              </m:sub>
            </m:sSub>
          </m:e>
        </m:d>
      </m:oMath>
      <w:r>
        <w:rPr>
          <w:lang w:val="de-DE"/>
        </w:rPr>
        <w:t xml:space="preserve"> aus dem Preisblatt berechnen.</w:t>
      </w:r>
    </w:p>
    <w:p w14:paraId="6872469F" w14:textId="77777777" w:rsidR="00D1541E" w:rsidRPr="007128E8" w:rsidRDefault="009B6523">
      <w:pPr>
        <w:pStyle w:val="Compact"/>
        <w:numPr>
          <w:ilvl w:val="0"/>
          <w:numId w:val="4"/>
        </w:numPr>
        <w:rPr>
          <w:lang w:val="de-DE"/>
        </w:rPr>
      </w:pPr>
      <w:r>
        <w:rPr>
          <w:lang w:val="de-DE"/>
        </w:rPr>
        <w:t xml:space="preserve">Jahresdauerlinie bilden und die Kapazität bei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ablesen → </w:t>
      </w:r>
      <m:oMath>
        <m:sSup>
          <m:sSupPr>
            <m:ctrlPr>
              <w:rPr>
                <w:rFonts w:ascii="Cambria Math" w:hAnsi="Cambria Math"/>
              </w:rPr>
            </m:ctrlPr>
          </m:sSupPr>
          <m:e>
            <m:r>
              <w:rPr>
                <w:rFonts w:ascii="Cambria Math" w:hAnsi="Cambria Math"/>
              </w:rPr>
              <m:t>C</m:t>
            </m:r>
          </m:e>
          <m:sup>
            <m:r>
              <m:rPr>
                <m:sty m:val="p"/>
              </m:rPr>
              <w:rPr>
                <w:rFonts w:ascii="Cambria Math" w:hAnsi="Cambria Math"/>
                <w:lang w:val="de-DE"/>
              </w:rPr>
              <m:t>*</m:t>
            </m:r>
          </m:sup>
        </m:sSup>
      </m:oMath>
      <w:r>
        <w:rPr>
          <w:lang w:val="de-DE"/>
        </w:rPr>
        <w:t>.</w:t>
      </w:r>
    </w:p>
    <w:p w14:paraId="030C2ABE" w14:textId="77777777" w:rsidR="00D1541E" w:rsidRPr="007128E8" w:rsidRDefault="009B6523">
      <w:pPr>
        <w:pStyle w:val="Compact"/>
        <w:numPr>
          <w:ilvl w:val="0"/>
          <w:numId w:val="4"/>
        </w:numPr>
        <w:rPr>
          <w:lang w:val="de-DE"/>
        </w:rPr>
      </w:pPr>
      <w:r>
        <w:rPr>
          <w:lang w:val="de-DE"/>
        </w:rPr>
        <w:t xml:space="preserve">Auf </w:t>
      </w:r>
      <m:oMath>
        <m:d>
          <m:dPr>
            <m:begChr m:val="["/>
            <m:endChr m:val="]"/>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P</m:t>
                </m:r>
              </m:e>
              <m:sub>
                <m:r>
                  <m:rPr>
                    <m:sty m:val="p"/>
                  </m:rPr>
                  <w:rPr>
                    <w:rFonts w:ascii="Cambria Math" w:hAnsi="Cambria Math"/>
                    <w:lang w:val="de-DE"/>
                  </w:rPr>
                  <m:t>max,prev</m:t>
                </m:r>
              </m:sub>
            </m:sSub>
            <m:r>
              <m:rPr>
                <m:sty m:val="p"/>
              </m:rPr>
              <w:rPr>
                <w:rFonts w:ascii="Cambria Math" w:hAnsi="Cambria Math"/>
                <w:lang w:val="de-DE"/>
              </w:rPr>
              <m:t>,</m:t>
            </m:r>
            <m:sSub>
              <m:sSubPr>
                <m:ctrlPr>
                  <w:rPr>
                    <w:rFonts w:ascii="Cambria Math" w:hAnsi="Cambria Math"/>
                  </w:rPr>
                </m:ctrlPr>
              </m:sSubPr>
              <m:e>
                <m:r>
                  <w:rPr>
                    <w:rFonts w:ascii="Cambria Math" w:hAnsi="Cambria Math"/>
                  </w:rPr>
                  <m:t>P</m:t>
                </m:r>
              </m:e>
              <m:sub>
                <m:r>
                  <m:rPr>
                    <m:sty m:val="p"/>
                  </m:rPr>
                  <w:rPr>
                    <w:rFonts w:ascii="Cambria Math" w:hAnsi="Cambria Math"/>
                    <w:lang w:val="de-DE"/>
                  </w:rPr>
                  <m:t>grid</m:t>
                </m:r>
              </m:sub>
            </m:sSub>
          </m:e>
        </m:d>
      </m:oMath>
      <w:r>
        <w:rPr>
          <w:lang w:val="de-DE"/>
        </w:rPr>
        <w:t xml:space="preserve"> begrenzen; Prognoseunsicherheit als Zuschlag prüfen — der Zuschlag ist nur rational, solange die zugeschlagene Scheibe im Erwartungswert länger als </w:t>
      </w:r>
      <m:oMath>
        <m:sSup>
          <m:sSupPr>
            <m:ctrlPr>
              <w:rPr>
                <w:rFonts w:ascii="Cambria Math" w:hAnsi="Cambria Math"/>
              </w:rPr>
            </m:ctrlPr>
          </m:sSupPr>
          <m:e>
            <m:r>
              <w:rPr>
                <w:rFonts w:ascii="Cambria Math" w:hAnsi="Cambria Math"/>
                <w:lang w:val="de-DE"/>
              </w:rPr>
              <m:t>h</m:t>
            </m:r>
          </m:e>
          <m:sup>
            <m:r>
              <m:rPr>
                <m:sty m:val="p"/>
              </m:rPr>
              <w:rPr>
                <w:rFonts w:ascii="Cambria Math" w:hAnsi="Cambria Math"/>
                <w:lang w:val="de-DE"/>
              </w:rPr>
              <m:t>*</m:t>
            </m:r>
          </m:sup>
        </m:sSup>
      </m:oMath>
      <w:r>
        <w:rPr>
          <w:lang w:val="de-DE"/>
        </w:rPr>
        <w:t xml:space="preserve"> benötigt wird.</w:t>
      </w:r>
    </w:p>
    <w:p w14:paraId="04D05A7F" w14:textId="77777777" w:rsidR="00D1541E" w:rsidRPr="007128E8" w:rsidRDefault="009B6523">
      <w:pPr>
        <w:pStyle w:val="Compact"/>
        <w:numPr>
          <w:ilvl w:val="0"/>
          <w:numId w:val="4"/>
        </w:numPr>
        <w:rPr>
          <w:lang w:val="de-DE"/>
        </w:rPr>
      </w:pPr>
      <w:r>
        <w:rPr>
          <w:b/>
          <w:bCs/>
          <w:lang w:val="de-DE"/>
        </w:rPr>
        <w:t>Speicher anschließend als Teil der Gesamtsystemauslegung bewerten, nicht allein anhand der Höchstlastreduktion.</w:t>
      </w:r>
    </w:p>
    <w:p w14:paraId="482C78B4" w14:textId="77777777" w:rsidR="00D1541E" w:rsidRPr="007128E8" w:rsidRDefault="009B6523">
      <w:pPr>
        <w:pStyle w:val="FirstParagraph"/>
        <w:rPr>
          <w:lang w:val="de-DE"/>
        </w:rPr>
      </w:pPr>
      <w:r>
        <w:rPr>
          <w:lang w:val="de-DE"/>
        </w:rPr>
        <w:t xml:space="preserve">Fazit. Der AgNes-Entwurf verändert die inkrementellen Wärmekosten standortspezifisch. In den untersuchten Fällen wirken Netzentgelt- und Spotpreisflexibilität überwiegend komplementär. Die analytische Bestellregel ist bei exogenem Lastgang nahezu exakt und weicht im gekoppelten Modell um bis zu 31,5 % ab. Für die praktische Anwendung eignet sich die Dauerlinienregel daher als transparenter Erstansatz; bei deutlicher Rückkopplung </w:t>
      </w:r>
      <w:r>
        <w:rPr>
          <w:lang w:val="de-DE"/>
        </w:rPr>
        <w:lastRenderedPageBreak/>
        <w:t xml:space="preserve">zwischen Elektrifizierung, Speicher und Netzbezug bleibt eine gekoppelte Optimierung erforderlich. Die Parametrierung der Kennzahl </w:t>
      </w:r>
      <w:r>
        <w:t>θ</w:t>
      </w:r>
      <w:r>
        <w:rPr>
          <w:lang w:val="de-DE"/>
        </w:rPr>
        <w:t xml:space="preserve"> ist für die Voll- oder Teilbestellung besonders sensitiv.</w:t>
      </w:r>
    </w:p>
    <w:p w14:paraId="6D1F758F" w14:textId="77777777" w:rsidR="00D1541E" w:rsidRPr="000B62A8" w:rsidRDefault="009B6523">
      <w:pPr>
        <w:pStyle w:val="berschrift2"/>
      </w:pPr>
      <w:bookmarkStart w:id="26" w:name="literatur"/>
      <w:bookmarkEnd w:id="25"/>
      <w:r>
        <w:t>Literatur</w:t>
      </w:r>
    </w:p>
    <w:p w14:paraId="6AEDDA3F" w14:textId="77777777" w:rsidR="005D2868" w:rsidRDefault="005D2868">
      <w:pPr>
        <w:pStyle w:val="FirstParagraph"/>
      </w:pPr>
    </w:p>
    <w:p w14:paraId="41DA80EC" w14:textId="77777777" w:rsidR="005D2868" w:rsidRPr="00852142" w:rsidRDefault="00593523">
      <w:pPr>
        <w:pStyle w:val="FirstParagraph"/>
      </w:pPr>
      <w:r w:rsidRPr="00852142">
        <w:t xml:space="preserve">[1] </w:t>
      </w:r>
      <w:proofErr w:type="spellStart"/>
      <w:r w:rsidRPr="00852142">
        <w:t>Naegler</w:t>
      </w:r>
      <w:proofErr w:type="spellEnd"/>
      <w:r w:rsidRPr="00852142">
        <w:t>, T.; Simon, S.; Klein, M.; Gils, H. C.: Quantification of the European industrial heat demand by branch and temperature level. Int. J. Energy Res. 39 (2015), 2019–2030.</w:t>
      </w:r>
    </w:p>
    <w:p w14:paraId="7690B612" w14:textId="77777777" w:rsidR="005D2868" w:rsidRPr="00852142" w:rsidRDefault="00593523">
      <w:pPr>
        <w:pStyle w:val="FirstParagraph"/>
      </w:pPr>
      <w:r w:rsidRPr="00852142">
        <w:t xml:space="preserve">[2] Rehfeldt, M.; </w:t>
      </w:r>
      <w:proofErr w:type="spellStart"/>
      <w:r w:rsidRPr="00852142">
        <w:t>Fleiter</w:t>
      </w:r>
      <w:proofErr w:type="spellEnd"/>
      <w:r w:rsidRPr="00852142">
        <w:t>, T.; Toro, F.: A bottom-up estimation of heating and cooling demand in European industry. Energy Efficiency 11 (2018), 1057–1082.</w:t>
      </w:r>
    </w:p>
    <w:p w14:paraId="7D28F0A0" w14:textId="77777777" w:rsidR="005D2868" w:rsidRPr="00852142" w:rsidRDefault="00593523">
      <w:pPr>
        <w:pStyle w:val="FirstParagraph"/>
      </w:pPr>
      <w:r w:rsidRPr="00852142">
        <w:t xml:space="preserve">[3] </w:t>
      </w:r>
      <w:proofErr w:type="spellStart"/>
      <w:r w:rsidRPr="00852142">
        <w:t>Madeddu</w:t>
      </w:r>
      <w:proofErr w:type="spellEnd"/>
      <w:r w:rsidRPr="00852142">
        <w:t>, S. et al.: The CO₂ reduction potential for the European industry via direct electrification of heat supply. Environ. Res. Lett. 15 (2020), 124004.</w:t>
      </w:r>
    </w:p>
    <w:p w14:paraId="26A42529" w14:textId="77777777" w:rsidR="005D2868" w:rsidRPr="00852142" w:rsidRDefault="00593523">
      <w:pPr>
        <w:pStyle w:val="FirstParagraph"/>
      </w:pPr>
      <w:r w:rsidRPr="00852142">
        <w:t xml:space="preserve">[4] </w:t>
      </w:r>
      <w:proofErr w:type="spellStart"/>
      <w:r w:rsidRPr="00852142">
        <w:t>Arpagaus</w:t>
      </w:r>
      <w:proofErr w:type="spellEnd"/>
      <w:r w:rsidRPr="00852142">
        <w:t>, C. et al.: High temperature heat pumps: Market overview, state of the art, research status, refrigerants, and application potentials. Energy 152 (2018), 985–1010.</w:t>
      </w:r>
    </w:p>
    <w:p w14:paraId="02325344" w14:textId="77777777" w:rsidR="005D2868" w:rsidRPr="00852142" w:rsidRDefault="00593523">
      <w:pPr>
        <w:pStyle w:val="FirstParagraph"/>
      </w:pPr>
      <w:r w:rsidRPr="00852142">
        <w:t xml:space="preserve">[5] </w:t>
      </w:r>
      <w:proofErr w:type="spellStart"/>
      <w:r w:rsidRPr="00852142">
        <w:t>Zühlsdorf</w:t>
      </w:r>
      <w:proofErr w:type="spellEnd"/>
      <w:r w:rsidRPr="00852142">
        <w:t>, B. et al.: Analysis of technologies and potentials for heat pump-based process heat supply above 150 °C. Energy Conversion and Management: X 2 (2019), 100011.</w:t>
      </w:r>
    </w:p>
    <w:p w14:paraId="5FB1021C" w14:textId="77777777" w:rsidR="005D2868" w:rsidRPr="00852142" w:rsidRDefault="00593523">
      <w:pPr>
        <w:pStyle w:val="FirstParagraph"/>
      </w:pPr>
      <w:r w:rsidRPr="00852142">
        <w:t xml:space="preserve">[6] </w:t>
      </w:r>
      <w:proofErr w:type="spellStart"/>
      <w:r w:rsidRPr="00852142">
        <w:t>Bloess</w:t>
      </w:r>
      <w:proofErr w:type="spellEnd"/>
      <w:r w:rsidRPr="00852142">
        <w:t xml:space="preserve">, A.; Schill, W.-P.; </w:t>
      </w:r>
      <w:proofErr w:type="spellStart"/>
      <w:r w:rsidRPr="00852142">
        <w:t>Zerrahn</w:t>
      </w:r>
      <w:proofErr w:type="spellEnd"/>
      <w:r w:rsidRPr="00852142">
        <w:t>, A.: Power-to-heat for renewable energy integration. Applied Energy 212 (2018), 1611–1626.</w:t>
      </w:r>
    </w:p>
    <w:p w14:paraId="4B215439" w14:textId="77777777" w:rsidR="005D2868" w:rsidRPr="00852142" w:rsidRDefault="00593523">
      <w:pPr>
        <w:pStyle w:val="FirstParagraph"/>
      </w:pPr>
      <w:r w:rsidRPr="00852142">
        <w:t>[7] Miró, L.; Gasia, J.; Cabeza, L. F.: Thermal energy storage for industrial waste heat recovery: A review. Applied Energy 179 (2016), 284–301.</w:t>
      </w:r>
    </w:p>
    <w:p w14:paraId="58A8F342" w14:textId="77777777" w:rsidR="005D2868" w:rsidRPr="00852142" w:rsidRDefault="00593523">
      <w:pPr>
        <w:pStyle w:val="FirstParagraph"/>
      </w:pPr>
      <w:r w:rsidRPr="00852142">
        <w:t xml:space="preserve">[8] Paulus, M.; </w:t>
      </w:r>
      <w:proofErr w:type="spellStart"/>
      <w:r w:rsidRPr="00852142">
        <w:t>Borggrefe</w:t>
      </w:r>
      <w:proofErr w:type="spellEnd"/>
      <w:r w:rsidRPr="00852142">
        <w:t>, F.: The potential of demand-side management in energy-intensive industries for electricity markets in Germany. Applied Energy 88 (2011), 432–441.</w:t>
      </w:r>
    </w:p>
    <w:p w14:paraId="64892209" w14:textId="77777777" w:rsidR="005D2868" w:rsidRPr="00852142" w:rsidRDefault="00593523">
      <w:pPr>
        <w:pStyle w:val="FirstParagraph"/>
      </w:pPr>
      <w:r w:rsidRPr="00852142">
        <w:t>[9] Gils, H. C.: Assessment of the theoretical demand response potential in Europe. Energy 67 (2014), 1–18.</w:t>
      </w:r>
    </w:p>
    <w:p w14:paraId="1A2BF355" w14:textId="77777777" w:rsidR="005D2868" w:rsidRPr="00852142" w:rsidRDefault="00593523">
      <w:pPr>
        <w:pStyle w:val="FirstParagraph"/>
      </w:pPr>
      <w:r w:rsidRPr="00852142">
        <w:t xml:space="preserve">[10] Voll, P.; </w:t>
      </w:r>
      <w:proofErr w:type="spellStart"/>
      <w:r w:rsidRPr="00852142">
        <w:t>Klaffke</w:t>
      </w:r>
      <w:proofErr w:type="spellEnd"/>
      <w:r w:rsidRPr="00852142">
        <w:t xml:space="preserve">, C.; Hennen, M.; </w:t>
      </w:r>
      <w:proofErr w:type="spellStart"/>
      <w:r w:rsidRPr="00852142">
        <w:t>Bardow</w:t>
      </w:r>
      <w:proofErr w:type="spellEnd"/>
      <w:r w:rsidRPr="00852142">
        <w:t>, A.: Automated superstructure-based synthesis and optimization of distributed energy supply systems. Energy 50 (2013), 374–388.</w:t>
      </w:r>
    </w:p>
    <w:p w14:paraId="2322CAD7" w14:textId="77777777" w:rsidR="005D2868" w:rsidRPr="00852142" w:rsidRDefault="00593523">
      <w:pPr>
        <w:pStyle w:val="FirstParagraph"/>
      </w:pPr>
      <w:r w:rsidRPr="00852142">
        <w:t>[11] Kotzur, L. et al.: Impact of different time series aggregation methods on optimal energy system design. Renewable Energy 117 (2018), 474–487.</w:t>
      </w:r>
    </w:p>
    <w:p w14:paraId="08CC4E1C" w14:textId="77777777" w:rsidR="005D2868" w:rsidRDefault="00593523">
      <w:pPr>
        <w:pStyle w:val="FirstParagraph"/>
        <w:rPr>
          <w:lang w:val="de-DE"/>
        </w:rPr>
      </w:pPr>
      <w:r w:rsidRPr="00852142">
        <w:t xml:space="preserve">[12] </w:t>
      </w:r>
      <w:proofErr w:type="spellStart"/>
      <w:r w:rsidRPr="00852142">
        <w:t>Marquant</w:t>
      </w:r>
      <w:proofErr w:type="spellEnd"/>
      <w:r w:rsidRPr="00852142">
        <w:t xml:space="preserve">, J. F.; Evins, R.; </w:t>
      </w:r>
      <w:proofErr w:type="spellStart"/>
      <w:r w:rsidRPr="00852142">
        <w:t>Carmeliet</w:t>
      </w:r>
      <w:proofErr w:type="spellEnd"/>
      <w:r w:rsidRPr="00852142">
        <w:t xml:space="preserve">, J.: Reducing computation time with a rolling horizon approach applied to energy hub systems. </w:t>
      </w:r>
      <w:proofErr w:type="spellStart"/>
      <w:r>
        <w:rPr>
          <w:lang w:val="de-DE"/>
        </w:rPr>
        <w:t>Procedia</w:t>
      </w:r>
      <w:proofErr w:type="spellEnd"/>
      <w:r>
        <w:rPr>
          <w:lang w:val="de-DE"/>
        </w:rPr>
        <w:t xml:space="preserve"> Computer Science 51 (2015).</w:t>
      </w:r>
    </w:p>
    <w:p w14:paraId="20DD3DE6" w14:textId="77777777" w:rsidR="005D2868" w:rsidRDefault="00593523">
      <w:pPr>
        <w:pStyle w:val="FirstParagraph"/>
        <w:rPr>
          <w:lang w:val="de-DE"/>
        </w:rPr>
      </w:pPr>
      <w:r>
        <w:rPr>
          <w:lang w:val="de-DE"/>
        </w:rPr>
        <w:t>[13] VDI 2067 Blatt 1: Wirtschaftlichkeit gebäudetechnischer Anlagen.</w:t>
      </w:r>
    </w:p>
    <w:p w14:paraId="629C5D18" w14:textId="77777777" w:rsidR="005D2868" w:rsidRDefault="00593523">
      <w:pPr>
        <w:pStyle w:val="FirstParagraph"/>
        <w:rPr>
          <w:lang w:val="de-DE"/>
        </w:rPr>
      </w:pPr>
      <w:r>
        <w:rPr>
          <w:lang w:val="de-DE"/>
        </w:rPr>
        <w:t>[14] DIN EN 17463:2026-07: Bewertung von energiebezogenen Investitionen (VALERI).</w:t>
      </w:r>
    </w:p>
    <w:p w14:paraId="25DC7BED" w14:textId="77777777" w:rsidR="005D2868" w:rsidRPr="00852142" w:rsidRDefault="00593523">
      <w:pPr>
        <w:pStyle w:val="FirstParagraph"/>
      </w:pPr>
      <w:r w:rsidRPr="00852142">
        <w:t xml:space="preserve">[15] </w:t>
      </w:r>
      <w:proofErr w:type="spellStart"/>
      <w:r w:rsidRPr="00852142">
        <w:t>Schittekatte</w:t>
      </w:r>
      <w:proofErr w:type="spellEnd"/>
      <w:r w:rsidRPr="00852142">
        <w:t xml:space="preserve">, T.; Momber, I.; </w:t>
      </w:r>
      <w:proofErr w:type="spellStart"/>
      <w:r w:rsidRPr="00852142">
        <w:t>Meeus</w:t>
      </w:r>
      <w:proofErr w:type="spellEnd"/>
      <w:r w:rsidRPr="00852142">
        <w:t>, L.: Future-proof tariff design. Energy Economics 70 (2018), 484–498.</w:t>
      </w:r>
    </w:p>
    <w:p w14:paraId="168B084B" w14:textId="77777777" w:rsidR="005D2868" w:rsidRPr="00852142" w:rsidRDefault="00593523">
      <w:pPr>
        <w:pStyle w:val="FirstParagraph"/>
      </w:pPr>
      <w:r w:rsidRPr="00852142">
        <w:t xml:space="preserve">[16] Passey, R.; </w:t>
      </w:r>
      <w:proofErr w:type="spellStart"/>
      <w:r w:rsidRPr="00852142">
        <w:t>Haghdadi</w:t>
      </w:r>
      <w:proofErr w:type="spellEnd"/>
      <w:r w:rsidRPr="00852142">
        <w:t>, N.; Bruce, A.; MacGill, I.: Designing more cost reflective electricity network tariffs with demand charges. Energy Policy 109 (2017), 642–649.</w:t>
      </w:r>
    </w:p>
    <w:p w14:paraId="6EC9ECE0" w14:textId="77777777" w:rsidR="005D2868" w:rsidRDefault="00593523">
      <w:pPr>
        <w:pStyle w:val="FirstParagraph"/>
        <w:rPr>
          <w:lang w:val="de-DE"/>
        </w:rPr>
      </w:pPr>
      <w:r w:rsidRPr="00852142">
        <w:t xml:space="preserve">[17] CEER: Guidelines of Good Practice on Electricity Distribution Network Tariffs. </w:t>
      </w:r>
      <w:r>
        <w:rPr>
          <w:lang w:val="de-DE"/>
        </w:rPr>
        <w:t>2017.</w:t>
      </w:r>
    </w:p>
    <w:p w14:paraId="53914017" w14:textId="77777777" w:rsidR="005D2868" w:rsidRDefault="00593523">
      <w:pPr>
        <w:pStyle w:val="FirstParagraph"/>
        <w:rPr>
          <w:lang w:val="de-DE"/>
        </w:rPr>
      </w:pPr>
      <w:r>
        <w:rPr>
          <w:lang w:val="de-DE"/>
        </w:rPr>
        <w:t>[18] Energiewirtschaftsgesetz (EnWG), §§ 21, 24, geltende Fassung.</w:t>
      </w:r>
    </w:p>
    <w:p w14:paraId="06548FCB" w14:textId="77777777" w:rsidR="005D2868" w:rsidRDefault="00593523">
      <w:pPr>
        <w:pStyle w:val="FirstParagraph"/>
        <w:rPr>
          <w:lang w:val="de-DE"/>
        </w:rPr>
      </w:pPr>
      <w:r>
        <w:rPr>
          <w:lang w:val="de-DE"/>
        </w:rPr>
        <w:t>[19] Verordnung über die Entgelte für den Zugang zu Elektrizitätsversorgungsnetzen (StromNEV), geltende Fassung, insb. § 17, § 19.</w:t>
      </w:r>
    </w:p>
    <w:p w14:paraId="751D25A0" w14:textId="77777777" w:rsidR="005D2868" w:rsidRDefault="00593523">
      <w:pPr>
        <w:pStyle w:val="FirstParagraph"/>
        <w:rPr>
          <w:lang w:val="de-DE"/>
        </w:rPr>
      </w:pPr>
      <w:r>
        <w:rPr>
          <w:lang w:val="de-DE"/>
        </w:rPr>
        <w:t>[20] Bundesnetzagentur: Festlegungsentwurf zur allgemeinen Netzentgeltsystematik Strom (AgNes), Entwurf vom 06.08.2026.</w:t>
      </w:r>
    </w:p>
    <w:p w14:paraId="7A3964E1" w14:textId="77777777" w:rsidR="005D2868" w:rsidRDefault="00593523">
      <w:pPr>
        <w:pStyle w:val="FirstParagraph"/>
        <w:rPr>
          <w:lang w:val="de-DE"/>
        </w:rPr>
      </w:pPr>
      <w:r>
        <w:rPr>
          <w:lang w:val="de-DE"/>
        </w:rPr>
        <w:t>[21] BNetzA: Festlegung zur Integration steuerbarer Verbrauchseinrichtungen nach § 14a EnWG, 27.11.2023.</w:t>
      </w:r>
    </w:p>
    <w:p w14:paraId="06E01263" w14:textId="77777777" w:rsidR="005D2868" w:rsidRDefault="00593523">
      <w:pPr>
        <w:pStyle w:val="FirstParagraph"/>
        <w:rPr>
          <w:lang w:val="de-DE"/>
        </w:rPr>
      </w:pPr>
      <w:r>
        <w:rPr>
          <w:lang w:val="de-DE"/>
        </w:rPr>
        <w:lastRenderedPageBreak/>
        <w:t>[22] Stadtwerke Tübingen GmbH: Preisblatt Netznutzung Strom, 2025.</w:t>
      </w:r>
    </w:p>
    <w:p w14:paraId="5D2E232D" w14:textId="77777777" w:rsidR="005D2868" w:rsidRDefault="00593523">
      <w:pPr>
        <w:pStyle w:val="FirstParagraph"/>
        <w:rPr>
          <w:lang w:val="de-DE"/>
        </w:rPr>
      </w:pPr>
      <w:r>
        <w:rPr>
          <w:lang w:val="de-DE"/>
        </w:rPr>
        <w:t>[23] EAM Netz GmbH: Preisblatt Netznutzung Strom, 2024.</w:t>
      </w:r>
    </w:p>
    <w:p w14:paraId="4E084C90" w14:textId="77777777" w:rsidR="005D2868" w:rsidRDefault="00593523">
      <w:pPr>
        <w:pStyle w:val="FirstParagraph"/>
        <w:rPr>
          <w:lang w:val="de-DE"/>
        </w:rPr>
      </w:pPr>
      <w:r>
        <w:rPr>
          <w:lang w:val="de-DE"/>
        </w:rPr>
        <w:t>[24] Bayernwerk Netz GmbH: Preisblatt Netznutzung Strom, 2025.</w:t>
      </w:r>
    </w:p>
    <w:p w14:paraId="2F6E1AA3" w14:textId="77777777" w:rsidR="005D2868" w:rsidRDefault="00593523">
      <w:pPr>
        <w:pStyle w:val="FirstParagraph"/>
        <w:rPr>
          <w:lang w:val="de-DE"/>
        </w:rPr>
      </w:pPr>
      <w:r>
        <w:rPr>
          <w:lang w:val="de-DE"/>
        </w:rPr>
        <w:t>[25] Richtlinie (EU) 2023/959 zur Änderung der Richtlinie 2003/87/EG (EU-ETS), 2023.</w:t>
      </w:r>
    </w:p>
    <w:p w14:paraId="2E00AF64" w14:textId="77777777" w:rsidR="005D2868" w:rsidRDefault="00593523">
      <w:pPr>
        <w:pStyle w:val="FirstParagraph"/>
        <w:rPr>
          <w:lang w:val="de-DE"/>
        </w:rPr>
      </w:pPr>
      <w:r>
        <w:rPr>
          <w:lang w:val="de-DE"/>
        </w:rPr>
        <w:t>[26] Brennstoffemissionshandelsgesetz (BEHG), geltende Fassung.</w:t>
      </w:r>
    </w:p>
    <w:p w14:paraId="6B555070" w14:textId="77777777" w:rsidR="005D2868" w:rsidRDefault="00593523">
      <w:pPr>
        <w:pStyle w:val="FirstParagraph"/>
        <w:rPr>
          <w:lang w:val="de-DE"/>
        </w:rPr>
      </w:pPr>
      <w:r>
        <w:rPr>
          <w:lang w:val="de-DE"/>
        </w:rPr>
        <w:t>[27] Bundesnetzagentur/SMARD: Marktdaten Großhandelsstrompreise (Day-Ahead).</w:t>
      </w:r>
    </w:p>
    <w:p w14:paraId="42FBD2F8" w14:textId="16879C9D" w:rsidR="00D1541E" w:rsidRDefault="00D1541E"/>
    <w:p w14:paraId="51D95EB7" w14:textId="77777777" w:rsidR="00D1541E" w:rsidRPr="007128E8" w:rsidRDefault="009B6523">
      <w:pPr>
        <w:pStyle w:val="berschrift2"/>
        <w:rPr>
          <w:lang w:val="de-DE"/>
        </w:rPr>
      </w:pPr>
      <w:bookmarkStart w:id="27" w:name="autorenbiographie"/>
      <w:bookmarkEnd w:id="26"/>
      <w:proofErr w:type="gramStart"/>
      <w:r>
        <w:rPr>
          <w:lang w:val="de-DE"/>
        </w:rPr>
        <w:t>Autorenbiographie</w:t>
      </w:r>
      <w:proofErr w:type="gramEnd"/>
    </w:p>
    <w:p w14:paraId="1B137E88" w14:textId="77777777" w:rsidR="00D1541E" w:rsidRPr="007128E8" w:rsidRDefault="009B6523">
      <w:pPr>
        <w:pStyle w:val="FirstParagraph"/>
        <w:spacing w:after="20"/>
        <w:rPr>
          <w:lang w:val="de-DE"/>
        </w:rPr>
      </w:pPr>
      <w:r>
        <w:rPr>
          <w:lang w:val="de-DE"/>
        </w:rPr>
        <w:t>Lukas Ruess ist wissenschaftlicher Mitarbeiter und Doktorand am Fraunhofer-Institut für Produktionstechnik und Automatisierung IPA sowie am Institut für Energieeffizienz in der Produktion EEP der Universität Stuttgart. Seine Dissertation befasst sich mit der MILP-basierten Auslegung und Betriebsführung elektrifizierter Wärmeversorgungssysteme.</w:t>
      </w:r>
    </w:p>
    <w:p w14:paraId="55E9D809" w14:textId="77777777" w:rsidR="00D1541E" w:rsidRPr="007128E8" w:rsidRDefault="009B6523">
      <w:pPr>
        <w:pStyle w:val="Textkrper"/>
        <w:spacing w:after="20"/>
        <w:rPr>
          <w:lang w:val="de-DE"/>
        </w:rPr>
      </w:pPr>
      <w:r>
        <w:rPr>
          <w:b/>
          <w:bCs/>
          <w:lang w:val="de-DE"/>
        </w:rPr>
        <w:t>Danksagung, Interessenkonflikte und Data &amp; Code Availability werden vor Einreichung ergänzt.</w:t>
      </w:r>
    </w:p>
    <w:bookmarkEnd w:id="0"/>
    <w:bookmarkEnd w:id="27"/>
    <w:p w14:paraId="0711A6B1" w14:textId="6B8FFF9C" w:rsidR="00D1541E" w:rsidRDefault="00D1541E"/>
    <w:sectPr w:rsidR="00D1541E">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DA66" w14:textId="77777777" w:rsidR="00593523" w:rsidRDefault="00593523">
      <w:pPr>
        <w:spacing w:after="0"/>
      </w:pPr>
      <w:r>
        <w:separator/>
      </w:r>
    </w:p>
  </w:endnote>
  <w:endnote w:type="continuationSeparator" w:id="0">
    <w:p w14:paraId="7D599E78" w14:textId="77777777" w:rsidR="00593523" w:rsidRDefault="005935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C49E9" w14:textId="77777777" w:rsidR="00593523" w:rsidRDefault="00593523">
      <w:r>
        <w:separator/>
      </w:r>
    </w:p>
  </w:footnote>
  <w:footnote w:type="continuationSeparator" w:id="0">
    <w:p w14:paraId="18A03653" w14:textId="77777777" w:rsidR="00593523" w:rsidRDefault="005935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7A60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488479A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531"/>
    <w:multiLevelType w:val="multilevel"/>
    <w:tmpl w:val="D0142F4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16cid:durableId="191501089">
    <w:abstractNumId w:val="0"/>
  </w:num>
  <w:num w:numId="2" w16cid:durableId="523056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2839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21797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41E"/>
    <w:rsid w:val="0004114C"/>
    <w:rsid w:val="000A697F"/>
    <w:rsid w:val="000B3840"/>
    <w:rsid w:val="000B62A8"/>
    <w:rsid w:val="0013020A"/>
    <w:rsid w:val="00213EF9"/>
    <w:rsid w:val="003C3F8A"/>
    <w:rsid w:val="00402642"/>
    <w:rsid w:val="00593523"/>
    <w:rsid w:val="005D2868"/>
    <w:rsid w:val="007128E8"/>
    <w:rsid w:val="00727CF6"/>
    <w:rsid w:val="00822935"/>
    <w:rsid w:val="008238C6"/>
    <w:rsid w:val="00852142"/>
    <w:rsid w:val="00974D8F"/>
    <w:rsid w:val="009B6523"/>
    <w:rsid w:val="00A07F31"/>
    <w:rsid w:val="00B41385"/>
    <w:rsid w:val="00C32AAD"/>
    <w:rsid w:val="00C93866"/>
    <w:rsid w:val="00D1541E"/>
    <w:rsid w:val="00D84B2A"/>
    <w:rsid w:val="00E171F2"/>
    <w:rsid w:val="00EC1C19"/>
    <w:rsid w:val="00F27481"/>
    <w:rsid w:val="00F3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B0F8"/>
  <w15:docId w15:val="{BAA1EE64-D84E-4F50-BBE5-3CB6E4A3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40"/>
    </w:p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12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12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style>
  <w:style w:type="paragraph" w:customStyle="1" w:styleId="FirstParagraph">
    <w:name w:val="First Paragraph"/>
    <w:basedOn w:val="Textkrper"/>
    <w:next w:val="Textkrper"/>
    <w:qFormat/>
  </w:style>
  <w:style w:type="paragraph" w:customStyle="1" w:styleId="Compact">
    <w:name w:val="Compact"/>
    <w:basedOn w:val="Textkrper"/>
    <w:qFormat/>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ind w:left="480" w:right="480"/>
    </w:pPr>
  </w:style>
  <w:style w:type="paragraph" w:styleId="Funotentext">
    <w:name w:val="footnote text"/>
    <w:basedOn w:val="Standard"/>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3224</Words>
  <Characters>20317</Characters>
  <Application>Microsoft Office Word</Application>
  <DocSecurity>0</DocSecurity>
  <Lines>169</Lines>
  <Paragraphs>46</Paragraphs>
  <ScaleCrop>false</ScaleCrop>
  <Company/>
  <LinksUpToDate>false</LinksUpToDate>
  <CharactersWithSpaces>23495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Ruess, Lukas</dc:creator>
  <cp:keywords/>
  <cp:lastModifiedBy>Ruess, Lukas</cp:lastModifiedBy>
  <cp:revision>9</cp:revision>
  <dcterms:created xsi:type="dcterms:W3CDTF">2026-09-18T11:47:00Z</dcterms:created>
  <dcterms:modified xsi:type="dcterms:W3CDTF">2026-09-22T08:30:00Z</dcterms:modified>
</cp:coreProperties>
</file>