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11F1" w14:textId="2CFCFDB9" w:rsidR="00F83C79" w:rsidRPr="00A76BE7" w:rsidRDefault="00325D89" w:rsidP="00325D89">
      <w:pPr>
        <w:pStyle w:val="Titel"/>
      </w:pPr>
      <w:r w:rsidRPr="00A76BE7">
        <w:t>Report – Sepsis Data</w:t>
      </w:r>
    </w:p>
    <w:p w14:paraId="58C7E406" w14:textId="3571AABE" w:rsidR="00325D89" w:rsidRPr="00A76BE7" w:rsidRDefault="00325D89" w:rsidP="00325D89">
      <w:pPr>
        <w:pStyle w:val="Untertitel"/>
      </w:pPr>
      <w:r w:rsidRPr="00A76BE7">
        <w:t>Compiled by Lukas Steininger</w:t>
      </w:r>
    </w:p>
    <w:p w14:paraId="5109405F" w14:textId="08CFC6A1" w:rsidR="00325D89" w:rsidRPr="00A76BE7" w:rsidRDefault="00325D89" w:rsidP="00325D89">
      <w:pPr>
        <w:pStyle w:val="berschrift1"/>
      </w:pPr>
      <w:r w:rsidRPr="00A76BE7">
        <w:t>Description of Dataset</w:t>
      </w:r>
    </w:p>
    <w:p w14:paraId="791DF36F" w14:textId="1B383B20" w:rsidR="00325D89" w:rsidRPr="00A76BE7" w:rsidRDefault="00325D89" w:rsidP="00325D89">
      <w:pPr>
        <w:pStyle w:val="berschrift2"/>
      </w:pPr>
      <w:r w:rsidRPr="00A76BE7">
        <w:t>Overview</w:t>
      </w:r>
    </w:p>
    <w:p w14:paraId="1239F26B" w14:textId="704A29E2" w:rsidR="00325D89" w:rsidRPr="00A76BE7" w:rsidRDefault="00325D89" w:rsidP="00325D89">
      <w:pPr>
        <w:pStyle w:val="StandardWeb"/>
        <w:spacing w:before="0" w:beforeAutospacing="0" w:after="0" w:afterAutospacing="0"/>
      </w:pPr>
      <w:r w:rsidRPr="00A76BE7">
        <w:rPr>
          <w:rFonts w:ascii="Arial" w:hAnsi="Arial" w:cs="Arial"/>
          <w:color w:val="000000"/>
          <w:sz w:val="22"/>
          <w:szCs w:val="22"/>
        </w:rPr>
        <w:t xml:space="preserve">The dataset contains 15.214 entries, with 32 recorded parameters for each entry. The parameters describing the case are as follows: the column </w:t>
      </w:r>
      <w:r w:rsidRPr="00A76BE7">
        <w:rPr>
          <w:rFonts w:ascii="Arial" w:hAnsi="Arial" w:cs="Arial"/>
          <w:b/>
          <w:bCs/>
          <w:color w:val="000000"/>
          <w:sz w:val="22"/>
          <w:szCs w:val="22"/>
        </w:rPr>
        <w:t>“</w:t>
      </w:r>
      <w:proofErr w:type="spellStart"/>
      <w:proofErr w:type="gramStart"/>
      <w:r w:rsidRPr="00A76BE7">
        <w:rPr>
          <w:rFonts w:ascii="Arial" w:hAnsi="Arial" w:cs="Arial"/>
          <w:b/>
          <w:bCs/>
          <w:color w:val="000000"/>
          <w:sz w:val="22"/>
          <w:szCs w:val="22"/>
        </w:rPr>
        <w:t>case:concept</w:t>
      </w:r>
      <w:proofErr w:type="gramEnd"/>
      <w:r w:rsidRPr="00A76BE7">
        <w:rPr>
          <w:rFonts w:ascii="Arial" w:hAnsi="Arial" w:cs="Arial"/>
          <w:b/>
          <w:bCs/>
          <w:color w:val="000000"/>
          <w:sz w:val="22"/>
          <w:szCs w:val="22"/>
        </w:rPr>
        <w:t>:name</w:t>
      </w:r>
      <w:proofErr w:type="spellEnd"/>
      <w:r w:rsidRPr="00A76BE7">
        <w:rPr>
          <w:rFonts w:ascii="Arial" w:hAnsi="Arial" w:cs="Arial"/>
          <w:b/>
          <w:bCs/>
          <w:color w:val="000000"/>
          <w:sz w:val="22"/>
          <w:szCs w:val="22"/>
        </w:rPr>
        <w:t>”</w:t>
      </w:r>
      <w:r w:rsidRPr="00A76BE7">
        <w:rPr>
          <w:rFonts w:ascii="Arial" w:hAnsi="Arial" w:cs="Arial"/>
          <w:color w:val="000000"/>
          <w:sz w:val="22"/>
          <w:szCs w:val="22"/>
        </w:rPr>
        <w:t xml:space="preserve"> specifies the case itself, </w:t>
      </w:r>
      <w:r w:rsidRPr="00A76BE7">
        <w:rPr>
          <w:rFonts w:ascii="Arial" w:hAnsi="Arial" w:cs="Arial"/>
          <w:b/>
          <w:bCs/>
          <w:color w:val="000000"/>
          <w:sz w:val="22"/>
          <w:szCs w:val="22"/>
        </w:rPr>
        <w:t>“</w:t>
      </w:r>
      <w:proofErr w:type="spellStart"/>
      <w:r w:rsidRPr="00A76BE7">
        <w:rPr>
          <w:rFonts w:ascii="Arial" w:hAnsi="Arial" w:cs="Arial"/>
          <w:b/>
          <w:bCs/>
          <w:color w:val="000000"/>
          <w:sz w:val="22"/>
          <w:szCs w:val="22"/>
        </w:rPr>
        <w:t>concept:name</w:t>
      </w:r>
      <w:proofErr w:type="spellEnd"/>
      <w:r w:rsidRPr="00A76BE7">
        <w:rPr>
          <w:rFonts w:ascii="Arial" w:hAnsi="Arial" w:cs="Arial"/>
          <w:b/>
          <w:bCs/>
          <w:color w:val="000000"/>
          <w:sz w:val="22"/>
          <w:szCs w:val="22"/>
        </w:rPr>
        <w:t>”</w:t>
      </w:r>
      <w:r w:rsidRPr="00A76BE7">
        <w:rPr>
          <w:rFonts w:ascii="Arial" w:hAnsi="Arial" w:cs="Arial"/>
          <w:color w:val="000000"/>
          <w:sz w:val="22"/>
          <w:szCs w:val="22"/>
        </w:rPr>
        <w:t xml:space="preserve"> identifies the event that occurred, </w:t>
      </w:r>
      <w:r w:rsidRPr="00A76BE7">
        <w:rPr>
          <w:rFonts w:ascii="Arial" w:hAnsi="Arial" w:cs="Arial"/>
          <w:b/>
          <w:bCs/>
          <w:color w:val="000000"/>
          <w:sz w:val="22"/>
          <w:szCs w:val="22"/>
        </w:rPr>
        <w:t>“</w:t>
      </w:r>
      <w:proofErr w:type="spellStart"/>
      <w:proofErr w:type="gramStart"/>
      <w:r w:rsidRPr="00A76BE7">
        <w:rPr>
          <w:rFonts w:ascii="Arial" w:hAnsi="Arial" w:cs="Arial"/>
          <w:b/>
          <w:bCs/>
          <w:color w:val="000000"/>
          <w:sz w:val="22"/>
          <w:szCs w:val="22"/>
        </w:rPr>
        <w:t>time:timestamp</w:t>
      </w:r>
      <w:proofErr w:type="spellEnd"/>
      <w:proofErr w:type="gramEnd"/>
      <w:r w:rsidRPr="00A76BE7">
        <w:rPr>
          <w:rFonts w:ascii="Arial" w:hAnsi="Arial" w:cs="Arial"/>
          <w:b/>
          <w:bCs/>
          <w:color w:val="000000"/>
          <w:sz w:val="22"/>
          <w:szCs w:val="22"/>
        </w:rPr>
        <w:t>”</w:t>
      </w:r>
      <w:r w:rsidRPr="00A76BE7">
        <w:rPr>
          <w:rFonts w:ascii="Arial" w:hAnsi="Arial" w:cs="Arial"/>
          <w:color w:val="000000"/>
          <w:sz w:val="22"/>
          <w:szCs w:val="22"/>
        </w:rPr>
        <w:t xml:space="preserve"> records the time at which the event took place and </w:t>
      </w:r>
      <w:r w:rsidRPr="00A76BE7">
        <w:rPr>
          <w:rFonts w:ascii="Arial" w:hAnsi="Arial" w:cs="Arial"/>
          <w:b/>
          <w:bCs/>
          <w:color w:val="000000"/>
          <w:sz w:val="22"/>
          <w:szCs w:val="22"/>
        </w:rPr>
        <w:t>“</w:t>
      </w:r>
      <w:proofErr w:type="spellStart"/>
      <w:proofErr w:type="gramStart"/>
      <w:r w:rsidRPr="00A76BE7">
        <w:rPr>
          <w:rFonts w:ascii="Arial" w:hAnsi="Arial" w:cs="Arial"/>
          <w:b/>
          <w:bCs/>
          <w:color w:val="000000"/>
          <w:sz w:val="22"/>
          <w:szCs w:val="22"/>
        </w:rPr>
        <w:t>org:group</w:t>
      </w:r>
      <w:proofErr w:type="spellEnd"/>
      <w:proofErr w:type="gramEnd"/>
      <w:r w:rsidRPr="00A76BE7">
        <w:rPr>
          <w:rFonts w:ascii="Arial" w:hAnsi="Arial" w:cs="Arial"/>
          <w:b/>
          <w:bCs/>
          <w:color w:val="000000"/>
          <w:sz w:val="22"/>
          <w:szCs w:val="22"/>
        </w:rPr>
        <w:t>”</w:t>
      </w:r>
      <w:r w:rsidRPr="00A76BE7">
        <w:rPr>
          <w:rFonts w:ascii="Arial" w:hAnsi="Arial" w:cs="Arial"/>
          <w:color w:val="000000"/>
          <w:sz w:val="22"/>
          <w:szCs w:val="22"/>
        </w:rPr>
        <w:t xml:space="preserve"> names the organisational unit that logged the event. Furthermore, the column </w:t>
      </w:r>
      <w:r w:rsidRPr="00A76BE7">
        <w:rPr>
          <w:rFonts w:ascii="Arial" w:hAnsi="Arial" w:cs="Arial"/>
          <w:b/>
          <w:bCs/>
          <w:color w:val="000000"/>
          <w:sz w:val="22"/>
          <w:szCs w:val="22"/>
        </w:rPr>
        <w:t>“</w:t>
      </w:r>
      <w:proofErr w:type="spellStart"/>
      <w:proofErr w:type="gramStart"/>
      <w:r w:rsidRPr="00A76BE7">
        <w:rPr>
          <w:rFonts w:ascii="Arial" w:hAnsi="Arial" w:cs="Arial"/>
          <w:b/>
          <w:bCs/>
          <w:color w:val="000000"/>
          <w:sz w:val="22"/>
          <w:szCs w:val="22"/>
        </w:rPr>
        <w:t>lifecycle:transition</w:t>
      </w:r>
      <w:proofErr w:type="spellEnd"/>
      <w:proofErr w:type="gramEnd"/>
      <w:r w:rsidRPr="00A76BE7">
        <w:rPr>
          <w:rFonts w:ascii="Arial" w:hAnsi="Arial" w:cs="Arial"/>
          <w:b/>
          <w:bCs/>
          <w:color w:val="000000"/>
          <w:sz w:val="22"/>
          <w:szCs w:val="22"/>
        </w:rPr>
        <w:t>”</w:t>
      </w:r>
      <w:r w:rsidRPr="00A76BE7">
        <w:rPr>
          <w:rFonts w:ascii="Arial" w:hAnsi="Arial" w:cs="Arial"/>
          <w:color w:val="000000"/>
          <w:sz w:val="22"/>
          <w:szCs w:val="22"/>
        </w:rPr>
        <w:t xml:space="preserve"> specifies in which state the event is. However, all 15.214 entries hold the value </w:t>
      </w:r>
      <w:r w:rsidRPr="00A76BE7">
        <w:rPr>
          <w:rFonts w:ascii="Arial" w:hAnsi="Arial" w:cs="Arial"/>
          <w:i/>
          <w:iCs/>
          <w:color w:val="000000"/>
          <w:sz w:val="22"/>
          <w:szCs w:val="22"/>
        </w:rPr>
        <w:t>“complete”</w:t>
      </w:r>
      <w:r w:rsidRPr="00A76BE7">
        <w:rPr>
          <w:rFonts w:ascii="Arial" w:hAnsi="Arial" w:cs="Arial"/>
          <w:color w:val="000000"/>
          <w:sz w:val="22"/>
          <w:szCs w:val="22"/>
        </w:rPr>
        <w:t xml:space="preserve">, which </w:t>
      </w:r>
      <w:r w:rsidR="00FF5A8C">
        <w:rPr>
          <w:rFonts w:ascii="Arial" w:hAnsi="Arial" w:cs="Arial"/>
          <w:color w:val="000000"/>
          <w:sz w:val="22"/>
          <w:szCs w:val="22"/>
        </w:rPr>
        <w:t>simply states</w:t>
      </w:r>
      <w:r w:rsidRPr="00A76BE7">
        <w:rPr>
          <w:rFonts w:ascii="Arial" w:hAnsi="Arial" w:cs="Arial"/>
          <w:color w:val="000000"/>
          <w:sz w:val="22"/>
          <w:szCs w:val="22"/>
        </w:rPr>
        <w:t xml:space="preserve"> that every activity is completed. </w:t>
      </w:r>
    </w:p>
    <w:p w14:paraId="5415A512" w14:textId="77777777" w:rsidR="00325D89" w:rsidRPr="00A76BE7" w:rsidRDefault="00325D89" w:rsidP="00325D89"/>
    <w:p w14:paraId="5D6A9833" w14:textId="77777777" w:rsidR="00325D89" w:rsidRPr="00A76BE7" w:rsidRDefault="00325D89" w:rsidP="00325D89">
      <w:pPr>
        <w:pStyle w:val="StandardWeb"/>
        <w:spacing w:before="0" w:beforeAutospacing="0" w:after="0" w:afterAutospacing="0"/>
      </w:pPr>
      <w:r w:rsidRPr="00A76BE7">
        <w:rPr>
          <w:rFonts w:ascii="Arial" w:hAnsi="Arial" w:cs="Arial"/>
          <w:color w:val="000000"/>
          <w:sz w:val="22"/>
          <w:szCs w:val="22"/>
        </w:rPr>
        <w:t>Additionally, there are 27 more parameters. They are described in the following table. 22 of these parameters are only filled out when a patient is registering in the ER (activity ER Registration). It can be assumed that these columns are part of an admission questionnaire in the emergency room.</w:t>
      </w:r>
    </w:p>
    <w:p w14:paraId="5D5DD59C" w14:textId="77777777" w:rsidR="00325D89" w:rsidRPr="00A76BE7" w:rsidRDefault="00325D89" w:rsidP="00325D89"/>
    <w:tbl>
      <w:tblPr>
        <w:tblW w:w="0" w:type="auto"/>
        <w:tblCellMar>
          <w:top w:w="15" w:type="dxa"/>
          <w:left w:w="15" w:type="dxa"/>
          <w:bottom w:w="15" w:type="dxa"/>
          <w:right w:w="15" w:type="dxa"/>
        </w:tblCellMar>
        <w:tblLook w:val="04A0" w:firstRow="1" w:lastRow="0" w:firstColumn="1" w:lastColumn="0" w:noHBand="0" w:noVBand="1"/>
      </w:tblPr>
      <w:tblGrid>
        <w:gridCol w:w="1681"/>
        <w:gridCol w:w="1359"/>
        <w:gridCol w:w="4564"/>
        <w:gridCol w:w="1452"/>
      </w:tblGrid>
      <w:tr w:rsidR="00325D89" w:rsidRPr="00A76BE7" w14:paraId="5F81CE03" w14:textId="77777777" w:rsidTr="0012077F">
        <w:trPr>
          <w:trHeight w:val="540"/>
        </w:trPr>
        <w:tc>
          <w:tcPr>
            <w:tcW w:w="0" w:type="auto"/>
            <w:tcBorders>
              <w:top w:val="single" w:sz="6" w:space="0" w:color="CCCCCC"/>
              <w:left w:val="single" w:sz="6" w:space="0" w:color="CCCCCC"/>
              <w:bottom w:val="single" w:sz="6" w:space="0" w:color="CCCCCC"/>
              <w:right w:val="single" w:sz="6" w:space="0" w:color="CCCCCC"/>
            </w:tcBorders>
            <w:shd w:val="clear" w:color="auto" w:fill="E8E8E8" w:themeFill="background2"/>
            <w:tcMar>
              <w:top w:w="40" w:type="dxa"/>
              <w:left w:w="40" w:type="dxa"/>
              <w:bottom w:w="40" w:type="dxa"/>
              <w:right w:w="40" w:type="dxa"/>
            </w:tcMar>
            <w:hideMark/>
          </w:tcPr>
          <w:p w14:paraId="73D8AFE3" w14:textId="77777777" w:rsidR="00325D89" w:rsidRPr="0012077F" w:rsidRDefault="00325D89">
            <w:pPr>
              <w:pStyle w:val="StandardWeb"/>
              <w:spacing w:before="0" w:beforeAutospacing="0" w:after="0" w:afterAutospacing="0"/>
              <w:rPr>
                <w:b/>
                <w:bCs/>
              </w:rPr>
            </w:pPr>
            <w:r w:rsidRPr="0012077F">
              <w:rPr>
                <w:rFonts w:ascii="Arial" w:hAnsi="Arial" w:cs="Arial"/>
                <w:b/>
                <w:bCs/>
                <w:color w:val="000000"/>
                <w:sz w:val="20"/>
                <w:szCs w:val="20"/>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E8E8E8" w:themeFill="background2"/>
            <w:tcMar>
              <w:top w:w="40" w:type="dxa"/>
              <w:left w:w="40" w:type="dxa"/>
              <w:bottom w:w="40" w:type="dxa"/>
              <w:right w:w="40" w:type="dxa"/>
            </w:tcMar>
            <w:hideMark/>
          </w:tcPr>
          <w:p w14:paraId="5AE09F15" w14:textId="77777777" w:rsidR="00325D89" w:rsidRPr="0012077F" w:rsidRDefault="00325D89">
            <w:pPr>
              <w:pStyle w:val="StandardWeb"/>
              <w:spacing w:before="0" w:beforeAutospacing="0" w:after="0" w:afterAutospacing="0"/>
              <w:rPr>
                <w:b/>
                <w:bCs/>
              </w:rPr>
            </w:pPr>
            <w:r w:rsidRPr="0012077F">
              <w:rPr>
                <w:rFonts w:ascii="Arial" w:hAnsi="Arial" w:cs="Arial"/>
                <w:b/>
                <w:bCs/>
                <w:color w:val="000000"/>
                <w:sz w:val="20"/>
                <w:szCs w:val="20"/>
              </w:rPr>
              <w:t>Number of Attributes</w:t>
            </w:r>
          </w:p>
        </w:tc>
        <w:tc>
          <w:tcPr>
            <w:tcW w:w="0" w:type="auto"/>
            <w:tcBorders>
              <w:top w:val="single" w:sz="6" w:space="0" w:color="CCCCCC"/>
              <w:left w:val="single" w:sz="6" w:space="0" w:color="CCCCCC"/>
              <w:bottom w:val="single" w:sz="6" w:space="0" w:color="CCCCCC"/>
              <w:right w:val="single" w:sz="6" w:space="0" w:color="CCCCCC"/>
            </w:tcBorders>
            <w:shd w:val="clear" w:color="auto" w:fill="E8E8E8" w:themeFill="background2"/>
            <w:tcMar>
              <w:top w:w="40" w:type="dxa"/>
              <w:left w:w="40" w:type="dxa"/>
              <w:bottom w:w="40" w:type="dxa"/>
              <w:right w:w="40" w:type="dxa"/>
            </w:tcMar>
            <w:hideMark/>
          </w:tcPr>
          <w:p w14:paraId="7643DFFD" w14:textId="77777777" w:rsidR="00325D89" w:rsidRPr="0012077F" w:rsidRDefault="00325D89">
            <w:pPr>
              <w:pStyle w:val="StandardWeb"/>
              <w:spacing w:before="0" w:beforeAutospacing="0" w:after="0" w:afterAutospacing="0"/>
              <w:rPr>
                <w:b/>
                <w:bCs/>
              </w:rPr>
            </w:pPr>
            <w:r w:rsidRPr="0012077F">
              <w:rPr>
                <w:rFonts w:ascii="Arial" w:hAnsi="Arial" w:cs="Arial"/>
                <w:b/>
                <w:bCs/>
                <w:color w:val="000000"/>
                <w:sz w:val="20"/>
                <w:szCs w:val="20"/>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E8E8E8" w:themeFill="background2"/>
            <w:tcMar>
              <w:top w:w="40" w:type="dxa"/>
              <w:left w:w="40" w:type="dxa"/>
              <w:bottom w:w="40" w:type="dxa"/>
              <w:right w:w="40" w:type="dxa"/>
            </w:tcMar>
            <w:hideMark/>
          </w:tcPr>
          <w:p w14:paraId="24F4D450" w14:textId="77777777" w:rsidR="00325D89" w:rsidRPr="0012077F" w:rsidRDefault="00325D89">
            <w:pPr>
              <w:pStyle w:val="StandardWeb"/>
              <w:spacing w:before="0" w:beforeAutospacing="0" w:after="0" w:afterAutospacing="0"/>
              <w:rPr>
                <w:b/>
                <w:bCs/>
              </w:rPr>
            </w:pPr>
            <w:r w:rsidRPr="0012077F">
              <w:rPr>
                <w:rFonts w:ascii="Arial" w:hAnsi="Arial" w:cs="Arial"/>
                <w:b/>
                <w:bCs/>
                <w:color w:val="000000"/>
                <w:sz w:val="20"/>
                <w:szCs w:val="20"/>
              </w:rPr>
              <w:t>Only when registering</w:t>
            </w:r>
          </w:p>
        </w:tc>
      </w:tr>
      <w:tr w:rsidR="00325D89" w:rsidRPr="00A76BE7" w14:paraId="70A24C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11C937D6"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SIRS Criteria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6F6FD20C"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5</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2FDA173D"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Attributes indicating the presence or absence of criteria for Systemic Inflammatory Response Syndrome (SIRS).</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5CBA42D2"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Yes</w:t>
            </w:r>
          </w:p>
        </w:tc>
      </w:tr>
      <w:tr w:rsidR="00325D89" w:rsidRPr="00A76BE7" w14:paraId="12A3DBBB" w14:textId="77777777">
        <w:trPr>
          <w:trHeight w:val="54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1D6EFE3D"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Diagnostics Availability</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461C3CA8"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11</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444FD259"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Attributes indicating whether a specific diagnostic test (e.g., urinary culture, thorax X-ray) has been performed or is available.</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45456797"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Yes</w:t>
            </w:r>
          </w:p>
        </w:tc>
      </w:tr>
      <w:tr w:rsidR="00325D89" w:rsidRPr="00A76BE7" w14:paraId="2FA190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3331608A"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Key Lab Values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08514C2D"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3</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31E41D1C"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Numerical values for key lab markers: leucocytes, C-reactive protein (CRP), and lactic acid.</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173D8EF2" w14:textId="77777777" w:rsidR="00325D89" w:rsidRPr="00A76BE7" w:rsidRDefault="00325D89"/>
        </w:tc>
      </w:tr>
      <w:tr w:rsidR="00325D89" w:rsidRPr="00A76BE7" w14:paraId="56E73907" w14:textId="77777777">
        <w:trPr>
          <w:trHeight w:val="54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64274215"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Symptoms &amp; Condition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511F1C3C"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4</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318B0642"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Attributes focusing on the presence or absence of symptoms or patient condition (e.g., organ dysfunction, low blood oxygen level).</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3D7BF15C"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Yes</w:t>
            </w:r>
          </w:p>
        </w:tc>
      </w:tr>
      <w:tr w:rsidR="00325D89" w:rsidRPr="00A76BE7" w14:paraId="001E4AF6" w14:textId="77777777">
        <w:trPr>
          <w:trHeight w:val="54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7F839CE1"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Infection Suspected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77264DAF"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1</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137F2CA3"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 single attribute indicating whether a clinical infection is suspected.</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10E018A6"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Yes</w:t>
            </w:r>
          </w:p>
        </w:tc>
      </w:tr>
      <w:tr w:rsidR="00325D89" w:rsidRPr="00A76BE7" w14:paraId="1B6993B4" w14:textId="77777777">
        <w:trPr>
          <w:trHeight w:val="54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252E6AC1"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Primary Diagnosis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00C2281D"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1</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338992AA"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 single attribute concerning the final or working diagnosis.</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3FCC4B17" w14:textId="77777777" w:rsidR="00325D89" w:rsidRPr="00A76BE7" w:rsidRDefault="00325D89"/>
        </w:tc>
      </w:tr>
      <w:tr w:rsidR="00325D89" w:rsidRPr="00A76BE7" w14:paraId="2AED9FD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3C541032"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Patient Age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7FFE23A7"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1</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53AAC789"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 numerical attribute recording the age of the patient.</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59B5B500" w14:textId="77777777" w:rsidR="00325D89" w:rsidRPr="00A76BE7" w:rsidRDefault="00325D89"/>
        </w:tc>
      </w:tr>
      <w:tr w:rsidR="00325D89" w:rsidRPr="00A76BE7" w14:paraId="60EFB4C7" w14:textId="77777777">
        <w:trPr>
          <w:trHeight w:val="54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791A931C" w14:textId="77777777" w:rsidR="00325D89" w:rsidRPr="00A76BE7" w:rsidRDefault="00325D89">
            <w:pPr>
              <w:pStyle w:val="StandardWeb"/>
              <w:spacing w:before="0" w:beforeAutospacing="0" w:after="0" w:afterAutospacing="0"/>
              <w:ind w:left="57" w:right="57"/>
            </w:pPr>
            <w:r w:rsidRPr="00A76BE7">
              <w:rPr>
                <w:rFonts w:ascii="Arial" w:hAnsi="Arial" w:cs="Arial"/>
                <w:b/>
                <w:bCs/>
                <w:color w:val="000000"/>
                <w:sz w:val="20"/>
                <w:szCs w:val="20"/>
              </w:rPr>
              <w:t>IV Therapy Status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hideMark/>
          </w:tcPr>
          <w:p w14:paraId="0B8A915C"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1</w:t>
            </w:r>
          </w:p>
        </w:tc>
        <w:tc>
          <w:tcPr>
            <w:tcW w:w="0" w:type="auto"/>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hideMark/>
          </w:tcPr>
          <w:p w14:paraId="5DF73762"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An attribute indicating whether the patient is currently receiving Intravenous (IV) therapy.</w:t>
            </w:r>
          </w:p>
        </w:tc>
        <w:tc>
          <w:tcPr>
            <w:tcW w:w="0" w:type="auto"/>
            <w:tcBorders>
              <w:top w:val="single" w:sz="6" w:space="0" w:color="CCCCCC"/>
              <w:left w:val="single" w:sz="6" w:space="0" w:color="000000"/>
              <w:bottom w:val="single" w:sz="6" w:space="0" w:color="CCCCCC"/>
              <w:right w:val="single" w:sz="6" w:space="0" w:color="000000"/>
            </w:tcBorders>
            <w:tcMar>
              <w:top w:w="40" w:type="dxa"/>
              <w:left w:w="0" w:type="dxa"/>
              <w:bottom w:w="40" w:type="dxa"/>
              <w:right w:w="0" w:type="dxa"/>
            </w:tcMar>
            <w:hideMark/>
          </w:tcPr>
          <w:p w14:paraId="701496F2" w14:textId="77777777" w:rsidR="00325D89" w:rsidRPr="00A76BE7" w:rsidRDefault="00325D89">
            <w:pPr>
              <w:pStyle w:val="StandardWeb"/>
              <w:spacing w:before="0" w:beforeAutospacing="0" w:after="0" w:afterAutospacing="0"/>
              <w:ind w:left="57" w:right="57"/>
            </w:pPr>
            <w:r w:rsidRPr="00A76BE7">
              <w:rPr>
                <w:rFonts w:ascii="Arial" w:hAnsi="Arial" w:cs="Arial"/>
                <w:color w:val="000000"/>
                <w:sz w:val="20"/>
                <w:szCs w:val="20"/>
              </w:rPr>
              <w:t>Yes</w:t>
            </w:r>
          </w:p>
        </w:tc>
      </w:tr>
    </w:tbl>
    <w:p w14:paraId="276673BD" w14:textId="77777777" w:rsidR="00325D89" w:rsidRPr="00A76BE7" w:rsidRDefault="00325D89" w:rsidP="00325D89">
      <w:pPr>
        <w:pStyle w:val="berschrift2"/>
        <w:spacing w:before="360" w:after="120"/>
        <w:rPr>
          <w:rFonts w:ascii="Arial" w:hAnsi="Arial" w:cs="Arial"/>
          <w:b w:val="0"/>
          <w:bCs/>
          <w:color w:val="000000"/>
        </w:rPr>
      </w:pPr>
    </w:p>
    <w:p w14:paraId="7011DF6D" w14:textId="77777777" w:rsidR="00325D89" w:rsidRPr="00A76BE7" w:rsidRDefault="00325D89">
      <w:pPr>
        <w:rPr>
          <w:rFonts w:ascii="Arial" w:eastAsiaTheme="majorEastAsia" w:hAnsi="Arial" w:cs="Arial"/>
          <w:b/>
          <w:bCs/>
          <w:color w:val="000000"/>
          <w:sz w:val="32"/>
          <w:szCs w:val="32"/>
        </w:rPr>
      </w:pPr>
      <w:r w:rsidRPr="00A76BE7">
        <w:rPr>
          <w:rFonts w:ascii="Arial" w:hAnsi="Arial" w:cs="Arial"/>
          <w:b/>
          <w:bCs/>
          <w:color w:val="000000"/>
        </w:rPr>
        <w:br w:type="page"/>
      </w:r>
    </w:p>
    <w:p w14:paraId="66F721AA" w14:textId="2072D2E8" w:rsidR="00325D89" w:rsidRPr="00A76BE7" w:rsidRDefault="00325D89" w:rsidP="004016DE">
      <w:pPr>
        <w:pStyle w:val="berschrift2"/>
      </w:pPr>
      <w:r w:rsidRPr="00A76BE7">
        <w:lastRenderedPageBreak/>
        <w:t>Statistics on Activities and Cases</w:t>
      </w:r>
    </w:p>
    <w:p w14:paraId="31D35BC3" w14:textId="77777777" w:rsidR="00325D89" w:rsidRPr="00A76BE7" w:rsidRDefault="00325D89" w:rsidP="00325D89">
      <w:pPr>
        <w:pStyle w:val="StandardWeb"/>
        <w:spacing w:before="0" w:beforeAutospacing="0" w:after="0" w:afterAutospacing="0"/>
      </w:pPr>
      <w:r w:rsidRPr="00A76BE7">
        <w:rPr>
          <w:rFonts w:ascii="Arial" w:hAnsi="Arial" w:cs="Arial"/>
          <w:color w:val="000000"/>
          <w:sz w:val="22"/>
          <w:szCs w:val="22"/>
        </w:rPr>
        <w:t>The dataset contains 1050 unique cases which are marked using combinations of up to three letters and 16 unique activities. These 16 events include five different release types, three events stating that a certain lab value is available, two events informing about admission to other stations, four events concerning the ER and two events informing that the patient is receiving IV therapy.</w:t>
      </w:r>
    </w:p>
    <w:p w14:paraId="14741BFD" w14:textId="77777777" w:rsidR="00325D89" w:rsidRPr="00A76BE7" w:rsidRDefault="00325D89" w:rsidP="00325D89"/>
    <w:p w14:paraId="6BCB04CC" w14:textId="543D18A6" w:rsidR="00325D89" w:rsidRPr="00A76BE7" w:rsidRDefault="00325D89" w:rsidP="004016DE">
      <w:pPr>
        <w:pStyle w:val="berschrift3"/>
        <w:rPr>
          <w:b w:val="0"/>
        </w:rPr>
      </w:pPr>
      <w:r w:rsidRPr="00A76BE7">
        <w:t>Activities</w:t>
      </w:r>
    </w:p>
    <w:p w14:paraId="4F75C1C0" w14:textId="54A825BB" w:rsidR="00325D89" w:rsidRPr="00A76BE7" w:rsidRDefault="004016DE" w:rsidP="00325D89">
      <w:r w:rsidRPr="00A76BE7">
        <w:t>Most of</w:t>
      </w:r>
      <w:r w:rsidR="00325D89" w:rsidRPr="00A76BE7">
        <w:t xml:space="preserve"> the performed activities, around 53%, </w:t>
      </w:r>
      <w:r w:rsidRPr="00A76BE7">
        <w:t>are one</w:t>
      </w:r>
      <w:r w:rsidR="00325D89" w:rsidRPr="00A76BE7">
        <w:t xml:space="preserve"> of the three events signalling that a lab value is available. Since these blood mar</w:t>
      </w:r>
      <w:r w:rsidR="00AB3482" w:rsidRPr="00A76BE7">
        <w:t xml:space="preserve">kers play a vital role in identifying and monitoring sepsis, it makes sense that these are performed most frequently. </w:t>
      </w:r>
      <w:r w:rsidR="00AB3482" w:rsidRPr="00A76BE7">
        <w:fldChar w:fldCharType="begin"/>
      </w:r>
      <w:r w:rsidR="00AB3482" w:rsidRPr="00A76BE7">
        <w:instrText xml:space="preserve"> REF _Ref212667346 \h </w:instrText>
      </w:r>
      <w:r w:rsidR="00AB3482" w:rsidRPr="00A76BE7">
        <w:fldChar w:fldCharType="separate"/>
      </w:r>
      <w:r w:rsidR="00AB3482" w:rsidRPr="00A76BE7">
        <w:t xml:space="preserve">Figure </w:t>
      </w:r>
      <w:r w:rsidR="00AB3482" w:rsidRPr="00A76BE7">
        <w:rPr>
          <w:noProof/>
        </w:rPr>
        <w:t>1</w:t>
      </w:r>
      <w:r w:rsidR="00AB3482" w:rsidRPr="00A76BE7">
        <w:fldChar w:fldCharType="end"/>
      </w:r>
      <w:r w:rsidR="00AB3482" w:rsidRPr="00A76BE7">
        <w:t xml:space="preserve"> shows how often each of the activities is performed.</w:t>
      </w:r>
    </w:p>
    <w:p w14:paraId="2E813191" w14:textId="77777777" w:rsidR="00500592" w:rsidRPr="00A76BE7" w:rsidRDefault="00500592" w:rsidP="00325D89"/>
    <w:p w14:paraId="08A18D74" w14:textId="77777777" w:rsidR="00325D89" w:rsidRPr="00A76BE7" w:rsidRDefault="00325D89" w:rsidP="00325D89">
      <w:pPr>
        <w:pStyle w:val="StandardWeb"/>
        <w:keepNext/>
        <w:spacing w:before="0" w:beforeAutospacing="0" w:after="0" w:afterAutospacing="0"/>
        <w:jc w:val="center"/>
      </w:pPr>
      <w:r w:rsidRPr="00A76BE7">
        <w:rPr>
          <w:rFonts w:ascii="Arial" w:hAnsi="Arial" w:cs="Arial"/>
          <w:noProof/>
          <w:color w:val="000000"/>
          <w:sz w:val="22"/>
          <w:szCs w:val="22"/>
          <w:bdr w:val="none" w:sz="0" w:space="0" w:color="auto" w:frame="1"/>
        </w:rPr>
        <w:drawing>
          <wp:inline distT="0" distB="0" distL="0" distR="0" wp14:anchorId="365912FB" wp14:editId="38458ACF">
            <wp:extent cx="5727700" cy="2632710"/>
            <wp:effectExtent l="0" t="0" r="0" b="0"/>
            <wp:docPr id="781291159" name="Grafik 1" descr="Ein Bild, das Screenshot, Tex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1159" name="Grafik 1" descr="Ein Bild, das Screenshot, Text, Reihe, Diagramm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2632710"/>
                    </a:xfrm>
                    <a:prstGeom prst="rect">
                      <a:avLst/>
                    </a:prstGeom>
                    <a:noFill/>
                    <a:ln>
                      <a:noFill/>
                    </a:ln>
                  </pic:spPr>
                </pic:pic>
              </a:graphicData>
            </a:graphic>
          </wp:inline>
        </w:drawing>
      </w:r>
    </w:p>
    <w:p w14:paraId="66840496" w14:textId="61D2F7FB" w:rsidR="00325D89" w:rsidRPr="00A76BE7" w:rsidRDefault="00325D89" w:rsidP="004016DE">
      <w:pPr>
        <w:pStyle w:val="Beschriftung"/>
      </w:pPr>
      <w:bookmarkStart w:id="0" w:name="_Ref212667346"/>
      <w:r w:rsidRPr="00A76BE7">
        <w:t xml:space="preserve">Figure </w:t>
      </w:r>
      <w:r w:rsidRPr="00A76BE7">
        <w:fldChar w:fldCharType="begin"/>
      </w:r>
      <w:r w:rsidRPr="00A76BE7">
        <w:instrText xml:space="preserve"> SEQ Figure \* ARABIC </w:instrText>
      </w:r>
      <w:r w:rsidRPr="00A76BE7">
        <w:fldChar w:fldCharType="separate"/>
      </w:r>
      <w:r w:rsidR="009B5CC8">
        <w:rPr>
          <w:noProof/>
        </w:rPr>
        <w:t>1</w:t>
      </w:r>
      <w:r w:rsidRPr="00A76BE7">
        <w:fldChar w:fldCharType="end"/>
      </w:r>
      <w:bookmarkEnd w:id="0"/>
      <w:r w:rsidRPr="00A76BE7">
        <w:t xml:space="preserve">: Absolute and relative count of </w:t>
      </w:r>
      <w:r w:rsidR="004F2EFE">
        <w:t>a</w:t>
      </w:r>
      <w:r w:rsidRPr="00A76BE7">
        <w:t xml:space="preserve">ctivities in the dataset. </w:t>
      </w:r>
    </w:p>
    <w:p w14:paraId="296137B5" w14:textId="77777777" w:rsidR="00FF5A8C" w:rsidRDefault="00FF5A8C" w:rsidP="00325D89"/>
    <w:p w14:paraId="71B0DFB5" w14:textId="752BB8E6" w:rsidR="00325D89" w:rsidRPr="00A76BE7" w:rsidRDefault="00A76BE7" w:rsidP="00325D89">
      <w:r>
        <w:t xml:space="preserve">Of the 1050 cases in the dataset, almost all of them start with a registration in the ER as can be seen in </w:t>
      </w:r>
      <w:r>
        <w:fldChar w:fldCharType="begin"/>
      </w:r>
      <w:r>
        <w:instrText xml:space="preserve"> REF _Ref212671063 \h </w:instrText>
      </w:r>
      <w:r>
        <w:fldChar w:fldCharType="separate"/>
      </w:r>
      <w:r w:rsidRPr="00A76BE7">
        <w:t xml:space="preserve">Figure </w:t>
      </w:r>
      <w:r w:rsidRPr="00A76BE7">
        <w:rPr>
          <w:noProof/>
        </w:rPr>
        <w:t>2</w:t>
      </w:r>
      <w:r>
        <w:fldChar w:fldCharType="end"/>
      </w:r>
      <w:r>
        <w:t>. The end of a case, however, is not as straight forward. The most frequent ending activity is Release A, with the other dedicated types of releases being in 4</w:t>
      </w:r>
      <w:r w:rsidRPr="00A76BE7">
        <w:rPr>
          <w:vertAlign w:val="superscript"/>
        </w:rPr>
        <w:t>th</w:t>
      </w:r>
      <w:r>
        <w:t>, 9</w:t>
      </w:r>
      <w:r w:rsidRPr="00A76BE7">
        <w:rPr>
          <w:vertAlign w:val="superscript"/>
        </w:rPr>
        <w:t>th</w:t>
      </w:r>
      <w:r>
        <w:t>, 11</w:t>
      </w:r>
      <w:r w:rsidRPr="00A76BE7">
        <w:rPr>
          <w:vertAlign w:val="superscript"/>
        </w:rPr>
        <w:t>th</w:t>
      </w:r>
      <w:r>
        <w:t xml:space="preserve"> and 13</w:t>
      </w:r>
      <w:r w:rsidRPr="00A76BE7">
        <w:rPr>
          <w:vertAlign w:val="superscript"/>
        </w:rPr>
        <w:t>th</w:t>
      </w:r>
      <w:r>
        <w:t xml:space="preserve"> place. As it can be seen in </w:t>
      </w:r>
      <w:r>
        <w:fldChar w:fldCharType="begin"/>
      </w:r>
      <w:r>
        <w:instrText xml:space="preserve"> REF _Ref212671063 \h </w:instrText>
      </w:r>
      <w:r>
        <w:fldChar w:fldCharType="separate"/>
      </w:r>
      <w:r w:rsidRPr="00A76BE7">
        <w:t xml:space="preserve">Figure </w:t>
      </w:r>
      <w:r w:rsidRPr="00A76BE7">
        <w:rPr>
          <w:noProof/>
        </w:rPr>
        <w:t>2</w:t>
      </w:r>
      <w:r>
        <w:fldChar w:fldCharType="end"/>
      </w:r>
      <w:r>
        <w:t xml:space="preserve">, around 54% of cases do not end with one of these dedicated endings, but with </w:t>
      </w:r>
      <w:r w:rsidR="004F2EFE">
        <w:t xml:space="preserve">other event, like </w:t>
      </w:r>
      <w:r>
        <w:t>the return to the ER for instance.</w:t>
      </w:r>
      <w:r w:rsidR="004F2EFE">
        <w:t xml:space="preserve"> Seeing that 14 of 16 activities can be the final activity in a trace, it can be said, that this process is likely complicated.</w:t>
      </w:r>
    </w:p>
    <w:p w14:paraId="35D4BB94" w14:textId="77777777" w:rsidR="004016DE" w:rsidRPr="00A76BE7" w:rsidRDefault="004016DE" w:rsidP="009B5CC8">
      <w:pPr>
        <w:keepNext/>
        <w:jc w:val="center"/>
      </w:pPr>
      <w:r w:rsidRPr="00A76BE7">
        <w:rPr>
          <w:rFonts w:ascii="Arial" w:hAnsi="Arial" w:cs="Arial"/>
          <w:noProof/>
          <w:color w:val="000000"/>
          <w:sz w:val="22"/>
          <w:szCs w:val="22"/>
          <w:bdr w:val="none" w:sz="0" w:space="0" w:color="auto" w:frame="1"/>
        </w:rPr>
        <w:lastRenderedPageBreak/>
        <w:drawing>
          <wp:inline distT="0" distB="0" distL="0" distR="0" wp14:anchorId="4CBE3186" wp14:editId="72378991">
            <wp:extent cx="5731510" cy="2809875"/>
            <wp:effectExtent l="0" t="0" r="0" b="0"/>
            <wp:docPr id="2014897605" name="Grafik 2"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97605" name="Grafik 2" descr="Ein Bild, das Text, Schrift, Screenshot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752E3CBF" w14:textId="004EB04D" w:rsidR="00325D89" w:rsidRDefault="004016DE" w:rsidP="004016DE">
      <w:pPr>
        <w:pStyle w:val="Beschriftung"/>
      </w:pPr>
      <w:bookmarkStart w:id="1" w:name="_Ref212671063"/>
      <w:r w:rsidRPr="00A76BE7">
        <w:t xml:space="preserve">Figure </w:t>
      </w:r>
      <w:r w:rsidRPr="00A76BE7">
        <w:fldChar w:fldCharType="begin"/>
      </w:r>
      <w:r w:rsidRPr="00A76BE7">
        <w:instrText xml:space="preserve"> SEQ Figure \* ARABIC </w:instrText>
      </w:r>
      <w:r w:rsidRPr="00A76BE7">
        <w:fldChar w:fldCharType="separate"/>
      </w:r>
      <w:r w:rsidR="009B5CC8">
        <w:rPr>
          <w:noProof/>
        </w:rPr>
        <w:t>2</w:t>
      </w:r>
      <w:r w:rsidRPr="00A76BE7">
        <w:fldChar w:fldCharType="end"/>
      </w:r>
      <w:bookmarkEnd w:id="1"/>
      <w:r w:rsidRPr="00A76BE7">
        <w:t xml:space="preserve">: </w:t>
      </w:r>
      <w:r w:rsidR="00A76BE7" w:rsidRPr="00A76BE7">
        <w:t>Absolute and relative count of start and end activities in the dataset.</w:t>
      </w:r>
    </w:p>
    <w:p w14:paraId="2D0F4CC8" w14:textId="7DA8EF8A" w:rsidR="009B5CC8" w:rsidRDefault="009B5CC8" w:rsidP="009B5CC8">
      <w:r>
        <w:fldChar w:fldCharType="begin"/>
      </w:r>
      <w:r>
        <w:instrText xml:space="preserve"> REF _Ref213087611 \h </w:instrText>
      </w:r>
      <w:r>
        <w:fldChar w:fldCharType="separate"/>
      </w:r>
      <w:r>
        <w:t xml:space="preserve">Figure </w:t>
      </w:r>
      <w:r>
        <w:rPr>
          <w:noProof/>
        </w:rPr>
        <w:t>3</w:t>
      </w:r>
      <w:r>
        <w:fldChar w:fldCharType="end"/>
      </w:r>
      <w:r>
        <w:t xml:space="preserve"> shows the number of reworks for activities, given there are any. The number of reworks for a given activity </w:t>
      </w:r>
      <w:r w:rsidR="006F6A50">
        <w:t xml:space="preserve">show the number of cases in which the activity appeared twice or more. Repeating the lab activities in a case is highly plausible, since Sepsis progression in a patient can necessitate repeated measurements. </w:t>
      </w:r>
      <w:r w:rsidR="004A138B">
        <w:t>Repeated admission</w:t>
      </w:r>
      <w:r w:rsidR="006F6A50">
        <w:t xml:space="preserve"> to the IC or NC (intensive care and normal care) also</w:t>
      </w:r>
      <w:r w:rsidR="004A138B">
        <w:t xml:space="preserve"> seems</w:t>
      </w:r>
      <w:r w:rsidR="006F6A50">
        <w:t xml:space="preserve"> possible. </w:t>
      </w:r>
    </w:p>
    <w:p w14:paraId="7CA9E521" w14:textId="77777777" w:rsidR="009B5CC8" w:rsidRDefault="009B5CC8" w:rsidP="009B5CC8">
      <w:pPr>
        <w:pStyle w:val="berschrift3"/>
        <w:jc w:val="center"/>
      </w:pPr>
      <w:r>
        <w:rPr>
          <w:noProof/>
        </w:rPr>
        <w:drawing>
          <wp:inline distT="0" distB="0" distL="0" distR="0" wp14:anchorId="04350C40" wp14:editId="4D3E5F7E">
            <wp:extent cx="5760720" cy="2831465"/>
            <wp:effectExtent l="0" t="0" r="5080" b="635"/>
            <wp:docPr id="1244977572" name="Grafik 14"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7572" name="Grafik 14" descr="Ein Bild, das Text, Screenshot, Diagramm, Reihe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5760720" cy="2831465"/>
                    </a:xfrm>
                    <a:prstGeom prst="rect">
                      <a:avLst/>
                    </a:prstGeom>
                  </pic:spPr>
                </pic:pic>
              </a:graphicData>
            </a:graphic>
          </wp:inline>
        </w:drawing>
      </w:r>
    </w:p>
    <w:p w14:paraId="474AD671" w14:textId="30B0E9AC" w:rsidR="009B5CC8" w:rsidRDefault="009B5CC8" w:rsidP="009B5CC8">
      <w:pPr>
        <w:pStyle w:val="Beschriftung"/>
      </w:pPr>
      <w:bookmarkStart w:id="2" w:name="_Ref213087611"/>
      <w:r>
        <w:t xml:space="preserve">Figure </w:t>
      </w:r>
      <w:r>
        <w:fldChar w:fldCharType="begin"/>
      </w:r>
      <w:r>
        <w:instrText xml:space="preserve"> SEQ Figure \* ARABIC </w:instrText>
      </w:r>
      <w:r>
        <w:fldChar w:fldCharType="separate"/>
      </w:r>
      <w:r>
        <w:rPr>
          <w:noProof/>
        </w:rPr>
        <w:t>3</w:t>
      </w:r>
      <w:r>
        <w:fldChar w:fldCharType="end"/>
      </w:r>
      <w:bookmarkEnd w:id="2"/>
      <w:r>
        <w:t>: Rework counts per Activity. Number of Cases in which the activities are repeated at least once.</w:t>
      </w:r>
    </w:p>
    <w:p w14:paraId="15985FFA" w14:textId="3F15EDA6" w:rsidR="00025A81" w:rsidRDefault="004F2EFE" w:rsidP="004F2EFE">
      <w:pPr>
        <w:pStyle w:val="berschrift3"/>
      </w:pPr>
      <w:r>
        <w:t>Cases</w:t>
      </w:r>
    </w:p>
    <w:p w14:paraId="742B4201" w14:textId="18183463" w:rsidR="004F2EFE" w:rsidRDefault="004F45FD" w:rsidP="004F2EFE">
      <w:r>
        <w:t xml:space="preserve">The duration of the cases has a very big range. The shortest </w:t>
      </w:r>
      <w:r w:rsidR="00977DC9">
        <w:t>case</w:t>
      </w:r>
      <w:r>
        <w:t xml:space="preserve"> has a duration of 2 minutes (case “Q”), the longest case on the other hand takes 422 days and approx. 8 hours</w:t>
      </w:r>
      <w:r w:rsidR="00FF5A8C">
        <w:t xml:space="preserve"> (case “HG”)</w:t>
      </w:r>
      <w:r>
        <w:t xml:space="preserve">. On average, a case takes about 28 days and 11 hours. The median duration, however, is 5 days and 8 hours. </w:t>
      </w:r>
      <w:r>
        <w:fldChar w:fldCharType="begin"/>
      </w:r>
      <w:r>
        <w:instrText xml:space="preserve"> REF _Ref212674180 \h </w:instrText>
      </w:r>
      <w:r>
        <w:fldChar w:fldCharType="separate"/>
      </w:r>
      <w:r>
        <w:t xml:space="preserve">Figure </w:t>
      </w:r>
      <w:r>
        <w:rPr>
          <w:noProof/>
        </w:rPr>
        <w:t>3</w:t>
      </w:r>
      <w:r>
        <w:fldChar w:fldCharType="end"/>
      </w:r>
      <w:r>
        <w:t xml:space="preserve"> shows the distribution of the case duration in days. </w:t>
      </w:r>
      <w:r w:rsidR="00FF5A8C">
        <w:t>The distribution is heavily right skewed due to the extreme outliers.</w:t>
      </w:r>
    </w:p>
    <w:p w14:paraId="0470C46A" w14:textId="77777777" w:rsidR="00FF5A8C" w:rsidRPr="004F2EFE" w:rsidRDefault="00FF5A8C" w:rsidP="004F2EFE"/>
    <w:p w14:paraId="50DD7048" w14:textId="74B59845" w:rsidR="00025A81" w:rsidRDefault="003F1357" w:rsidP="009B5CC8">
      <w:pPr>
        <w:keepNext/>
        <w:jc w:val="center"/>
      </w:pPr>
      <w:r>
        <w:rPr>
          <w:rFonts w:ascii="Arial" w:hAnsi="Arial" w:cs="Arial"/>
          <w:noProof/>
          <w:color w:val="000000"/>
          <w:sz w:val="22"/>
          <w:szCs w:val="22"/>
          <w:bdr w:val="none" w:sz="0" w:space="0" w:color="auto" w:frame="1"/>
        </w:rPr>
        <w:lastRenderedPageBreak/>
        <w:drawing>
          <wp:inline distT="0" distB="0" distL="0" distR="0" wp14:anchorId="2C4BA6A1" wp14:editId="759F7770">
            <wp:extent cx="5739130" cy="2817495"/>
            <wp:effectExtent l="0" t="0" r="1270" b="1905"/>
            <wp:docPr id="97381816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8161" name="Grafik 1" descr="Ein Bild, das Text, Screenshot, Diagramm, Reihe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2817495"/>
                    </a:xfrm>
                    <a:prstGeom prst="rect">
                      <a:avLst/>
                    </a:prstGeom>
                    <a:noFill/>
                    <a:ln>
                      <a:noFill/>
                    </a:ln>
                  </pic:spPr>
                </pic:pic>
              </a:graphicData>
            </a:graphic>
          </wp:inline>
        </w:drawing>
      </w:r>
    </w:p>
    <w:p w14:paraId="30919F4B" w14:textId="223782E2" w:rsidR="00FF5A8C" w:rsidRDefault="00025A81" w:rsidP="00F720EC">
      <w:pPr>
        <w:pStyle w:val="Beschriftung"/>
      </w:pPr>
      <w:bookmarkStart w:id="3" w:name="_Ref212674180"/>
      <w:r>
        <w:t xml:space="preserve">Figure </w:t>
      </w:r>
      <w:r>
        <w:fldChar w:fldCharType="begin"/>
      </w:r>
      <w:r>
        <w:instrText xml:space="preserve"> SEQ Figure \* ARABIC </w:instrText>
      </w:r>
      <w:r>
        <w:fldChar w:fldCharType="separate"/>
      </w:r>
      <w:r w:rsidR="009B5CC8">
        <w:rPr>
          <w:noProof/>
        </w:rPr>
        <w:t>4</w:t>
      </w:r>
      <w:r>
        <w:fldChar w:fldCharType="end"/>
      </w:r>
      <w:bookmarkEnd w:id="3"/>
      <w:r>
        <w:t>: Distribution of</w:t>
      </w:r>
      <w:r w:rsidR="004F2EFE">
        <w:t xml:space="preserve"> all case durations, in days</w:t>
      </w:r>
    </w:p>
    <w:p w14:paraId="6AD695EF" w14:textId="4ADA2D2D" w:rsidR="00D75F23" w:rsidRDefault="0006195D" w:rsidP="009C2569">
      <w:r>
        <w:t>Closer inspection of the longest case gave some insights into why there might be such a big number of extreme outliers. The case “HG” started on the 13</w:t>
      </w:r>
      <w:r w:rsidRPr="00977DC9">
        <w:rPr>
          <w:vertAlign w:val="superscript"/>
        </w:rPr>
        <w:t>th</w:t>
      </w:r>
      <w:r>
        <w:t xml:space="preserve"> of December 2013 and ended with a “Release A”-event on the 18</w:t>
      </w:r>
      <w:r w:rsidRPr="00977DC9">
        <w:rPr>
          <w:vertAlign w:val="superscript"/>
        </w:rPr>
        <w:t>th</w:t>
      </w:r>
      <w:r>
        <w:t xml:space="preserve"> of December 2013. However, the final event (“Return ER”) in the case was triggered on the 8</w:t>
      </w:r>
      <w:r w:rsidRPr="00977DC9">
        <w:rPr>
          <w:vertAlign w:val="superscript"/>
        </w:rPr>
        <w:t>th</w:t>
      </w:r>
      <w:r>
        <w:t xml:space="preserve"> of </w:t>
      </w:r>
      <w:r w:rsidR="00A85DBF">
        <w:t>February</w:t>
      </w:r>
      <w:r>
        <w:t xml:space="preserve"> 2015, </w:t>
      </w:r>
      <w:r w:rsidR="00A85DBF">
        <w:t xml:space="preserve">more than a year </w:t>
      </w:r>
      <w:r>
        <w:t>after the initial release. While cases can be continued after some time due to readmission, a continuation of the same case after that much time seems highly implausible. Therefore, it can be assumed, that more outliers of that kind exist.</w:t>
      </w:r>
      <w:r>
        <w:t xml:space="preserve"> </w:t>
      </w:r>
    </w:p>
    <w:p w14:paraId="2F03E1E7" w14:textId="77777777" w:rsidR="00D75F23" w:rsidRDefault="00D75F23">
      <w:r>
        <w:br w:type="page"/>
      </w:r>
    </w:p>
    <w:p w14:paraId="6E186DE0" w14:textId="1C4F87A8" w:rsidR="00A64E74" w:rsidRDefault="00A64E74" w:rsidP="00A64E74">
      <w:pPr>
        <w:pStyle w:val="berschrift1"/>
      </w:pPr>
      <w:r>
        <w:lastRenderedPageBreak/>
        <w:t>Process Insights</w:t>
      </w:r>
    </w:p>
    <w:p w14:paraId="727E2B55" w14:textId="537F8C1C" w:rsidR="004B7FAD" w:rsidRDefault="004B7FAD" w:rsidP="004B7FAD">
      <w:pPr>
        <w:pStyle w:val="berschrift2"/>
      </w:pPr>
      <w:bookmarkStart w:id="4" w:name="_Ref213083558"/>
      <w:r>
        <w:t>Variants</w:t>
      </w:r>
      <w:bookmarkEnd w:id="4"/>
    </w:p>
    <w:p w14:paraId="48311BD2" w14:textId="3138100D" w:rsidR="00036117" w:rsidRDefault="004B7FAD" w:rsidP="00036117">
      <w:r>
        <w:t xml:space="preserve">The log contains a </w:t>
      </w:r>
      <w:r w:rsidR="00E954A6">
        <w:t xml:space="preserve">total amount </w:t>
      </w:r>
      <w:r>
        <w:t xml:space="preserve">of </w:t>
      </w:r>
      <w:r w:rsidR="00036117">
        <w:t>846</w:t>
      </w:r>
      <w:r>
        <w:t xml:space="preserve"> different variants (unique sequence of activities), of which the most common variant makes up 3.33% of all traces. Around 10% of the traces can be explained by the top </w:t>
      </w:r>
      <w:r w:rsidR="00036117">
        <w:t>five</w:t>
      </w:r>
      <w:r>
        <w:t xml:space="preserve"> </w:t>
      </w:r>
      <w:r w:rsidR="00E954A6">
        <w:t>variants.</w:t>
      </w:r>
      <w:r w:rsidR="0012077F">
        <w:t xml:space="preserve"> </w:t>
      </w:r>
      <w:r w:rsidR="00036117">
        <w:fldChar w:fldCharType="begin"/>
      </w:r>
      <w:r w:rsidR="00036117">
        <w:instrText xml:space="preserve"> REF _Ref213082539 \h </w:instrText>
      </w:r>
      <w:r w:rsidR="00036117">
        <w:fldChar w:fldCharType="separate"/>
      </w:r>
      <w:r w:rsidR="00036117">
        <w:t xml:space="preserve">Table </w:t>
      </w:r>
      <w:r w:rsidR="00036117">
        <w:rPr>
          <w:noProof/>
        </w:rPr>
        <w:t>1</w:t>
      </w:r>
      <w:r w:rsidR="00036117">
        <w:fldChar w:fldCharType="end"/>
      </w:r>
      <w:r w:rsidR="00036117">
        <w:t xml:space="preserve"> describes these five variants in both their composition and their frequency. </w:t>
      </w:r>
    </w:p>
    <w:p w14:paraId="232AFCC8" w14:textId="77777777" w:rsidR="00036117" w:rsidRDefault="00036117" w:rsidP="00036117"/>
    <w:p w14:paraId="44FA4C7C" w14:textId="62C6012D" w:rsidR="0012077F" w:rsidRDefault="00E954A6" w:rsidP="00036117">
      <w:r>
        <w:t xml:space="preserve">However, most of the traces </w:t>
      </w:r>
      <w:r w:rsidR="00036117">
        <w:t xml:space="preserve">are </w:t>
      </w:r>
      <w:r>
        <w:t>comprise</w:t>
      </w:r>
      <w:r w:rsidR="00036117">
        <w:t>d of</w:t>
      </w:r>
      <w:r>
        <w:t xml:space="preserve"> </w:t>
      </w:r>
      <w:r w:rsidR="00036117">
        <w:t xml:space="preserve">784 </w:t>
      </w:r>
      <w:r>
        <w:t>unique variant</w:t>
      </w:r>
      <w:r w:rsidR="00036117">
        <w:t>s</w:t>
      </w:r>
      <w:r>
        <w:t xml:space="preserve">, making the log highly heterogenous. This can partly be explained by the circumstance that the flow of a patient can be rather unique itself, with some patients circling back and forth between the same few activities. On the other hand, the system does not seem to be optimal, given the fact that dedicated “Release” events make up less than half of the final events in a trace, lab values can be </w:t>
      </w:r>
      <w:r w:rsidR="00036117">
        <w:t xml:space="preserve">the </w:t>
      </w:r>
      <w:r>
        <w:t xml:space="preserve">first event in a trace etc. </w:t>
      </w:r>
    </w:p>
    <w:p w14:paraId="1269FB95" w14:textId="77777777" w:rsidR="00036117" w:rsidRDefault="00036117" w:rsidP="00036117"/>
    <w:p w14:paraId="786A80F0" w14:textId="69081085" w:rsidR="00036117" w:rsidRDefault="00036117" w:rsidP="00036117">
      <w:pPr>
        <w:pStyle w:val="Beschriftung"/>
        <w:keepNext/>
      </w:pPr>
      <w:bookmarkStart w:id="5" w:name="_Ref213082539"/>
      <w:r>
        <w:t xml:space="preserve">Table </w:t>
      </w:r>
      <w:r>
        <w:fldChar w:fldCharType="begin"/>
      </w:r>
      <w:r>
        <w:instrText xml:space="preserve"> SEQ Table \* ARABIC </w:instrText>
      </w:r>
      <w:r>
        <w:fldChar w:fldCharType="separate"/>
      </w:r>
      <w:r>
        <w:rPr>
          <w:noProof/>
        </w:rPr>
        <w:t>1</w:t>
      </w:r>
      <w:r>
        <w:fldChar w:fldCharType="end"/>
      </w:r>
      <w:bookmarkEnd w:id="5"/>
      <w:r>
        <w:t>:</w:t>
      </w:r>
      <w:r w:rsidRPr="00036117">
        <w:t xml:space="preserve"> </w:t>
      </w:r>
      <w:r>
        <w:t>Top five Variants in the data set, making up approx. 10% of all cases.</w:t>
      </w:r>
    </w:p>
    <w:tbl>
      <w:tblPr>
        <w:tblStyle w:val="Tabellenraster"/>
        <w:tblW w:w="0" w:type="auto"/>
        <w:tblLook w:val="04A0" w:firstRow="1" w:lastRow="0" w:firstColumn="1" w:lastColumn="0" w:noHBand="0" w:noVBand="1"/>
      </w:tblPr>
      <w:tblGrid>
        <w:gridCol w:w="3020"/>
        <w:gridCol w:w="3021"/>
        <w:gridCol w:w="3021"/>
      </w:tblGrid>
      <w:tr w:rsidR="0012077F" w14:paraId="2B42B03D" w14:textId="77777777" w:rsidTr="0012077F">
        <w:tc>
          <w:tcPr>
            <w:tcW w:w="3020" w:type="dxa"/>
            <w:shd w:val="clear" w:color="auto" w:fill="E8E8E8" w:themeFill="background2"/>
          </w:tcPr>
          <w:p w14:paraId="3DD037E8" w14:textId="6F7B0BD2" w:rsidR="0012077F" w:rsidRPr="0012077F" w:rsidRDefault="0012077F" w:rsidP="0012077F">
            <w:pPr>
              <w:rPr>
                <w:b/>
                <w:bCs/>
              </w:rPr>
            </w:pPr>
            <w:r w:rsidRPr="0012077F">
              <w:rPr>
                <w:b/>
                <w:bCs/>
              </w:rPr>
              <w:t>Variant</w:t>
            </w:r>
          </w:p>
        </w:tc>
        <w:tc>
          <w:tcPr>
            <w:tcW w:w="3021" w:type="dxa"/>
            <w:shd w:val="clear" w:color="auto" w:fill="E8E8E8" w:themeFill="background2"/>
          </w:tcPr>
          <w:p w14:paraId="77FD8C14" w14:textId="7C6070E0" w:rsidR="0012077F" w:rsidRPr="0012077F" w:rsidRDefault="0012077F" w:rsidP="0012077F">
            <w:pPr>
              <w:rPr>
                <w:b/>
                <w:bCs/>
              </w:rPr>
            </w:pPr>
            <w:r w:rsidRPr="0012077F">
              <w:rPr>
                <w:b/>
                <w:bCs/>
              </w:rPr>
              <w:t>Activities</w:t>
            </w:r>
          </w:p>
        </w:tc>
        <w:tc>
          <w:tcPr>
            <w:tcW w:w="3021" w:type="dxa"/>
            <w:shd w:val="clear" w:color="auto" w:fill="E8E8E8" w:themeFill="background2"/>
          </w:tcPr>
          <w:p w14:paraId="54F3E26F" w14:textId="05872D18" w:rsidR="0012077F" w:rsidRPr="0012077F" w:rsidRDefault="0012077F" w:rsidP="0012077F">
            <w:pPr>
              <w:rPr>
                <w:b/>
                <w:bCs/>
              </w:rPr>
            </w:pPr>
            <w:r w:rsidRPr="0012077F">
              <w:rPr>
                <w:b/>
                <w:bCs/>
              </w:rPr>
              <w:t>Cases</w:t>
            </w:r>
          </w:p>
        </w:tc>
      </w:tr>
      <w:tr w:rsidR="0012077F" w14:paraId="09009167" w14:textId="77777777" w:rsidTr="0012077F">
        <w:tc>
          <w:tcPr>
            <w:tcW w:w="3020" w:type="dxa"/>
          </w:tcPr>
          <w:p w14:paraId="386FEDED" w14:textId="2792B15E" w:rsidR="0012077F" w:rsidRDefault="0012077F" w:rsidP="004B7FAD">
            <w:r>
              <w:t>Variant 1</w:t>
            </w:r>
          </w:p>
        </w:tc>
        <w:tc>
          <w:tcPr>
            <w:tcW w:w="3021" w:type="dxa"/>
          </w:tcPr>
          <w:p w14:paraId="0DAD625F" w14:textId="1E5420C2" w:rsidR="0012077F" w:rsidRPr="0012077F" w:rsidRDefault="0012077F" w:rsidP="004B7FAD">
            <w:pPr>
              <w:rPr>
                <w:sz w:val="20"/>
                <w:szCs w:val="20"/>
              </w:rPr>
            </w:pPr>
            <w:r w:rsidRPr="0012077F">
              <w:rPr>
                <w:sz w:val="20"/>
                <w:szCs w:val="20"/>
              </w:rPr>
              <w:t>Er Registration</w:t>
            </w:r>
          </w:p>
          <w:p w14:paraId="71698084" w14:textId="77777777" w:rsidR="0012077F" w:rsidRPr="0012077F" w:rsidRDefault="0012077F" w:rsidP="004B7FAD">
            <w:pPr>
              <w:rPr>
                <w:sz w:val="20"/>
                <w:szCs w:val="20"/>
              </w:rPr>
            </w:pPr>
            <w:r w:rsidRPr="0012077F">
              <w:rPr>
                <w:sz w:val="20"/>
                <w:szCs w:val="20"/>
              </w:rPr>
              <w:t>ER Triage</w:t>
            </w:r>
          </w:p>
          <w:p w14:paraId="390767CD" w14:textId="5CACA5F2" w:rsidR="0012077F" w:rsidRPr="0012077F" w:rsidRDefault="0012077F" w:rsidP="004B7FAD">
            <w:pPr>
              <w:rPr>
                <w:sz w:val="20"/>
                <w:szCs w:val="20"/>
              </w:rPr>
            </w:pPr>
            <w:r w:rsidRPr="0012077F">
              <w:rPr>
                <w:sz w:val="20"/>
                <w:szCs w:val="20"/>
              </w:rPr>
              <w:t>ER Sepsis Triage</w:t>
            </w:r>
          </w:p>
        </w:tc>
        <w:tc>
          <w:tcPr>
            <w:tcW w:w="3021" w:type="dxa"/>
          </w:tcPr>
          <w:p w14:paraId="6C2600FB" w14:textId="6041F297" w:rsidR="0012077F" w:rsidRDefault="0012077F" w:rsidP="004B7FAD">
            <w:r>
              <w:t>35 cases (3.35%)</w:t>
            </w:r>
          </w:p>
        </w:tc>
      </w:tr>
      <w:tr w:rsidR="0012077F" w14:paraId="3DCD56B0" w14:textId="77777777" w:rsidTr="0012077F">
        <w:tc>
          <w:tcPr>
            <w:tcW w:w="3020" w:type="dxa"/>
          </w:tcPr>
          <w:p w14:paraId="75D6C567" w14:textId="40CE2658" w:rsidR="0012077F" w:rsidRDefault="0012077F" w:rsidP="004B7FAD">
            <w:r>
              <w:t>Variant 2</w:t>
            </w:r>
          </w:p>
        </w:tc>
        <w:tc>
          <w:tcPr>
            <w:tcW w:w="3021" w:type="dxa"/>
          </w:tcPr>
          <w:p w14:paraId="418CBDC5" w14:textId="3BFB6E27" w:rsidR="0012077F" w:rsidRPr="0012077F" w:rsidRDefault="0012077F" w:rsidP="0012077F">
            <w:pPr>
              <w:rPr>
                <w:sz w:val="20"/>
                <w:szCs w:val="20"/>
              </w:rPr>
            </w:pPr>
            <w:r w:rsidRPr="0012077F">
              <w:rPr>
                <w:sz w:val="20"/>
                <w:szCs w:val="20"/>
              </w:rPr>
              <w:t>E</w:t>
            </w:r>
            <w:r w:rsidRPr="0012077F">
              <w:rPr>
                <w:sz w:val="20"/>
                <w:szCs w:val="20"/>
              </w:rPr>
              <w:t>R</w:t>
            </w:r>
            <w:r w:rsidRPr="0012077F">
              <w:rPr>
                <w:sz w:val="20"/>
                <w:szCs w:val="20"/>
              </w:rPr>
              <w:t xml:space="preserve"> Registration</w:t>
            </w:r>
          </w:p>
          <w:p w14:paraId="4F58FDFD" w14:textId="77777777" w:rsidR="0012077F" w:rsidRPr="0012077F" w:rsidRDefault="0012077F" w:rsidP="0012077F">
            <w:pPr>
              <w:rPr>
                <w:sz w:val="20"/>
                <w:szCs w:val="20"/>
              </w:rPr>
            </w:pPr>
            <w:r w:rsidRPr="0012077F">
              <w:rPr>
                <w:sz w:val="20"/>
                <w:szCs w:val="20"/>
              </w:rPr>
              <w:t>ER Triage</w:t>
            </w:r>
          </w:p>
          <w:p w14:paraId="74C41972" w14:textId="1BDFA17D" w:rsidR="0012077F" w:rsidRPr="0012077F" w:rsidRDefault="0012077F" w:rsidP="0012077F">
            <w:pPr>
              <w:rPr>
                <w:sz w:val="20"/>
                <w:szCs w:val="20"/>
              </w:rPr>
            </w:pPr>
            <w:r w:rsidRPr="0012077F">
              <w:rPr>
                <w:sz w:val="20"/>
                <w:szCs w:val="20"/>
              </w:rPr>
              <w:t xml:space="preserve">ER </w:t>
            </w:r>
            <w:r w:rsidRPr="0012077F">
              <w:rPr>
                <w:sz w:val="20"/>
                <w:szCs w:val="20"/>
              </w:rPr>
              <w:t>Sepsis Triage</w:t>
            </w:r>
          </w:p>
          <w:p w14:paraId="67729CCB" w14:textId="77777777" w:rsidR="0012077F" w:rsidRPr="0012077F" w:rsidRDefault="0012077F" w:rsidP="0012077F">
            <w:pPr>
              <w:rPr>
                <w:sz w:val="20"/>
                <w:szCs w:val="20"/>
              </w:rPr>
            </w:pPr>
            <w:r w:rsidRPr="0012077F">
              <w:rPr>
                <w:sz w:val="20"/>
                <w:szCs w:val="20"/>
              </w:rPr>
              <w:t>Leucocytes</w:t>
            </w:r>
          </w:p>
          <w:p w14:paraId="4B5FE7F8" w14:textId="22D68B13" w:rsidR="0012077F" w:rsidRPr="0012077F" w:rsidRDefault="0012077F" w:rsidP="0012077F">
            <w:pPr>
              <w:rPr>
                <w:sz w:val="20"/>
                <w:szCs w:val="20"/>
              </w:rPr>
            </w:pPr>
            <w:r w:rsidRPr="0012077F">
              <w:rPr>
                <w:sz w:val="20"/>
                <w:szCs w:val="20"/>
              </w:rPr>
              <w:t>CRP</w:t>
            </w:r>
          </w:p>
        </w:tc>
        <w:tc>
          <w:tcPr>
            <w:tcW w:w="3021" w:type="dxa"/>
          </w:tcPr>
          <w:p w14:paraId="3952EFFC" w14:textId="4433ECC1" w:rsidR="0012077F" w:rsidRDefault="0012077F" w:rsidP="004B7FAD">
            <w:r>
              <w:t>24 cases (2.29%)</w:t>
            </w:r>
          </w:p>
        </w:tc>
      </w:tr>
      <w:tr w:rsidR="0012077F" w14:paraId="61A454F4" w14:textId="77777777" w:rsidTr="0012077F">
        <w:tc>
          <w:tcPr>
            <w:tcW w:w="3020" w:type="dxa"/>
          </w:tcPr>
          <w:p w14:paraId="09836400" w14:textId="197D9AD9" w:rsidR="0012077F" w:rsidRDefault="0012077F" w:rsidP="0012077F">
            <w:r>
              <w:t>Variant 3</w:t>
            </w:r>
          </w:p>
        </w:tc>
        <w:tc>
          <w:tcPr>
            <w:tcW w:w="3021" w:type="dxa"/>
          </w:tcPr>
          <w:p w14:paraId="2B062047" w14:textId="0759B400" w:rsidR="0012077F" w:rsidRPr="0012077F" w:rsidRDefault="0012077F" w:rsidP="0012077F">
            <w:pPr>
              <w:rPr>
                <w:sz w:val="20"/>
                <w:szCs w:val="20"/>
              </w:rPr>
            </w:pPr>
            <w:r w:rsidRPr="0012077F">
              <w:rPr>
                <w:sz w:val="20"/>
                <w:szCs w:val="20"/>
              </w:rPr>
              <w:t>E</w:t>
            </w:r>
            <w:r w:rsidRPr="0012077F">
              <w:rPr>
                <w:sz w:val="20"/>
                <w:szCs w:val="20"/>
              </w:rPr>
              <w:t>R</w:t>
            </w:r>
            <w:r w:rsidRPr="0012077F">
              <w:rPr>
                <w:sz w:val="20"/>
                <w:szCs w:val="20"/>
              </w:rPr>
              <w:t xml:space="preserve"> Registration</w:t>
            </w:r>
          </w:p>
          <w:p w14:paraId="25110AD4" w14:textId="77777777" w:rsidR="0012077F" w:rsidRPr="0012077F" w:rsidRDefault="0012077F" w:rsidP="0012077F">
            <w:pPr>
              <w:rPr>
                <w:sz w:val="20"/>
                <w:szCs w:val="20"/>
              </w:rPr>
            </w:pPr>
            <w:r w:rsidRPr="0012077F">
              <w:rPr>
                <w:sz w:val="20"/>
                <w:szCs w:val="20"/>
              </w:rPr>
              <w:t>ER Triage</w:t>
            </w:r>
          </w:p>
          <w:p w14:paraId="19D921FD" w14:textId="7709A5F4" w:rsidR="0012077F" w:rsidRPr="0012077F" w:rsidRDefault="0012077F" w:rsidP="0012077F">
            <w:pPr>
              <w:rPr>
                <w:sz w:val="20"/>
                <w:szCs w:val="20"/>
              </w:rPr>
            </w:pPr>
            <w:r w:rsidRPr="0012077F">
              <w:rPr>
                <w:sz w:val="20"/>
                <w:szCs w:val="20"/>
              </w:rPr>
              <w:t xml:space="preserve">ER </w:t>
            </w:r>
            <w:r w:rsidRPr="0012077F">
              <w:rPr>
                <w:sz w:val="20"/>
                <w:szCs w:val="20"/>
              </w:rPr>
              <w:t>Sepsis Triage</w:t>
            </w:r>
          </w:p>
          <w:p w14:paraId="255231F2" w14:textId="5D52E8A7" w:rsidR="0012077F" w:rsidRPr="0012077F" w:rsidRDefault="0012077F" w:rsidP="0012077F">
            <w:pPr>
              <w:rPr>
                <w:sz w:val="20"/>
                <w:szCs w:val="20"/>
              </w:rPr>
            </w:pPr>
            <w:r w:rsidRPr="0012077F">
              <w:rPr>
                <w:sz w:val="20"/>
                <w:szCs w:val="20"/>
              </w:rPr>
              <w:t>CRP</w:t>
            </w:r>
          </w:p>
          <w:p w14:paraId="10A0011C" w14:textId="02642660" w:rsidR="0012077F" w:rsidRPr="0012077F" w:rsidRDefault="0012077F" w:rsidP="0012077F">
            <w:pPr>
              <w:rPr>
                <w:sz w:val="20"/>
                <w:szCs w:val="20"/>
              </w:rPr>
            </w:pPr>
            <w:r w:rsidRPr="0012077F">
              <w:rPr>
                <w:sz w:val="20"/>
                <w:szCs w:val="20"/>
              </w:rPr>
              <w:t>Leucocytes</w:t>
            </w:r>
          </w:p>
        </w:tc>
        <w:tc>
          <w:tcPr>
            <w:tcW w:w="3021" w:type="dxa"/>
          </w:tcPr>
          <w:p w14:paraId="65574FFC" w14:textId="1DD8AC43" w:rsidR="0012077F" w:rsidRDefault="0012077F" w:rsidP="0012077F">
            <w:r>
              <w:t>22 cases (2.1%)</w:t>
            </w:r>
          </w:p>
        </w:tc>
      </w:tr>
      <w:tr w:rsidR="0012077F" w14:paraId="0E05161C" w14:textId="77777777" w:rsidTr="0012077F">
        <w:tc>
          <w:tcPr>
            <w:tcW w:w="3020" w:type="dxa"/>
          </w:tcPr>
          <w:p w14:paraId="785C0FBF" w14:textId="6D08848F" w:rsidR="0012077F" w:rsidRDefault="0012077F" w:rsidP="0012077F">
            <w:r>
              <w:t>Variant 4</w:t>
            </w:r>
          </w:p>
        </w:tc>
        <w:tc>
          <w:tcPr>
            <w:tcW w:w="3021" w:type="dxa"/>
          </w:tcPr>
          <w:p w14:paraId="06D55888" w14:textId="386D9DA1" w:rsidR="0012077F" w:rsidRPr="0012077F" w:rsidRDefault="0012077F" w:rsidP="0012077F">
            <w:pPr>
              <w:rPr>
                <w:sz w:val="20"/>
                <w:szCs w:val="20"/>
              </w:rPr>
            </w:pPr>
            <w:r w:rsidRPr="0012077F">
              <w:rPr>
                <w:sz w:val="20"/>
                <w:szCs w:val="20"/>
              </w:rPr>
              <w:t>E</w:t>
            </w:r>
            <w:r w:rsidRPr="0012077F">
              <w:rPr>
                <w:sz w:val="20"/>
                <w:szCs w:val="20"/>
              </w:rPr>
              <w:t>R</w:t>
            </w:r>
            <w:r w:rsidRPr="0012077F">
              <w:rPr>
                <w:sz w:val="20"/>
                <w:szCs w:val="20"/>
              </w:rPr>
              <w:t xml:space="preserve"> Registration</w:t>
            </w:r>
          </w:p>
          <w:p w14:paraId="41B209A9" w14:textId="77777777" w:rsidR="0012077F" w:rsidRPr="0012077F" w:rsidRDefault="0012077F" w:rsidP="0012077F">
            <w:pPr>
              <w:rPr>
                <w:sz w:val="20"/>
                <w:szCs w:val="20"/>
              </w:rPr>
            </w:pPr>
            <w:r w:rsidRPr="0012077F">
              <w:rPr>
                <w:sz w:val="20"/>
                <w:szCs w:val="20"/>
              </w:rPr>
              <w:t>ER Triage</w:t>
            </w:r>
          </w:p>
          <w:p w14:paraId="66297155" w14:textId="51F15313" w:rsidR="0012077F" w:rsidRPr="0012077F" w:rsidRDefault="0012077F" w:rsidP="0012077F">
            <w:pPr>
              <w:rPr>
                <w:sz w:val="20"/>
                <w:szCs w:val="20"/>
              </w:rPr>
            </w:pPr>
            <w:r w:rsidRPr="0012077F">
              <w:rPr>
                <w:sz w:val="20"/>
                <w:szCs w:val="20"/>
              </w:rPr>
              <w:t xml:space="preserve">ER </w:t>
            </w:r>
            <w:r w:rsidRPr="0012077F">
              <w:rPr>
                <w:sz w:val="20"/>
                <w:szCs w:val="20"/>
              </w:rPr>
              <w:t>Sepsis Triage</w:t>
            </w:r>
          </w:p>
          <w:p w14:paraId="5EEDBB05" w14:textId="77777777" w:rsidR="0012077F" w:rsidRPr="0012077F" w:rsidRDefault="0012077F" w:rsidP="0012077F">
            <w:pPr>
              <w:rPr>
                <w:sz w:val="20"/>
                <w:szCs w:val="20"/>
              </w:rPr>
            </w:pPr>
            <w:r w:rsidRPr="0012077F">
              <w:rPr>
                <w:sz w:val="20"/>
                <w:szCs w:val="20"/>
              </w:rPr>
              <w:t>CRP</w:t>
            </w:r>
          </w:p>
          <w:p w14:paraId="6B169D40" w14:textId="168FCE92" w:rsidR="0012077F" w:rsidRPr="0012077F" w:rsidRDefault="0012077F" w:rsidP="0012077F">
            <w:pPr>
              <w:rPr>
                <w:sz w:val="20"/>
                <w:szCs w:val="20"/>
              </w:rPr>
            </w:pPr>
            <w:r w:rsidRPr="0012077F">
              <w:rPr>
                <w:sz w:val="20"/>
                <w:szCs w:val="20"/>
              </w:rPr>
              <w:t>Lactic Acid</w:t>
            </w:r>
          </w:p>
          <w:p w14:paraId="2DCF2E4E" w14:textId="77777777" w:rsidR="0012077F" w:rsidRPr="0012077F" w:rsidRDefault="0012077F" w:rsidP="0012077F">
            <w:pPr>
              <w:rPr>
                <w:sz w:val="20"/>
                <w:szCs w:val="20"/>
              </w:rPr>
            </w:pPr>
            <w:r w:rsidRPr="0012077F">
              <w:rPr>
                <w:sz w:val="20"/>
                <w:szCs w:val="20"/>
              </w:rPr>
              <w:t>Leucocytes</w:t>
            </w:r>
          </w:p>
          <w:p w14:paraId="55FF764A" w14:textId="77777777" w:rsidR="0012077F" w:rsidRPr="0012077F" w:rsidRDefault="0012077F" w:rsidP="0012077F">
            <w:pPr>
              <w:rPr>
                <w:sz w:val="20"/>
                <w:szCs w:val="20"/>
              </w:rPr>
            </w:pPr>
            <w:r w:rsidRPr="0012077F">
              <w:rPr>
                <w:sz w:val="20"/>
                <w:szCs w:val="20"/>
              </w:rPr>
              <w:t>IV Liquid</w:t>
            </w:r>
          </w:p>
          <w:p w14:paraId="7ED4FCEE" w14:textId="69E1561F" w:rsidR="0012077F" w:rsidRPr="0012077F" w:rsidRDefault="0012077F" w:rsidP="0012077F">
            <w:pPr>
              <w:rPr>
                <w:sz w:val="20"/>
                <w:szCs w:val="20"/>
              </w:rPr>
            </w:pPr>
            <w:r w:rsidRPr="0012077F">
              <w:rPr>
                <w:sz w:val="20"/>
                <w:szCs w:val="20"/>
              </w:rPr>
              <w:t>IV Antibiotics</w:t>
            </w:r>
          </w:p>
        </w:tc>
        <w:tc>
          <w:tcPr>
            <w:tcW w:w="3021" w:type="dxa"/>
          </w:tcPr>
          <w:p w14:paraId="4BF841E7" w14:textId="55255F61" w:rsidR="0012077F" w:rsidRDefault="0012077F" w:rsidP="0012077F">
            <w:r>
              <w:t>13 cases (1.24%)</w:t>
            </w:r>
          </w:p>
        </w:tc>
      </w:tr>
      <w:tr w:rsidR="0012077F" w14:paraId="3E665398" w14:textId="77777777" w:rsidTr="0012077F">
        <w:tc>
          <w:tcPr>
            <w:tcW w:w="3020" w:type="dxa"/>
          </w:tcPr>
          <w:p w14:paraId="742DE5D1" w14:textId="44439A83" w:rsidR="0012077F" w:rsidRDefault="0012077F" w:rsidP="0012077F">
            <w:r>
              <w:t>Variant 5</w:t>
            </w:r>
          </w:p>
        </w:tc>
        <w:tc>
          <w:tcPr>
            <w:tcW w:w="3021" w:type="dxa"/>
          </w:tcPr>
          <w:p w14:paraId="2075DB19" w14:textId="2200F7A5" w:rsidR="0012077F" w:rsidRPr="0012077F" w:rsidRDefault="0012077F" w:rsidP="0012077F">
            <w:pPr>
              <w:rPr>
                <w:sz w:val="20"/>
                <w:szCs w:val="20"/>
              </w:rPr>
            </w:pPr>
            <w:r w:rsidRPr="0012077F">
              <w:rPr>
                <w:sz w:val="20"/>
                <w:szCs w:val="20"/>
              </w:rPr>
              <w:t>E</w:t>
            </w:r>
            <w:r w:rsidRPr="0012077F">
              <w:rPr>
                <w:sz w:val="20"/>
                <w:szCs w:val="20"/>
              </w:rPr>
              <w:t>R</w:t>
            </w:r>
            <w:r w:rsidRPr="0012077F">
              <w:rPr>
                <w:sz w:val="20"/>
                <w:szCs w:val="20"/>
              </w:rPr>
              <w:t xml:space="preserve"> Registration</w:t>
            </w:r>
          </w:p>
          <w:p w14:paraId="64631915" w14:textId="77777777" w:rsidR="0012077F" w:rsidRPr="0012077F" w:rsidRDefault="0012077F" w:rsidP="0012077F">
            <w:pPr>
              <w:rPr>
                <w:sz w:val="20"/>
                <w:szCs w:val="20"/>
              </w:rPr>
            </w:pPr>
            <w:r w:rsidRPr="0012077F">
              <w:rPr>
                <w:sz w:val="20"/>
                <w:szCs w:val="20"/>
              </w:rPr>
              <w:t>ER Triage</w:t>
            </w:r>
          </w:p>
          <w:p w14:paraId="48C63403" w14:textId="2F9D2E43" w:rsidR="0012077F" w:rsidRPr="0012077F" w:rsidRDefault="0012077F" w:rsidP="0012077F">
            <w:pPr>
              <w:rPr>
                <w:sz w:val="20"/>
                <w:szCs w:val="20"/>
              </w:rPr>
            </w:pPr>
            <w:r w:rsidRPr="0012077F">
              <w:rPr>
                <w:sz w:val="20"/>
                <w:szCs w:val="20"/>
              </w:rPr>
              <w:t xml:space="preserve">ER </w:t>
            </w:r>
            <w:r w:rsidRPr="0012077F">
              <w:rPr>
                <w:sz w:val="20"/>
                <w:szCs w:val="20"/>
              </w:rPr>
              <w:t>Sepsis Triage</w:t>
            </w:r>
          </w:p>
          <w:p w14:paraId="6D71474E" w14:textId="77777777" w:rsidR="0012077F" w:rsidRPr="0012077F" w:rsidRDefault="0012077F" w:rsidP="0012077F">
            <w:pPr>
              <w:rPr>
                <w:sz w:val="20"/>
                <w:szCs w:val="20"/>
              </w:rPr>
            </w:pPr>
            <w:r w:rsidRPr="0012077F">
              <w:rPr>
                <w:sz w:val="20"/>
                <w:szCs w:val="20"/>
              </w:rPr>
              <w:t>Leucocytes</w:t>
            </w:r>
          </w:p>
          <w:p w14:paraId="634488FD" w14:textId="77777777" w:rsidR="0012077F" w:rsidRPr="0012077F" w:rsidRDefault="0012077F" w:rsidP="0012077F">
            <w:pPr>
              <w:rPr>
                <w:sz w:val="20"/>
                <w:szCs w:val="20"/>
              </w:rPr>
            </w:pPr>
            <w:r w:rsidRPr="0012077F">
              <w:rPr>
                <w:sz w:val="20"/>
                <w:szCs w:val="20"/>
              </w:rPr>
              <w:t>CRP</w:t>
            </w:r>
          </w:p>
          <w:p w14:paraId="1FD6853A" w14:textId="0A60CCC8" w:rsidR="0012077F" w:rsidRPr="0012077F" w:rsidRDefault="0012077F" w:rsidP="0012077F">
            <w:pPr>
              <w:rPr>
                <w:sz w:val="20"/>
                <w:szCs w:val="20"/>
              </w:rPr>
            </w:pPr>
            <w:r w:rsidRPr="0012077F">
              <w:rPr>
                <w:sz w:val="20"/>
                <w:szCs w:val="20"/>
              </w:rPr>
              <w:t>Lactic Acid</w:t>
            </w:r>
          </w:p>
        </w:tc>
        <w:tc>
          <w:tcPr>
            <w:tcW w:w="3021" w:type="dxa"/>
          </w:tcPr>
          <w:p w14:paraId="03C1D71E" w14:textId="2E7B28C9" w:rsidR="0012077F" w:rsidRDefault="0012077F" w:rsidP="0012077F">
            <w:r>
              <w:t>11 cases (1.05%)</w:t>
            </w:r>
          </w:p>
        </w:tc>
      </w:tr>
    </w:tbl>
    <w:p w14:paraId="5B416697" w14:textId="77777777" w:rsidR="00036117" w:rsidRDefault="00036117">
      <w:pPr>
        <w:rPr>
          <w:rFonts w:asciiTheme="majorHAnsi" w:eastAsiaTheme="majorEastAsia" w:hAnsiTheme="majorHAnsi" w:cstheme="majorBidi"/>
          <w:b/>
          <w:color w:val="000000" w:themeColor="text1"/>
          <w:sz w:val="32"/>
          <w:szCs w:val="32"/>
        </w:rPr>
      </w:pPr>
      <w:r>
        <w:br w:type="page"/>
      </w:r>
    </w:p>
    <w:p w14:paraId="700942FC" w14:textId="13025346" w:rsidR="00A64E74" w:rsidRDefault="00A64E74" w:rsidP="00A64E74">
      <w:pPr>
        <w:pStyle w:val="berschrift2"/>
      </w:pPr>
      <w:r>
        <w:lastRenderedPageBreak/>
        <w:t>Map view of process</w:t>
      </w:r>
    </w:p>
    <w:p w14:paraId="48B468AD" w14:textId="5AF26827" w:rsidR="00831D4A" w:rsidRDefault="00831D4A" w:rsidP="00831D4A"/>
    <w:p w14:paraId="685A6EF4" w14:textId="04A2E121" w:rsidR="00A64E74" w:rsidRDefault="00E87718" w:rsidP="00A64E74">
      <w:r>
        <w:fldChar w:fldCharType="begin"/>
      </w:r>
      <w:r>
        <w:instrText xml:space="preserve"> REF _Ref213083758 \h </w:instrText>
      </w:r>
      <w:r>
        <w:fldChar w:fldCharType="separate"/>
      </w:r>
      <w:r>
        <w:t xml:space="preserve">Figure </w:t>
      </w:r>
      <w:r>
        <w:rPr>
          <w:noProof/>
        </w:rPr>
        <w:t>4</w:t>
      </w:r>
      <w:r>
        <w:fldChar w:fldCharType="end"/>
      </w:r>
      <w:r>
        <w:t xml:space="preserve"> shows a visualisation of the process</w:t>
      </w:r>
      <w:r w:rsidR="00296B05">
        <w:t xml:space="preserve">. </w:t>
      </w:r>
      <w:r w:rsidR="00CF7228">
        <w:t xml:space="preserve">n the variants with at least two traces, all traces </w:t>
      </w:r>
      <w:r w:rsidR="008C5863">
        <w:t xml:space="preserve">but one </w:t>
      </w:r>
      <w:r w:rsidR="00CF7228">
        <w:t>go through “ER Registration”</w:t>
      </w:r>
      <w:r w:rsidR="008C5863">
        <w:t xml:space="preserve">, </w:t>
      </w:r>
      <w:r w:rsidR="00CF7228">
        <w:t>“ER Triage</w:t>
      </w:r>
      <w:r w:rsidR="008C5863">
        <w:t xml:space="preserve">” and “ER Sepsis Triage”. </w:t>
      </w:r>
      <w:r w:rsidR="002A5471">
        <w:t xml:space="preserve">This is displayed using the case coverage metric in each activity. </w:t>
      </w:r>
      <w:r w:rsidR="00296B05">
        <w:t xml:space="preserve">Key activities in this process are the measurement of CRP and leucocyte values, denoted by their abundance in the event log. These measurements build the bases for treatment decisions or discharge. </w:t>
      </w:r>
    </w:p>
    <w:p w14:paraId="1F309CAC" w14:textId="77777777" w:rsidR="002A5471" w:rsidRDefault="002A5471" w:rsidP="00A64E74"/>
    <w:p w14:paraId="6DA9C9C9" w14:textId="244336FE" w:rsidR="00A64E74" w:rsidRDefault="00296B05" w:rsidP="00296B05">
      <w:pPr>
        <w:pStyle w:val="berschrift2"/>
      </w:pPr>
      <w:r w:rsidRPr="00296B05">
        <w:drawing>
          <wp:inline distT="0" distB="0" distL="0" distR="0" wp14:anchorId="41A16A97" wp14:editId="38522639">
            <wp:extent cx="5760720" cy="6262370"/>
            <wp:effectExtent l="0" t="0" r="5080" b="0"/>
            <wp:docPr id="1856917916" name="Grafik 1" descr="Ein Bild, das Diagramm, Entwurf,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7916" name="Grafik 1" descr="Ein Bild, das Diagramm, Entwurf, Design enthält.&#10;&#10;KI-generierte Inhalte können fehlerhaft sein."/>
                    <pic:cNvPicPr/>
                  </pic:nvPicPr>
                  <pic:blipFill>
                    <a:blip r:embed="rId9"/>
                    <a:stretch>
                      <a:fillRect/>
                    </a:stretch>
                  </pic:blipFill>
                  <pic:spPr>
                    <a:xfrm>
                      <a:off x="0" y="0"/>
                      <a:ext cx="5760720" cy="6262370"/>
                    </a:xfrm>
                    <a:prstGeom prst="rect">
                      <a:avLst/>
                    </a:prstGeom>
                  </pic:spPr>
                </pic:pic>
              </a:graphicData>
            </a:graphic>
          </wp:inline>
        </w:drawing>
      </w:r>
    </w:p>
    <w:p w14:paraId="459CD997" w14:textId="6DB74DDE" w:rsidR="00A64E74" w:rsidRDefault="00A64E74" w:rsidP="00A64E74">
      <w:pPr>
        <w:pStyle w:val="Beschriftung"/>
      </w:pPr>
      <w:bookmarkStart w:id="6" w:name="_Ref213083758"/>
      <w:r>
        <w:t xml:space="preserve">Figure </w:t>
      </w:r>
      <w:r>
        <w:fldChar w:fldCharType="begin"/>
      </w:r>
      <w:r>
        <w:instrText xml:space="preserve"> SEQ Figure \* ARABIC </w:instrText>
      </w:r>
      <w:r>
        <w:fldChar w:fldCharType="separate"/>
      </w:r>
      <w:r w:rsidR="009B5CC8">
        <w:rPr>
          <w:noProof/>
        </w:rPr>
        <w:t>5</w:t>
      </w:r>
      <w:r>
        <w:fldChar w:fldCharType="end"/>
      </w:r>
      <w:bookmarkEnd w:id="6"/>
      <w:r>
        <w:t>: Map view</w:t>
      </w:r>
      <w:r w:rsidR="00831D4A">
        <w:t>s</w:t>
      </w:r>
      <w:r>
        <w:t xml:space="preserve"> of the process created in Disco. </w:t>
      </w:r>
      <w:r w:rsidR="00296B05">
        <w:t xml:space="preserve">This map view was </w:t>
      </w:r>
      <w:r w:rsidR="00E87718">
        <w:t>created using 100% Activities and 0% Paths.</w:t>
      </w:r>
    </w:p>
    <w:p w14:paraId="679E46B8" w14:textId="77777777" w:rsidR="00831D4A" w:rsidRPr="00831D4A" w:rsidRDefault="00831D4A" w:rsidP="00831D4A"/>
    <w:p w14:paraId="3FF203FC" w14:textId="54FA6EE7" w:rsidR="004A138B" w:rsidRDefault="004A138B">
      <w:r>
        <w:br w:type="page"/>
      </w:r>
    </w:p>
    <w:p w14:paraId="7BE171C4" w14:textId="6AD17A66" w:rsidR="004A138B" w:rsidRDefault="004A138B" w:rsidP="004A138B">
      <w:r>
        <w:lastRenderedPageBreak/>
        <w:t xml:space="preserve">Using the dotted chart in </w:t>
      </w:r>
      <w:r>
        <w:fldChar w:fldCharType="begin"/>
      </w:r>
      <w:r>
        <w:instrText xml:space="preserve"> REF _Ref213088462 \h </w:instrText>
      </w:r>
      <w:r>
        <w:fldChar w:fldCharType="separate"/>
      </w:r>
      <w:r>
        <w:t xml:space="preserve">Figure </w:t>
      </w:r>
      <w:r>
        <w:rPr>
          <w:noProof/>
        </w:rPr>
        <w:t>6</w:t>
      </w:r>
      <w:r>
        <w:fldChar w:fldCharType="end"/>
      </w:r>
      <w:r>
        <w:t>, we can see the progression of the events over the time relative to the case (time since case start). For a better overview, the activities are categorised into six groups: “ER Activities”, “Admission”, “IV Treatment”, “Lab Tests”, “Return ER” and “Release”.  Within the first hour of the case, patients usually go through the ER triages (i.e., ER Activities), different lab tests and IV treatments. Admissions to NC or IC usually appear after a</w:t>
      </w:r>
      <w:r w:rsidR="00296B05">
        <w:t xml:space="preserve"> few hours. Between the time of ten hours and 100 hours, repeated lab values are tested, additionally some patients receive more IV treatments. Patients are released via release events after a few days (100 hours). Return of the patients to the ER happens mostly after a few weeks/months.</w:t>
      </w:r>
    </w:p>
    <w:p w14:paraId="710F167B" w14:textId="77777777" w:rsidR="004A138B" w:rsidRDefault="004A138B" w:rsidP="004A138B"/>
    <w:p w14:paraId="5FC983E9" w14:textId="1A1F2E36" w:rsidR="00A64E74" w:rsidRDefault="00E97C66" w:rsidP="009B5CC8">
      <w:pPr>
        <w:keepNext/>
        <w:jc w:val="center"/>
      </w:pPr>
      <w:r>
        <w:rPr>
          <w:noProof/>
        </w:rPr>
        <w:drawing>
          <wp:inline distT="0" distB="0" distL="0" distR="0" wp14:anchorId="393C7FBF" wp14:editId="084C63E9">
            <wp:extent cx="5760720" cy="2777490"/>
            <wp:effectExtent l="0" t="0" r="5080" b="3810"/>
            <wp:docPr id="182988773" name="Grafik 13" descr="Ein Bild, das Text, Reihe, Wasser,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773" name="Grafik 13" descr="Ein Bild, das Text, Reihe, Wasser, Screenshot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5760720" cy="2777490"/>
                    </a:xfrm>
                    <a:prstGeom prst="rect">
                      <a:avLst/>
                    </a:prstGeom>
                  </pic:spPr>
                </pic:pic>
              </a:graphicData>
            </a:graphic>
          </wp:inline>
        </w:drawing>
      </w:r>
    </w:p>
    <w:p w14:paraId="714DA5AF" w14:textId="661B88E7" w:rsidR="009C2569" w:rsidRPr="00F720EC" w:rsidRDefault="00A64E74" w:rsidP="00A64E74">
      <w:pPr>
        <w:pStyle w:val="Beschriftung"/>
      </w:pPr>
      <w:bookmarkStart w:id="7" w:name="_Ref213088462"/>
      <w:r>
        <w:t xml:space="preserve">Figure </w:t>
      </w:r>
      <w:r>
        <w:fldChar w:fldCharType="begin"/>
      </w:r>
      <w:r>
        <w:instrText xml:space="preserve"> SEQ Figure \* ARABIC </w:instrText>
      </w:r>
      <w:r>
        <w:fldChar w:fldCharType="separate"/>
      </w:r>
      <w:r w:rsidR="009B5CC8">
        <w:rPr>
          <w:noProof/>
        </w:rPr>
        <w:t>6</w:t>
      </w:r>
      <w:r>
        <w:fldChar w:fldCharType="end"/>
      </w:r>
      <w:bookmarkEnd w:id="7"/>
      <w:r>
        <w:t xml:space="preserve">: Dotted Chart of the log </w:t>
      </w:r>
      <w:r w:rsidR="00E97C66">
        <w:t>scaled</w:t>
      </w:r>
      <w:r>
        <w:t xml:space="preserve"> time from the case start for each case. </w:t>
      </w:r>
    </w:p>
    <w:p w14:paraId="46A944FF" w14:textId="5C029391" w:rsidR="00F720EC" w:rsidRPr="00F720EC" w:rsidRDefault="00F720EC" w:rsidP="003F1357">
      <w:pPr>
        <w:pStyle w:val="Beschriftung"/>
      </w:pPr>
    </w:p>
    <w:sectPr w:rsidR="00F720EC" w:rsidRPr="00F720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89"/>
    <w:rsid w:val="00025A81"/>
    <w:rsid w:val="00036117"/>
    <w:rsid w:val="0006195D"/>
    <w:rsid w:val="0012077F"/>
    <w:rsid w:val="00267D9E"/>
    <w:rsid w:val="00296B05"/>
    <w:rsid w:val="002A5471"/>
    <w:rsid w:val="002C17C0"/>
    <w:rsid w:val="00325D89"/>
    <w:rsid w:val="003F1357"/>
    <w:rsid w:val="004016DE"/>
    <w:rsid w:val="004477DD"/>
    <w:rsid w:val="004A138B"/>
    <w:rsid w:val="004B7FAD"/>
    <w:rsid w:val="004E4F32"/>
    <w:rsid w:val="004F2EFE"/>
    <w:rsid w:val="004F45FD"/>
    <w:rsid w:val="00500592"/>
    <w:rsid w:val="005563A1"/>
    <w:rsid w:val="0055733C"/>
    <w:rsid w:val="00566CBD"/>
    <w:rsid w:val="006F6A50"/>
    <w:rsid w:val="00831D4A"/>
    <w:rsid w:val="008429A3"/>
    <w:rsid w:val="008C5863"/>
    <w:rsid w:val="008D5628"/>
    <w:rsid w:val="00977DC9"/>
    <w:rsid w:val="009B5CC8"/>
    <w:rsid w:val="009C2569"/>
    <w:rsid w:val="00A64E74"/>
    <w:rsid w:val="00A76BE7"/>
    <w:rsid w:val="00A85DBF"/>
    <w:rsid w:val="00AB3482"/>
    <w:rsid w:val="00CF7228"/>
    <w:rsid w:val="00D75F23"/>
    <w:rsid w:val="00E87718"/>
    <w:rsid w:val="00E954A6"/>
    <w:rsid w:val="00E97C66"/>
    <w:rsid w:val="00EB0E4A"/>
    <w:rsid w:val="00F720EC"/>
    <w:rsid w:val="00F83C79"/>
    <w:rsid w:val="00FF5A8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42DB"/>
  <w15:chartTrackingRefBased/>
  <w15:docId w15:val="{A1A8F584-1302-214E-8F79-8A41F863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4016DE"/>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berschrift2">
    <w:name w:val="heading 2"/>
    <w:basedOn w:val="Standard"/>
    <w:next w:val="Standard"/>
    <w:link w:val="berschrift2Zchn"/>
    <w:uiPriority w:val="9"/>
    <w:unhideWhenUsed/>
    <w:qFormat/>
    <w:rsid w:val="004016DE"/>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berschrift3">
    <w:name w:val="heading 3"/>
    <w:basedOn w:val="Standard"/>
    <w:next w:val="Standard"/>
    <w:link w:val="berschrift3Zchn"/>
    <w:uiPriority w:val="9"/>
    <w:unhideWhenUsed/>
    <w:qFormat/>
    <w:rsid w:val="004016DE"/>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semiHidden/>
    <w:unhideWhenUsed/>
    <w:qFormat/>
    <w:rsid w:val="00325D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5D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5D8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5D8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5D8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5D8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16DE"/>
    <w:rPr>
      <w:rFonts w:asciiTheme="majorHAnsi" w:eastAsiaTheme="majorEastAsia" w:hAnsiTheme="majorHAnsi" w:cstheme="majorBidi"/>
      <w:b/>
      <w:color w:val="000000" w:themeColor="text1"/>
      <w:sz w:val="40"/>
      <w:szCs w:val="40"/>
    </w:rPr>
  </w:style>
  <w:style w:type="character" w:customStyle="1" w:styleId="berschrift2Zchn">
    <w:name w:val="Überschrift 2 Zchn"/>
    <w:basedOn w:val="Absatz-Standardschriftart"/>
    <w:link w:val="berschrift2"/>
    <w:uiPriority w:val="9"/>
    <w:rsid w:val="004016DE"/>
    <w:rPr>
      <w:rFonts w:asciiTheme="majorHAnsi" w:eastAsiaTheme="majorEastAsia" w:hAnsiTheme="majorHAnsi" w:cstheme="majorBidi"/>
      <w:b/>
      <w:color w:val="000000" w:themeColor="text1"/>
      <w:sz w:val="32"/>
      <w:szCs w:val="32"/>
    </w:rPr>
  </w:style>
  <w:style w:type="character" w:customStyle="1" w:styleId="berschrift3Zchn">
    <w:name w:val="Überschrift 3 Zchn"/>
    <w:basedOn w:val="Absatz-Standardschriftart"/>
    <w:link w:val="berschrift3"/>
    <w:uiPriority w:val="9"/>
    <w:rsid w:val="004016DE"/>
    <w:rPr>
      <w:rFonts w:eastAsiaTheme="majorEastAsia" w:cstheme="majorBidi"/>
      <w:b/>
      <w:color w:val="000000" w:themeColor="text1"/>
      <w:sz w:val="28"/>
      <w:szCs w:val="28"/>
    </w:rPr>
  </w:style>
  <w:style w:type="character" w:customStyle="1" w:styleId="berschrift4Zchn">
    <w:name w:val="Überschrift 4 Zchn"/>
    <w:basedOn w:val="Absatz-Standardschriftart"/>
    <w:link w:val="berschrift4"/>
    <w:uiPriority w:val="9"/>
    <w:semiHidden/>
    <w:rsid w:val="00325D8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5D8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5D8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5D8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5D8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5D89"/>
    <w:rPr>
      <w:rFonts w:eastAsiaTheme="majorEastAsia" w:cstheme="majorBidi"/>
      <w:color w:val="272727" w:themeColor="text1" w:themeTint="D8"/>
    </w:rPr>
  </w:style>
  <w:style w:type="paragraph" w:styleId="Titel">
    <w:name w:val="Title"/>
    <w:basedOn w:val="Standard"/>
    <w:next w:val="Standard"/>
    <w:link w:val="TitelZchn"/>
    <w:uiPriority w:val="10"/>
    <w:qFormat/>
    <w:rsid w:val="00325D8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5D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5D8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5D8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5D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25D89"/>
    <w:rPr>
      <w:i/>
      <w:iCs/>
      <w:color w:val="404040" w:themeColor="text1" w:themeTint="BF"/>
    </w:rPr>
  </w:style>
  <w:style w:type="paragraph" w:styleId="Listenabsatz">
    <w:name w:val="List Paragraph"/>
    <w:basedOn w:val="Standard"/>
    <w:uiPriority w:val="34"/>
    <w:qFormat/>
    <w:rsid w:val="00325D89"/>
    <w:pPr>
      <w:ind w:left="720"/>
      <w:contextualSpacing/>
    </w:pPr>
  </w:style>
  <w:style w:type="character" w:styleId="IntensiveHervorhebung">
    <w:name w:val="Intense Emphasis"/>
    <w:basedOn w:val="Absatz-Standardschriftart"/>
    <w:uiPriority w:val="21"/>
    <w:qFormat/>
    <w:rsid w:val="00325D89"/>
    <w:rPr>
      <w:i/>
      <w:iCs/>
      <w:color w:val="0F4761" w:themeColor="accent1" w:themeShade="BF"/>
    </w:rPr>
  </w:style>
  <w:style w:type="paragraph" w:styleId="IntensivesZitat">
    <w:name w:val="Intense Quote"/>
    <w:basedOn w:val="Standard"/>
    <w:next w:val="Standard"/>
    <w:link w:val="IntensivesZitatZchn"/>
    <w:uiPriority w:val="30"/>
    <w:qFormat/>
    <w:rsid w:val="0032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5D89"/>
    <w:rPr>
      <w:i/>
      <w:iCs/>
      <w:color w:val="0F4761" w:themeColor="accent1" w:themeShade="BF"/>
    </w:rPr>
  </w:style>
  <w:style w:type="character" w:styleId="IntensiverVerweis">
    <w:name w:val="Intense Reference"/>
    <w:basedOn w:val="Absatz-Standardschriftart"/>
    <w:uiPriority w:val="32"/>
    <w:qFormat/>
    <w:rsid w:val="00325D89"/>
    <w:rPr>
      <w:b/>
      <w:bCs/>
      <w:smallCaps/>
      <w:color w:val="0F4761" w:themeColor="accent1" w:themeShade="BF"/>
      <w:spacing w:val="5"/>
    </w:rPr>
  </w:style>
  <w:style w:type="paragraph" w:styleId="StandardWeb">
    <w:name w:val="Normal (Web)"/>
    <w:basedOn w:val="Standard"/>
    <w:uiPriority w:val="99"/>
    <w:semiHidden/>
    <w:unhideWhenUsed/>
    <w:rsid w:val="00325D89"/>
    <w:pPr>
      <w:spacing w:before="100" w:beforeAutospacing="1" w:after="100" w:afterAutospacing="1"/>
    </w:pPr>
    <w:rPr>
      <w:rFonts w:ascii="Times New Roman" w:eastAsia="Times New Roman" w:hAnsi="Times New Roman" w:cs="Times New Roman"/>
      <w:kern w:val="0"/>
      <w:lang w:eastAsia="de-DE"/>
      <w14:ligatures w14:val="none"/>
    </w:rPr>
  </w:style>
  <w:style w:type="paragraph" w:styleId="Beschriftung">
    <w:name w:val="caption"/>
    <w:basedOn w:val="Standard"/>
    <w:next w:val="Standard"/>
    <w:uiPriority w:val="35"/>
    <w:unhideWhenUsed/>
    <w:qFormat/>
    <w:rsid w:val="00325D89"/>
    <w:pPr>
      <w:spacing w:after="200"/>
    </w:pPr>
    <w:rPr>
      <w:i/>
      <w:iCs/>
      <w:color w:val="0E2841" w:themeColor="text2"/>
      <w:sz w:val="18"/>
      <w:szCs w:val="18"/>
    </w:rPr>
  </w:style>
  <w:style w:type="table" w:styleId="Tabellenraster">
    <w:name w:val="Table Grid"/>
    <w:basedOn w:val="NormaleTabelle"/>
    <w:uiPriority w:val="39"/>
    <w:rsid w:val="00120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7331B-D921-5A44-8A00-797060245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1135</Words>
  <Characters>7151</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Steininger Lukas - s2410595016</dc:creator>
  <cp:keywords/>
  <dc:description/>
  <cp:lastModifiedBy>Steininger Lukas - s2410595016</cp:lastModifiedBy>
  <cp:revision>6</cp:revision>
  <dcterms:created xsi:type="dcterms:W3CDTF">2025-10-29T20:46:00Z</dcterms:created>
  <dcterms:modified xsi:type="dcterms:W3CDTF">2025-11-03T18:13:00Z</dcterms:modified>
</cp:coreProperties>
</file>