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NVIDIA Corporation (NASDAQ: NVDA)</w:t>
      </w:r>
    </w:p>
    <w:p>
      <w:r>
        <w:rPr>
          <w:b/>
          <w:sz w:val="26"/>
        </w:rPr>
        <w:t>Q2 FY2027 Earnings Update: Clean beat, $108B guide; margins plateau as the Rubin ramp begins</w:t>
      </w:r>
    </w:p>
    <w:p>
      <w:pPr>
        <w:spacing w:after="120"/>
      </w:pPr>
      <w:r>
        <w:t>Report date: 2026-10-13 | Quarter: Q2 FY2027 (13 weeks ended 2026-07-26) | Reported: 2026-08-26 (after market close); Form 10-Q filed 2026-08-26</w:t>
      </w:r>
    </w:p>
    <w:p>
      <w:pPr>
        <w:spacing w:after="120"/>
      </w:pPr>
      <w:r>
        <w:rPr>
          <w:b/>
        </w:rPr>
        <w:t>Rating: MAINTAIN BUY | Price (close 2026-10-13): $228.42 | 12-month price target: $320 (introduced; implies +40.1% upside) | Market cap: ~$5.5 trillion (24.3bn diluted shares)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Q2 FY27 results: BEAT</w:t>
            </w:r>
          </w:p>
        </w:tc>
        <w:tc>
          <w:tcPr>
            <w:tcW w:type="dxa" w:w="2412"/>
          </w:tcPr>
          <w:p>
            <w:pPr>
              <w:jc w:val="right"/>
            </w:pPr>
            <w:r/>
            <w:r>
              <w:rPr>
                <w:b/>
                <w:sz w:val="17"/>
              </w:rPr>
              <w:t>Reported</w:t>
            </w:r>
          </w:p>
        </w:tc>
        <w:tc>
          <w:tcPr>
            <w:tcW w:type="dxa" w:w="2412"/>
          </w:tcPr>
          <w:p>
            <w:pPr>
              <w:jc w:val="right"/>
            </w:pPr>
            <w:r/>
            <w:r>
              <w:rPr>
                <w:b/>
                <w:sz w:val="17"/>
              </w:rPr>
              <w:t>Consensus</w:t>
            </w:r>
          </w:p>
        </w:tc>
        <w:tc>
          <w:tcPr>
            <w:tcW w:type="dxa" w:w="2412"/>
          </w:tcPr>
          <w:p>
            <w:pPr>
              <w:jc w:val="right"/>
            </w:pPr>
            <w:r/>
            <w:r>
              <w:rPr>
                <w:b/>
                <w:sz w:val="17"/>
              </w:rPr>
              <w:t>Variance</w:t>
            </w:r>
          </w:p>
        </w:tc>
      </w:tr>
      <w:tr>
        <w:tc>
          <w:tcPr>
            <w:tcW w:type="dxa" w:w="2412"/>
          </w:tcPr>
          <w:p>
            <w:r/>
            <w:r>
              <w:rPr>
                <w:b w:val="0"/>
                <w:sz w:val="17"/>
              </w:rPr>
              <w:t>Revenue (USD m)</w:t>
            </w:r>
          </w:p>
        </w:tc>
        <w:tc>
          <w:tcPr>
            <w:tcW w:type="dxa" w:w="2412"/>
          </w:tcPr>
          <w:p>
            <w:pPr>
              <w:jc w:val="right"/>
            </w:pPr>
            <w:r/>
            <w:r>
              <w:rPr>
                <w:b w:val="0"/>
                <w:sz w:val="17"/>
              </w:rPr>
              <w:t>96,221</w:t>
            </w:r>
          </w:p>
        </w:tc>
        <w:tc>
          <w:tcPr>
            <w:tcW w:type="dxa" w:w="2412"/>
          </w:tcPr>
          <w:p>
            <w:pPr>
              <w:jc w:val="right"/>
            </w:pPr>
            <w:r/>
            <w:r>
              <w:rPr>
                <w:b w:val="0"/>
                <w:sz w:val="17"/>
              </w:rPr>
              <w:t>92,200</w:t>
            </w:r>
          </w:p>
        </w:tc>
        <w:tc>
          <w:tcPr>
            <w:tcW w:type="dxa" w:w="2412"/>
          </w:tcPr>
          <w:p>
            <w:pPr>
              <w:jc w:val="right"/>
            </w:pPr>
            <w:r/>
            <w:r>
              <w:rPr>
                <w:b w:val="0"/>
                <w:sz w:val="17"/>
              </w:rPr>
              <w:t>+4,021 (+4.4%)</w:t>
            </w:r>
          </w:p>
        </w:tc>
      </w:tr>
      <w:tr>
        <w:tc>
          <w:tcPr>
            <w:tcW w:type="dxa" w:w="2412"/>
          </w:tcPr>
          <w:p>
            <w:r/>
            <w:r>
              <w:rPr>
                <w:b w:val="0"/>
                <w:sz w:val="17"/>
              </w:rPr>
              <w:t>Non-GAAP diluted EPS (USD)</w:t>
            </w:r>
          </w:p>
        </w:tc>
        <w:tc>
          <w:tcPr>
            <w:tcW w:type="dxa" w:w="2412"/>
          </w:tcPr>
          <w:p>
            <w:pPr>
              <w:jc w:val="right"/>
            </w:pPr>
            <w:r/>
            <w:r>
              <w:rPr>
                <w:b w:val="0"/>
                <w:sz w:val="17"/>
              </w:rPr>
              <w:t>2.22</w:t>
            </w:r>
          </w:p>
        </w:tc>
        <w:tc>
          <w:tcPr>
            <w:tcW w:type="dxa" w:w="2412"/>
          </w:tcPr>
          <w:p>
            <w:pPr>
              <w:jc w:val="right"/>
            </w:pPr>
            <w:r/>
            <w:r>
              <w:rPr>
                <w:b w:val="0"/>
                <w:sz w:val="17"/>
              </w:rPr>
              <w:t>2.10</w:t>
            </w:r>
          </w:p>
        </w:tc>
        <w:tc>
          <w:tcPr>
            <w:tcW w:type="dxa" w:w="2412"/>
          </w:tcPr>
          <w:p>
            <w:pPr>
              <w:jc w:val="right"/>
            </w:pPr>
            <w:r/>
            <w:r>
              <w:rPr>
                <w:b w:val="0"/>
                <w:sz w:val="17"/>
              </w:rPr>
              <w:t>+0.12 (+5.7%)</w:t>
            </w:r>
          </w:p>
        </w:tc>
      </w:tr>
      <w:tr>
        <w:tc>
          <w:tcPr>
            <w:tcW w:type="dxa" w:w="2412"/>
          </w:tcPr>
          <w:p>
            <w:r/>
            <w:r>
              <w:rPr>
                <w:b w:val="0"/>
                <w:sz w:val="17"/>
              </w:rPr>
              <w:t>GAAP diluted EPS (USD)</w:t>
            </w:r>
          </w:p>
        </w:tc>
        <w:tc>
          <w:tcPr>
            <w:tcW w:type="dxa" w:w="2412"/>
          </w:tcPr>
          <w:p>
            <w:pPr>
              <w:jc w:val="right"/>
            </w:pPr>
            <w:r/>
            <w:r>
              <w:rPr>
                <w:b w:val="0"/>
                <w:sz w:val="17"/>
              </w:rPr>
              <w:t>2.46</w:t>
            </w:r>
          </w:p>
        </w:tc>
        <w:tc>
          <w:tcPr>
            <w:tcW w:type="dxa" w:w="2412"/>
          </w:tcPr>
          <w:p>
            <w:pPr>
              <w:jc w:val="right"/>
            </w:pPr>
            <w:r/>
            <w:r>
              <w:rPr>
                <w:b w:val="0"/>
                <w:sz w:val="17"/>
              </w:rPr>
              <w:t>n/a</w:t>
            </w:r>
          </w:p>
        </w:tc>
        <w:tc>
          <w:tcPr>
            <w:tcW w:type="dxa" w:w="2412"/>
          </w:tcPr>
          <w:p>
            <w:pPr>
              <w:jc w:val="right"/>
            </w:pPr>
            <w:r/>
            <w:r>
              <w:rPr>
                <w:b w:val="0"/>
                <w:sz w:val="17"/>
              </w:rPr>
              <w:t>Includes $7.8bn equity gains</w:t>
            </w:r>
          </w:p>
        </w:tc>
      </w:tr>
      <w:tr>
        <w:tc>
          <w:tcPr>
            <w:tcW w:type="dxa" w:w="2412"/>
          </w:tcPr>
          <w:p>
            <w:r/>
            <w:r>
              <w:rPr>
                <w:b w:val="0"/>
                <w:sz w:val="17"/>
              </w:rPr>
              <w:t>Data Center revenue (USD m)</w:t>
            </w:r>
          </w:p>
        </w:tc>
        <w:tc>
          <w:tcPr>
            <w:tcW w:type="dxa" w:w="2412"/>
          </w:tcPr>
          <w:p>
            <w:pPr>
              <w:jc w:val="right"/>
            </w:pPr>
            <w:r/>
            <w:r>
              <w:rPr>
                <w:b w:val="0"/>
                <w:sz w:val="17"/>
              </w:rPr>
              <w:t>89,023</w:t>
            </w:r>
          </w:p>
        </w:tc>
        <w:tc>
          <w:tcPr>
            <w:tcW w:type="dxa" w:w="2412"/>
          </w:tcPr>
          <w:p>
            <w:pPr>
              <w:jc w:val="right"/>
            </w:pPr>
            <w:r/>
            <w:r>
              <w:rPr>
                <w:b w:val="0"/>
                <w:sz w:val="17"/>
              </w:rPr>
              <w:t>85,800</w:t>
            </w:r>
          </w:p>
        </w:tc>
        <w:tc>
          <w:tcPr>
            <w:tcW w:type="dxa" w:w="2412"/>
          </w:tcPr>
          <w:p>
            <w:pPr>
              <w:jc w:val="right"/>
            </w:pPr>
            <w:r/>
            <w:r>
              <w:rPr>
                <w:b w:val="0"/>
                <w:sz w:val="17"/>
              </w:rPr>
              <w:t>+3,223 (+3.8%)</w:t>
            </w:r>
          </w:p>
        </w:tc>
      </w:tr>
      <w:tr>
        <w:tc>
          <w:tcPr>
            <w:tcW w:type="dxa" w:w="2412"/>
          </w:tcPr>
          <w:p>
            <w:r/>
            <w:r>
              <w:rPr>
                <w:b w:val="0"/>
                <w:sz w:val="17"/>
              </w:rPr>
              <w:t>GAAP gross margin</w:t>
            </w:r>
          </w:p>
        </w:tc>
        <w:tc>
          <w:tcPr>
            <w:tcW w:type="dxa" w:w="2412"/>
          </w:tcPr>
          <w:p>
            <w:pPr>
              <w:jc w:val="right"/>
            </w:pPr>
            <w:r/>
            <w:r>
              <w:rPr>
                <w:b w:val="0"/>
                <w:sz w:val="17"/>
              </w:rPr>
              <w:t>75.0%</w:t>
            </w:r>
          </w:p>
        </w:tc>
        <w:tc>
          <w:tcPr>
            <w:tcW w:type="dxa" w:w="2412"/>
          </w:tcPr>
          <w:p>
            <w:pPr>
              <w:jc w:val="right"/>
            </w:pPr>
            <w:r/>
            <w:r>
              <w:rPr>
                <w:b w:val="0"/>
                <w:sz w:val="17"/>
              </w:rPr>
              <w:t>~75.0% (guide)</w:t>
            </w:r>
          </w:p>
        </w:tc>
        <w:tc>
          <w:tcPr>
            <w:tcW w:type="dxa" w:w="2412"/>
          </w:tcPr>
          <w:p>
            <w:pPr>
              <w:jc w:val="right"/>
            </w:pPr>
            <w:r/>
            <w:r>
              <w:rPr>
                <w:b w:val="0"/>
                <w:sz w:val="17"/>
              </w:rPr>
              <w:t>In line</w:t>
            </w:r>
          </w:p>
        </w:tc>
      </w:tr>
      <w:tr>
        <w:tc>
          <w:tcPr>
            <w:tcW w:type="dxa" w:w="2412"/>
          </w:tcPr>
          <w:p>
            <w:r/>
            <w:r>
              <w:rPr>
                <w:b w:val="0"/>
                <w:sz w:val="17"/>
              </w:rPr>
              <w:t>Q3 FY27 revenue guide (USD m)</w:t>
            </w:r>
          </w:p>
        </w:tc>
        <w:tc>
          <w:tcPr>
            <w:tcW w:type="dxa" w:w="2412"/>
          </w:tcPr>
          <w:p>
            <w:pPr>
              <w:jc w:val="right"/>
            </w:pPr>
            <w:r/>
            <w:r>
              <w:rPr>
                <w:b w:val="0"/>
                <w:sz w:val="17"/>
              </w:rPr>
              <w:t>108,000 ±2%</w:t>
            </w:r>
          </w:p>
        </w:tc>
        <w:tc>
          <w:tcPr>
            <w:tcW w:type="dxa" w:w="2412"/>
          </w:tcPr>
          <w:p>
            <w:pPr>
              <w:jc w:val="right"/>
            </w:pPr>
            <w:r/>
            <w:r>
              <w:rPr>
                <w:b w:val="0"/>
                <w:sz w:val="17"/>
              </w:rPr>
              <w:t>104,200</w:t>
            </w:r>
          </w:p>
        </w:tc>
        <w:tc>
          <w:tcPr>
            <w:tcW w:type="dxa" w:w="2412"/>
          </w:tcPr>
          <w:p>
            <w:pPr>
              <w:jc w:val="right"/>
            </w:pPr>
            <w:r/>
            <w:r>
              <w:rPr>
                <w:b w:val="0"/>
                <w:sz w:val="17"/>
              </w:rPr>
              <w:t>+3,800 (+3.6%)</w:t>
            </w:r>
          </w:p>
        </w:tc>
      </w:tr>
    </w:tbl>
    <w:p>
      <w:r>
        <w:rPr>
          <w:i/>
          <w:sz w:val="16"/>
        </w:rPr>
        <w:t xml:space="preserve">Source: NVIDIA Q2 FY27 earnings release (2026-08-26) and Form 10-Q; consensus per </w:t>
      </w:r>
      <w:hyperlink r:id="rId9">
        <w:r>
          <w:rPr>
            <w:rFonts w:ascii="Times New Roman" w:hAnsi="Times New Roman"/>
            <w:color w:val="0563C1"/>
            <w:u w:val="single"/>
          </w:rPr>
          <w:t xml:space="preserve">earnings release</w:t>
        </w:r>
      </w:hyperlink>
      <w:r>
        <w:rPr>
          <w:sz w:val="16"/>
        </w:rPr>
        <w:t xml:space="preserve">; </w:t>
      </w:r>
      <w:hyperlink r:id="rId10">
        <w:r>
          <w:rPr>
            <w:rFonts w:ascii="Times New Roman" w:hAnsi="Times New Roman"/>
            <w:color w:val="0563C1"/>
            <w:u w:val="single"/>
          </w:rPr>
          <w:t xml:space="preserve">Form 10-Q</w:t>
        </w:r>
      </w:hyperlink>
      <w:r>
        <w:rPr>
          <w:sz w:val="16"/>
        </w:rPr>
        <w:t xml:space="preserve">; </w:t>
      </w:r>
      <w:hyperlink r:id="rId11">
        <w:r>
          <w:rPr>
            <w:rFonts w:ascii="Times New Roman" w:hAnsi="Times New Roman"/>
            <w:color w:val="0563C1"/>
            <w:u w:val="single"/>
          </w:rPr>
          <w:t xml:space="preserve">XTB consensus compilation (2026-08-26)</w:t>
        </w:r>
      </w:hyperlink>
    </w:p>
    <w:p>
      <w:pPr>
        <w:pStyle w:val="Heading2"/>
      </w:pPr>
      <w:r>
        <w:t>Key takeaways</w:t>
      </w:r>
    </w:p>
    <w:p>
      <w:pPr>
        <w:spacing w:after="120"/>
      </w:pPr>
      <w:r>
        <w:rPr>
          <w:b/>
        </w:rPr>
        <w:t xml:space="preserve">■ Thirteenth consecutive revenue beat, driven by Data Center. </w:t>
      </w:r>
      <w:r>
        <w:t>Revenue of $96,221m (+105.9% YoY, +17.9% QoQ) beat consensus of $92,200m by 4.4% and came in roughly $5bn above the ~$91bn implied midpoint of management's own guide. Data Center was $89,023m (+116.6% YoY), 92.5% of revenue, with AI Clouds, Industrial &amp; Enterprise (+138.1% YoY) now growing faster than Hyperscale (+101.5% YoY).</w:t>
      </w:r>
    </w:p>
    <w:p>
      <w:pPr>
        <w:spacing w:after="120"/>
      </w:pPr>
      <w:r>
        <w:rPr>
          <w:b/>
        </w:rPr>
        <w:t xml:space="preserve">■ Margins held at the 75% plateau; guide steps down 100bp. </w:t>
      </w:r>
      <w:r>
        <w:t>GAAP gross margin was 75.0% (+260bp YoY, flat QoQ) and GAAP operating margin reached a record 66.2%. The Q3 guide of 74.0% ±50bp is the first guided sequential gross-margin decline of this cycle, reflecting Vera Rubin ramp costs and memory pricing. This, not the top line, drove the post-print volatility.</w:t>
      </w:r>
    </w:p>
    <w:p>
      <w:pPr>
        <w:spacing w:after="120"/>
      </w:pPr>
      <w:r>
        <w:rPr>
          <w:b/>
        </w:rPr>
        <w:t xml:space="preserve">■ Guide well ahead of the Street; China still excluded. </w:t>
      </w:r>
      <w:r>
        <w:t>Q3 revenue guidance of $108.0bn ±2% is 3.6% above the $104.2bn consensus and implies +12.2% QoQ, with zero Data Center compute revenue from China assumed. Management framed FY2028 revenue growth at roughly 70%, against investor expectations of about 44%.</w:t>
      </w:r>
    </w:p>
    <w:p>
      <w:pPr>
        <w:spacing w:after="120"/>
      </w:pPr>
      <w:r>
        <w:rPr>
          <w:b/>
        </w:rPr>
        <w:t xml:space="preserve">■ Cash conversion weakened as working capital ballooned. </w:t>
      </w:r>
      <w:r>
        <w:t>Operating cash flow was only $24,077m (25.0% of revenue) and free cash flow $21,400m as receivables rose to ~$63bn and inventory to ~$32bn, while purchase/supply commitments more than doubled to $279bn. We view this as a ramp-timing effect, but it is the main quality-of-earnings watch item.</w:t>
      </w:r>
    </w:p>
    <w:p>
      <w:pPr>
        <w:spacing w:after="120"/>
      </w:pPr>
      <w:r>
        <w:rPr>
          <w:b/>
        </w:rPr>
        <w:t xml:space="preserve">■ Maintain BUY; $320 price target. </w:t>
      </w:r>
      <w:r>
        <w:t>We raise FY27E non-GAAP EPS to $9.36 (from $8.72) and FY28E to $14.68 (from $12.90). At $228.42 the stock trades on 15.6x FY28E EPS. Our $320 target applies 22x to FY28E EPS. Thesis impact: positive.</w:t>
      </w:r>
    </w:p>
    <w:p>
      <w:pPr>
        <w:pStyle w:val="Heading2"/>
      </w:pPr>
      <w:r>
        <w:t>Updated estimates</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
              <w:rPr>
                <w:b/>
                <w:sz w:val="17"/>
              </w:rPr>
              <w:t>USD m unless stated</w:t>
            </w:r>
          </w:p>
        </w:tc>
        <w:tc>
          <w:tcPr>
            <w:tcW w:type="dxa" w:w="1378"/>
          </w:tcPr>
          <w:p>
            <w:pPr>
              <w:jc w:val="right"/>
            </w:pPr>
            <w:r/>
            <w:r>
              <w:rPr>
                <w:b/>
                <w:sz w:val="17"/>
              </w:rPr>
              <w:t>FY27E old</w:t>
            </w:r>
          </w:p>
        </w:tc>
        <w:tc>
          <w:tcPr>
            <w:tcW w:type="dxa" w:w="1378"/>
          </w:tcPr>
          <w:p>
            <w:pPr>
              <w:jc w:val="right"/>
            </w:pPr>
            <w:r/>
            <w:r>
              <w:rPr>
                <w:b/>
                <w:sz w:val="17"/>
              </w:rPr>
              <w:t>FY27E new</w:t>
            </w:r>
          </w:p>
        </w:tc>
        <w:tc>
          <w:tcPr>
            <w:tcW w:type="dxa" w:w="1378"/>
          </w:tcPr>
          <w:p>
            <w:pPr>
              <w:jc w:val="right"/>
            </w:pPr>
            <w:r/>
            <w:r>
              <w:rPr>
                <w:b/>
                <w:sz w:val="17"/>
              </w:rPr>
              <w:t>Change</w:t>
            </w:r>
          </w:p>
        </w:tc>
        <w:tc>
          <w:tcPr>
            <w:tcW w:type="dxa" w:w="1378"/>
          </w:tcPr>
          <w:p>
            <w:pPr>
              <w:jc w:val="right"/>
            </w:pPr>
            <w:r/>
            <w:r>
              <w:rPr>
                <w:b/>
                <w:sz w:val="17"/>
              </w:rPr>
              <w:t>FY28E old</w:t>
            </w:r>
          </w:p>
        </w:tc>
        <w:tc>
          <w:tcPr>
            <w:tcW w:type="dxa" w:w="1378"/>
          </w:tcPr>
          <w:p>
            <w:pPr>
              <w:jc w:val="right"/>
            </w:pPr>
            <w:r/>
            <w:r>
              <w:rPr>
                <w:b/>
                <w:sz w:val="17"/>
              </w:rPr>
              <w:t>FY28E new</w:t>
            </w:r>
          </w:p>
        </w:tc>
        <w:tc>
          <w:tcPr>
            <w:tcW w:type="dxa" w:w="1378"/>
          </w:tcPr>
          <w:p>
            <w:pPr>
              <w:jc w:val="right"/>
            </w:pPr>
            <w:r/>
            <w:r>
              <w:rPr>
                <w:b/>
                <w:sz w:val="17"/>
              </w:rPr>
              <w:t>Change</w:t>
            </w:r>
          </w:p>
        </w:tc>
      </w:tr>
      <w:tr>
        <w:tc>
          <w:tcPr>
            <w:tcW w:type="dxa" w:w="1378"/>
          </w:tcPr>
          <w:p>
            <w:r/>
            <w:r>
              <w:rPr>
                <w:b w:val="0"/>
                <w:sz w:val="17"/>
              </w:rPr>
              <w:t>Revenue</w:t>
            </w:r>
          </w:p>
        </w:tc>
        <w:tc>
          <w:tcPr>
            <w:tcW w:type="dxa" w:w="1378"/>
          </w:tcPr>
          <w:p>
            <w:pPr>
              <w:jc w:val="right"/>
            </w:pPr>
            <w:r/>
            <w:r>
              <w:rPr>
                <w:b w:val="0"/>
                <w:sz w:val="17"/>
              </w:rPr>
              <w:t>381,815</w:t>
            </w:r>
          </w:p>
        </w:tc>
        <w:tc>
          <w:tcPr>
            <w:tcW w:type="dxa" w:w="1378"/>
          </w:tcPr>
          <w:p>
            <w:pPr>
              <w:jc w:val="right"/>
            </w:pPr>
            <w:r/>
            <w:r>
              <w:rPr>
                <w:b w:val="0"/>
                <w:sz w:val="17"/>
              </w:rPr>
              <w:t>409,836</w:t>
            </w:r>
          </w:p>
        </w:tc>
        <w:tc>
          <w:tcPr>
            <w:tcW w:type="dxa" w:w="1378"/>
          </w:tcPr>
          <w:p>
            <w:pPr>
              <w:jc w:val="right"/>
            </w:pPr>
            <w:r/>
            <w:r>
              <w:rPr>
                <w:b w:val="0"/>
                <w:sz w:val="17"/>
              </w:rPr>
              <w:t>+7.3%</w:t>
            </w:r>
          </w:p>
        </w:tc>
        <w:tc>
          <w:tcPr>
            <w:tcW w:type="dxa" w:w="1378"/>
          </w:tcPr>
          <w:p>
            <w:pPr>
              <w:jc w:val="right"/>
            </w:pPr>
            <w:r/>
            <w:r>
              <w:rPr>
                <w:b w:val="0"/>
                <w:sz w:val="17"/>
              </w:rPr>
              <w:t>560,000</w:t>
            </w:r>
          </w:p>
        </w:tc>
        <w:tc>
          <w:tcPr>
            <w:tcW w:type="dxa" w:w="1378"/>
          </w:tcPr>
          <w:p>
            <w:pPr>
              <w:jc w:val="right"/>
            </w:pPr>
            <w:r/>
            <w:r>
              <w:rPr>
                <w:b w:val="0"/>
                <w:sz w:val="17"/>
              </w:rPr>
              <w:t>635,000</w:t>
            </w:r>
          </w:p>
        </w:tc>
        <w:tc>
          <w:tcPr>
            <w:tcW w:type="dxa" w:w="1378"/>
          </w:tcPr>
          <w:p>
            <w:pPr>
              <w:jc w:val="right"/>
            </w:pPr>
            <w:r/>
            <w:r>
              <w:rPr>
                <w:b w:val="0"/>
                <w:sz w:val="17"/>
              </w:rPr>
              <w:t>+13.4%</w:t>
            </w:r>
          </w:p>
        </w:tc>
      </w:tr>
      <w:tr>
        <w:tc>
          <w:tcPr>
            <w:tcW w:type="dxa" w:w="1378"/>
          </w:tcPr>
          <w:p>
            <w:r/>
            <w:r>
              <w:rPr>
                <w:b w:val="0"/>
                <w:sz w:val="17"/>
              </w:rPr>
              <w:t>Revenue growth YoY</w:t>
            </w:r>
          </w:p>
        </w:tc>
        <w:tc>
          <w:tcPr>
            <w:tcW w:type="dxa" w:w="1378"/>
          </w:tcPr>
          <w:p>
            <w:pPr>
              <w:jc w:val="right"/>
            </w:pPr>
            <w:r/>
            <w:r>
              <w:rPr>
                <w:b w:val="0"/>
                <w:sz w:val="17"/>
              </w:rPr>
              <w:t>76.8%</w:t>
            </w:r>
          </w:p>
        </w:tc>
        <w:tc>
          <w:tcPr>
            <w:tcW w:type="dxa" w:w="1378"/>
          </w:tcPr>
          <w:p>
            <w:pPr>
              <w:jc w:val="right"/>
            </w:pPr>
            <w:r/>
            <w:r>
              <w:rPr>
                <w:b w:val="0"/>
                <w:sz w:val="17"/>
              </w:rPr>
              <w:t>89.8%</w:t>
            </w:r>
          </w:p>
        </w:tc>
        <w:tc>
          <w:tcPr>
            <w:tcW w:type="dxa" w:w="1378"/>
          </w:tcPr>
          <w:p>
            <w:pPr>
              <w:jc w:val="right"/>
            </w:pPr>
            <w:r/>
            <w:r>
              <w:rPr>
                <w:b w:val="0"/>
                <w:sz w:val="17"/>
              </w:rPr>
              <w:t>+13.0pp</w:t>
            </w:r>
          </w:p>
        </w:tc>
        <w:tc>
          <w:tcPr>
            <w:tcW w:type="dxa" w:w="1378"/>
          </w:tcPr>
          <w:p>
            <w:pPr>
              <w:jc w:val="right"/>
            </w:pPr>
            <w:r/>
            <w:r>
              <w:rPr>
                <w:b w:val="0"/>
                <w:sz w:val="17"/>
              </w:rPr>
              <w:t>46.7%</w:t>
            </w:r>
          </w:p>
        </w:tc>
        <w:tc>
          <w:tcPr>
            <w:tcW w:type="dxa" w:w="1378"/>
          </w:tcPr>
          <w:p>
            <w:pPr>
              <w:jc w:val="right"/>
            </w:pPr>
            <w:r/>
            <w:r>
              <w:rPr>
                <w:b w:val="0"/>
                <w:sz w:val="17"/>
              </w:rPr>
              <w:t>54.9%</w:t>
            </w:r>
          </w:p>
        </w:tc>
        <w:tc>
          <w:tcPr>
            <w:tcW w:type="dxa" w:w="1378"/>
          </w:tcPr>
          <w:p>
            <w:pPr>
              <w:jc w:val="right"/>
            </w:pPr>
            <w:r/>
            <w:r>
              <w:rPr>
                <w:b w:val="0"/>
                <w:sz w:val="17"/>
              </w:rPr>
              <w:t>+8.2pp</w:t>
            </w:r>
          </w:p>
        </w:tc>
      </w:tr>
      <w:tr>
        <w:tc>
          <w:tcPr>
            <w:tcW w:type="dxa" w:w="1378"/>
          </w:tcPr>
          <w:p>
            <w:r/>
            <w:r>
              <w:rPr>
                <w:b w:val="0"/>
                <w:sz w:val="17"/>
              </w:rPr>
              <w:t>Gross margin (non-GAAP)</w:t>
            </w:r>
          </w:p>
        </w:tc>
        <w:tc>
          <w:tcPr>
            <w:tcW w:type="dxa" w:w="1378"/>
          </w:tcPr>
          <w:p>
            <w:pPr>
              <w:jc w:val="right"/>
            </w:pPr>
            <w:r/>
            <w:r>
              <w:rPr>
                <w:b w:val="0"/>
                <w:sz w:val="17"/>
              </w:rPr>
              <w:t>74.7%</w:t>
            </w:r>
          </w:p>
        </w:tc>
        <w:tc>
          <w:tcPr>
            <w:tcW w:type="dxa" w:w="1378"/>
          </w:tcPr>
          <w:p>
            <w:pPr>
              <w:jc w:val="right"/>
            </w:pPr>
            <w:r/>
            <w:r>
              <w:rPr>
                <w:b w:val="0"/>
                <w:sz w:val="17"/>
              </w:rPr>
              <w:t>74.3%</w:t>
            </w:r>
          </w:p>
        </w:tc>
        <w:tc>
          <w:tcPr>
            <w:tcW w:type="dxa" w:w="1378"/>
          </w:tcPr>
          <w:p>
            <w:pPr>
              <w:jc w:val="right"/>
            </w:pPr>
            <w:r/>
            <w:r>
              <w:rPr>
                <w:b w:val="0"/>
                <w:sz w:val="17"/>
              </w:rPr>
              <w:t>-0.4pp</w:t>
            </w:r>
          </w:p>
        </w:tc>
        <w:tc>
          <w:tcPr>
            <w:tcW w:type="dxa" w:w="1378"/>
          </w:tcPr>
          <w:p>
            <w:pPr>
              <w:jc w:val="right"/>
            </w:pPr>
            <w:r/>
            <w:r>
              <w:rPr>
                <w:b w:val="0"/>
                <w:sz w:val="17"/>
              </w:rPr>
              <w:t>73.5%</w:t>
            </w:r>
          </w:p>
        </w:tc>
        <w:tc>
          <w:tcPr>
            <w:tcW w:type="dxa" w:w="1378"/>
          </w:tcPr>
          <w:p>
            <w:pPr>
              <w:jc w:val="right"/>
            </w:pPr>
            <w:r/>
            <w:r>
              <w:rPr>
                <w:b w:val="0"/>
                <w:sz w:val="17"/>
              </w:rPr>
              <w:t>73.0%</w:t>
            </w:r>
          </w:p>
        </w:tc>
        <w:tc>
          <w:tcPr>
            <w:tcW w:type="dxa" w:w="1378"/>
          </w:tcPr>
          <w:p>
            <w:pPr>
              <w:jc w:val="right"/>
            </w:pPr>
            <w:r/>
            <w:r>
              <w:rPr>
                <w:b w:val="0"/>
                <w:sz w:val="17"/>
              </w:rPr>
              <w:t>-0.5pp</w:t>
            </w:r>
          </w:p>
        </w:tc>
      </w:tr>
      <w:tr>
        <w:tc>
          <w:tcPr>
            <w:tcW w:type="dxa" w:w="1378"/>
          </w:tcPr>
          <w:p>
            <w:r/>
            <w:r>
              <w:rPr>
                <w:b w:val="0"/>
                <w:sz w:val="17"/>
              </w:rPr>
              <w:t>Non-GAAP operating income</w:t>
            </w:r>
          </w:p>
        </w:tc>
        <w:tc>
          <w:tcPr>
            <w:tcW w:type="dxa" w:w="1378"/>
          </w:tcPr>
          <w:p>
            <w:pPr>
              <w:jc w:val="right"/>
            </w:pPr>
            <w:r/>
            <w:r>
              <w:rPr>
                <w:b w:val="0"/>
                <w:sz w:val="17"/>
              </w:rPr>
              <w:t>251,593</w:t>
            </w:r>
          </w:p>
        </w:tc>
        <w:tc>
          <w:tcPr>
            <w:tcW w:type="dxa" w:w="1378"/>
          </w:tcPr>
          <w:p>
            <w:pPr>
              <w:jc w:val="right"/>
            </w:pPr>
            <w:r/>
            <w:r>
              <w:rPr>
                <w:b w:val="0"/>
                <w:sz w:val="17"/>
              </w:rPr>
              <w:t>270,009</w:t>
            </w:r>
          </w:p>
        </w:tc>
        <w:tc>
          <w:tcPr>
            <w:tcW w:type="dxa" w:w="1378"/>
          </w:tcPr>
          <w:p>
            <w:pPr>
              <w:jc w:val="right"/>
            </w:pPr>
            <w:r/>
            <w:r>
              <w:rPr>
                <w:b w:val="0"/>
                <w:sz w:val="17"/>
              </w:rPr>
              <w:t>+7.3%</w:t>
            </w:r>
          </w:p>
        </w:tc>
        <w:tc>
          <w:tcPr>
            <w:tcW w:type="dxa" w:w="1378"/>
          </w:tcPr>
          <w:p>
            <w:pPr>
              <w:jc w:val="right"/>
            </w:pPr>
            <w:r/>
            <w:r>
              <w:rPr>
                <w:b w:val="0"/>
                <w:sz w:val="17"/>
              </w:rPr>
              <w:t>371,600</w:t>
            </w:r>
          </w:p>
        </w:tc>
        <w:tc>
          <w:tcPr>
            <w:tcW w:type="dxa" w:w="1378"/>
          </w:tcPr>
          <w:p>
            <w:pPr>
              <w:jc w:val="right"/>
            </w:pPr>
            <w:r/>
            <w:r>
              <w:rPr>
                <w:b w:val="0"/>
                <w:sz w:val="17"/>
              </w:rPr>
              <w:t>421,550</w:t>
            </w:r>
          </w:p>
        </w:tc>
        <w:tc>
          <w:tcPr>
            <w:tcW w:type="dxa" w:w="1378"/>
          </w:tcPr>
          <w:p>
            <w:pPr>
              <w:jc w:val="right"/>
            </w:pPr>
            <w:r/>
            <w:r>
              <w:rPr>
                <w:b w:val="0"/>
                <w:sz w:val="17"/>
              </w:rPr>
              <w:t>+13.4%</w:t>
            </w:r>
          </w:p>
        </w:tc>
      </w:tr>
      <w:tr>
        <w:tc>
          <w:tcPr>
            <w:tcW w:type="dxa" w:w="1378"/>
          </w:tcPr>
          <w:p>
            <w:r/>
            <w:r>
              <w:rPr>
                <w:b w:val="0"/>
                <w:sz w:val="17"/>
              </w:rPr>
              <w:t>Non-GAAP EPS (USD)</w:t>
            </w:r>
          </w:p>
        </w:tc>
        <w:tc>
          <w:tcPr>
            <w:tcW w:type="dxa" w:w="1378"/>
          </w:tcPr>
          <w:p>
            <w:pPr>
              <w:jc w:val="right"/>
            </w:pPr>
            <w:r/>
            <w:r>
              <w:rPr>
                <w:b w:val="0"/>
                <w:sz w:val="17"/>
              </w:rPr>
              <w:t>8.72</w:t>
            </w:r>
          </w:p>
        </w:tc>
        <w:tc>
          <w:tcPr>
            <w:tcW w:type="dxa" w:w="1378"/>
          </w:tcPr>
          <w:p>
            <w:pPr>
              <w:jc w:val="right"/>
            </w:pPr>
            <w:r/>
            <w:r>
              <w:rPr>
                <w:b w:val="0"/>
                <w:sz w:val="17"/>
              </w:rPr>
              <w:t>9.36</w:t>
            </w:r>
          </w:p>
        </w:tc>
        <w:tc>
          <w:tcPr>
            <w:tcW w:type="dxa" w:w="1378"/>
          </w:tcPr>
          <w:p>
            <w:pPr>
              <w:jc w:val="right"/>
            </w:pPr>
            <w:r/>
            <w:r>
              <w:rPr>
                <w:b w:val="0"/>
                <w:sz w:val="17"/>
              </w:rPr>
              <w:t>+7.3%</w:t>
            </w:r>
          </w:p>
        </w:tc>
        <w:tc>
          <w:tcPr>
            <w:tcW w:type="dxa" w:w="1378"/>
          </w:tcPr>
          <w:p>
            <w:pPr>
              <w:jc w:val="right"/>
            </w:pPr>
            <w:r/>
            <w:r>
              <w:rPr>
                <w:b w:val="0"/>
                <w:sz w:val="17"/>
              </w:rPr>
              <w:t>12.90</w:t>
            </w:r>
          </w:p>
        </w:tc>
        <w:tc>
          <w:tcPr>
            <w:tcW w:type="dxa" w:w="1378"/>
          </w:tcPr>
          <w:p>
            <w:pPr>
              <w:jc w:val="right"/>
            </w:pPr>
            <w:r/>
            <w:r>
              <w:rPr>
                <w:b w:val="0"/>
                <w:sz w:val="17"/>
              </w:rPr>
              <w:t>14.68</w:t>
            </w:r>
          </w:p>
        </w:tc>
        <w:tc>
          <w:tcPr>
            <w:tcW w:type="dxa" w:w="1378"/>
          </w:tcPr>
          <w:p>
            <w:pPr>
              <w:jc w:val="right"/>
            </w:pPr>
            <w:r/>
            <w:r>
              <w:rPr>
                <w:b w:val="0"/>
                <w:sz w:val="17"/>
              </w:rPr>
              <w:t>+13.8%</w:t>
            </w:r>
          </w:p>
        </w:tc>
      </w:tr>
      <w:tr>
        <w:tc>
          <w:tcPr>
            <w:tcW w:type="dxa" w:w="1378"/>
          </w:tcPr>
          <w:p>
            <w:r/>
            <w:r>
              <w:rPr>
                <w:b w:val="0"/>
                <w:sz w:val="17"/>
              </w:rPr>
              <w:t>P/E at $228.42 (x)</w:t>
            </w:r>
          </w:p>
        </w:tc>
        <w:tc>
          <w:tcPr>
            <w:tcW w:type="dxa" w:w="1378"/>
          </w:tcPr>
          <w:p>
            <w:pPr>
              <w:jc w:val="right"/>
            </w:pPr>
            <w:r/>
            <w:r>
              <w:rPr>
                <w:b w:val="0"/>
                <w:sz w:val="17"/>
              </w:rPr>
              <w:t>26.2</w:t>
            </w:r>
          </w:p>
        </w:tc>
        <w:tc>
          <w:tcPr>
            <w:tcW w:type="dxa" w:w="1378"/>
          </w:tcPr>
          <w:p>
            <w:pPr>
              <w:jc w:val="right"/>
            </w:pPr>
            <w:r/>
            <w:r>
              <w:rPr>
                <w:b w:val="0"/>
                <w:sz w:val="17"/>
              </w:rPr>
              <w:t>24.4</w:t>
            </w:r>
          </w:p>
        </w:tc>
        <w:tc>
          <w:tcPr>
            <w:tcW w:type="dxa" w:w="1378"/>
          </w:tcPr>
          <w:p>
            <w:pPr>
              <w:jc w:val="right"/>
            </w:pPr>
            <w:r/>
            <w:r>
              <w:rPr>
                <w:b w:val="0"/>
                <w:sz w:val="17"/>
              </w:rPr>
            </w:r>
          </w:p>
        </w:tc>
        <w:tc>
          <w:tcPr>
            <w:tcW w:type="dxa" w:w="1378"/>
          </w:tcPr>
          <w:p>
            <w:pPr>
              <w:jc w:val="right"/>
            </w:pPr>
            <w:r/>
            <w:r>
              <w:rPr>
                <w:b w:val="0"/>
                <w:sz w:val="17"/>
              </w:rPr>
              <w:t>17.7</w:t>
            </w:r>
          </w:p>
        </w:tc>
        <w:tc>
          <w:tcPr>
            <w:tcW w:type="dxa" w:w="1378"/>
          </w:tcPr>
          <w:p>
            <w:pPr>
              <w:jc w:val="right"/>
            </w:pPr>
            <w:r/>
            <w:r>
              <w:rPr>
                <w:b w:val="0"/>
                <w:sz w:val="17"/>
              </w:rPr>
              <w:t>15.6</w:t>
            </w:r>
          </w:p>
        </w:tc>
        <w:tc>
          <w:tcPr>
            <w:tcW w:type="dxa" w:w="1378"/>
          </w:tcPr>
          <w:p>
            <w:pPr>
              <w:jc w:val="right"/>
            </w:pPr>
            <w:r/>
            <w:r>
              <w:rPr>
                <w:b w:val="0"/>
                <w:sz w:val="17"/>
              </w:rPr>
            </w:r>
          </w:p>
        </w:tc>
      </w:tr>
    </w:tbl>
    <w:p>
      <w:r>
        <w:rPr>
          <w:i/>
          <w:sz w:val="16"/>
        </w:rPr>
        <w:t xml:space="preserve">Source: Analyst estimates. FY26 revenue base 215,938 (company data, model knowledge). 'Old' = pre-print baseline built on the Q2 guide and Street consensus (no prior published note). FY ends late January. </w:t>
      </w:r>
      <w:hyperlink r:id="rId9">
        <w:r>
          <w:rPr>
            <w:rFonts w:ascii="Times New Roman" w:hAnsi="Times New Roman"/>
            <w:color w:val="0563C1"/>
            <w:u w:val="single"/>
          </w:rPr>
          <w:t xml:space="preserve">Q2 FY27 release</w:t>
        </w:r>
      </w:hyperlink>
    </w:p>
    <w:p>
      <w:r>
        <w:br w:type="page"/>
      </w:r>
    </w:p>
    <w:p>
      <w:pPr>
        <w:pStyle w:val="Heading1"/>
      </w:pPr>
      <w:r>
        <w:t>1. Which quarter, and when</w:t>
      </w:r>
    </w:p>
    <w:p>
      <w:pPr>
        <w:spacing w:after="120"/>
      </w:pPr>
      <w:r>
        <w:t>NVIDIA's fiscal year ends on the last Sunday of January. The most recently reported quarter as of 2026-10-13 is the second quarter of fiscal 2027, the 13 weeks ended 2026-07-26. Results were released after the close on Wednesday 2026-08-26, and the Form 10-Q (accession 0001045810-26-000075) was filed with the SEC the same afternoon. The next print (Q3 FY27, quarter ending around 2026-10-25) is expected in the second half of November 2026, so this note remains the current read on the business.</w:t>
      </w:r>
    </w:p>
    <w:p>
      <w:pPr>
        <w:pStyle w:val="Heading1"/>
      </w:pPr>
      <w:r>
        <w:t>2. Revenue: broad-based Data Center strength</w:t>
      </w:r>
    </w:p>
    <w:p>
      <w:pPr>
        <w:spacing w:after="120"/>
      </w:pPr>
      <w:r>
        <w:t>Total revenue of $96,221m rose 105.9% YoY and 17.9% QoQ, a $14,606m sequential increase, the largest absolute quarter-on-quarter dollar gain in the company's history. The beat versus consensus ($92,200m) was $4,021m (4.4%), and the beat against the company's own guide midpoint of roughly $91bn was about 5.7%. The magnitude of the beat is in line with recent quarters, a sign that management continues to guide conservatively against a supply-constrained backdrop rather than demand uncertainty.</w:t>
      </w:r>
    </w:p>
    <w:p>
      <w:r>
        <w:drawing>
          <wp:inline xmlns:a="http://schemas.openxmlformats.org/drawingml/2006/main" xmlns:pic="http://schemas.openxmlformats.org/drawingml/2006/picture">
            <wp:extent cx="5760720" cy="2836047"/>
            <wp:docPr id="1" name="Picture 1"/>
            <wp:cNvGraphicFramePr>
              <a:graphicFrameLocks noChangeAspect="1"/>
            </wp:cNvGraphicFramePr>
            <a:graphic>
              <a:graphicData uri="http://schemas.openxmlformats.org/drawingml/2006/picture">
                <pic:pic>
                  <pic:nvPicPr>
                    <pic:cNvPr id="0" name="f1_revenue.png"/>
                    <pic:cNvPicPr/>
                  </pic:nvPicPr>
                  <pic:blipFill>
                    <a:blip r:embed="rId12"/>
                    <a:stretch>
                      <a:fillRect/>
                    </a:stretch>
                  </pic:blipFill>
                  <pic:spPr>
                    <a:xfrm>
                      <a:off x="0" y="0"/>
                      <a:ext cx="5760720" cy="2836047"/>
                    </a:xfrm>
                    <a:prstGeom prst="rect"/>
                  </pic:spPr>
                </pic:pic>
              </a:graphicData>
            </a:graphic>
          </wp:inline>
        </w:drawing>
      </w:r>
    </w:p>
    <w:p>
      <w:r>
        <w:rPr>
          <w:i/>
          <w:sz w:val="16"/>
        </w:rPr>
        <w:t xml:space="preserve">Source: Company earnings releases; </w:t>
      </w:r>
      <w:hyperlink r:id="rId9">
        <w:r>
          <w:rPr>
            <w:rFonts w:ascii="Times New Roman" w:hAnsi="Times New Roman"/>
            <w:color w:val="0563C1"/>
            <w:u w:val="single"/>
          </w:rPr>
          <w:t xml:space="preserve">Q2 FY27 release</w:t>
        </w:r>
      </w:hyperlink>
      <w:r>
        <w:rPr>
          <w:sz w:val="16"/>
        </w:rPr>
        <w:t xml:space="preserve">; </w:t>
      </w:r>
      <w:hyperlink r:id="rId13">
        <w:r>
          <w:rPr>
            <w:rFonts w:ascii="Times New Roman" w:hAnsi="Times New Roman"/>
            <w:color w:val="0563C1"/>
            <w:u w:val="single"/>
          </w:rPr>
          <w:t xml:space="preserve">Q4 FY26 release (8-K)</w:t>
        </w:r>
      </w:hyperlink>
    </w:p>
    <w:p>
      <w:pPr>
        <w:spacing w:after="120"/>
      </w:pPr>
      <w:r>
        <w:t>Reporting change. Starting in Q1 FY27, NVIDIA reports revenue by two market platforms: Data Center and Edge Computing. The old Gaming, Professional Visualization, Automotive and OEM &amp; Other lines no longer exist as separate disclosures. Edge Computing covers PCs and game consoles (GeForce), workstations, automotive, robotics and AI-RAN base stations. Gaming revenue is therefore not separately reported for Q2 FY27. The legal reportable segments remain Compute &amp; Networking and Graphics.</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
              <w:rPr>
                <w:b/>
                <w:sz w:val="17"/>
              </w:rPr>
              <w:t>USD m</w:t>
            </w:r>
          </w:p>
        </w:tc>
        <w:tc>
          <w:tcPr>
            <w:tcW w:type="dxa" w:w="1206"/>
          </w:tcPr>
          <w:p>
            <w:pPr>
              <w:jc w:val="right"/>
            </w:pPr>
            <w:r/>
            <w:r>
              <w:rPr>
                <w:b/>
                <w:sz w:val="17"/>
              </w:rPr>
              <w:t>Q2 FY26</w:t>
            </w:r>
          </w:p>
        </w:tc>
        <w:tc>
          <w:tcPr>
            <w:tcW w:type="dxa" w:w="1206"/>
          </w:tcPr>
          <w:p>
            <w:pPr>
              <w:jc w:val="right"/>
            </w:pPr>
            <w:r/>
            <w:r>
              <w:rPr>
                <w:b/>
                <w:sz w:val="17"/>
              </w:rPr>
              <w:t>Q3 FY26</w:t>
            </w:r>
          </w:p>
        </w:tc>
        <w:tc>
          <w:tcPr>
            <w:tcW w:type="dxa" w:w="1206"/>
          </w:tcPr>
          <w:p>
            <w:pPr>
              <w:jc w:val="right"/>
            </w:pPr>
            <w:r/>
            <w:r>
              <w:rPr>
                <w:b/>
                <w:sz w:val="17"/>
              </w:rPr>
              <w:t>Q4 FY26</w:t>
            </w:r>
          </w:p>
        </w:tc>
        <w:tc>
          <w:tcPr>
            <w:tcW w:type="dxa" w:w="1206"/>
          </w:tcPr>
          <w:p>
            <w:pPr>
              <w:jc w:val="right"/>
            </w:pPr>
            <w:r/>
            <w:r>
              <w:rPr>
                <w:b/>
                <w:sz w:val="17"/>
              </w:rPr>
              <w:t>Q1 FY27</w:t>
            </w:r>
          </w:p>
        </w:tc>
        <w:tc>
          <w:tcPr>
            <w:tcW w:type="dxa" w:w="1206"/>
          </w:tcPr>
          <w:p>
            <w:pPr>
              <w:jc w:val="right"/>
            </w:pPr>
            <w:r/>
            <w:r>
              <w:rPr>
                <w:b/>
                <w:sz w:val="17"/>
              </w:rPr>
              <w:t>Q2 FY27</w:t>
            </w:r>
          </w:p>
        </w:tc>
        <w:tc>
          <w:tcPr>
            <w:tcW w:type="dxa" w:w="1206"/>
          </w:tcPr>
          <w:p>
            <w:pPr>
              <w:jc w:val="right"/>
            </w:pPr>
            <w:r/>
            <w:r>
              <w:rPr>
                <w:b/>
                <w:sz w:val="17"/>
              </w:rPr>
              <w:t>YoY</w:t>
            </w:r>
          </w:p>
        </w:tc>
        <w:tc>
          <w:tcPr>
            <w:tcW w:type="dxa" w:w="1206"/>
          </w:tcPr>
          <w:p>
            <w:pPr>
              <w:jc w:val="right"/>
            </w:pPr>
            <w:r/>
            <w:r>
              <w:rPr>
                <w:b/>
                <w:sz w:val="17"/>
              </w:rPr>
              <w:t>QoQ</w:t>
            </w:r>
          </w:p>
        </w:tc>
      </w:tr>
      <w:tr>
        <w:tc>
          <w:tcPr>
            <w:tcW w:type="dxa" w:w="1206"/>
          </w:tcPr>
          <w:p>
            <w:r/>
            <w:r>
              <w:rPr>
                <w:b w:val="0"/>
                <w:sz w:val="17"/>
              </w:rPr>
              <w:t>Total revenue</w:t>
            </w:r>
          </w:p>
        </w:tc>
        <w:tc>
          <w:tcPr>
            <w:tcW w:type="dxa" w:w="1206"/>
          </w:tcPr>
          <w:p>
            <w:pPr>
              <w:jc w:val="right"/>
            </w:pPr>
            <w:r/>
            <w:r>
              <w:rPr>
                <w:b w:val="0"/>
                <w:sz w:val="17"/>
              </w:rPr>
              <w:t>46,743</w:t>
            </w:r>
          </w:p>
        </w:tc>
        <w:tc>
          <w:tcPr>
            <w:tcW w:type="dxa" w:w="1206"/>
          </w:tcPr>
          <w:p>
            <w:pPr>
              <w:jc w:val="right"/>
            </w:pPr>
            <w:r/>
            <w:r>
              <w:rPr>
                <w:b w:val="0"/>
                <w:sz w:val="17"/>
              </w:rPr>
              <w:t>57,006</w:t>
            </w:r>
          </w:p>
        </w:tc>
        <w:tc>
          <w:tcPr>
            <w:tcW w:type="dxa" w:w="1206"/>
          </w:tcPr>
          <w:p>
            <w:pPr>
              <w:jc w:val="right"/>
            </w:pPr>
            <w:r/>
            <w:r>
              <w:rPr>
                <w:b w:val="0"/>
                <w:sz w:val="17"/>
              </w:rPr>
              <w:t>68,127</w:t>
            </w:r>
          </w:p>
        </w:tc>
        <w:tc>
          <w:tcPr>
            <w:tcW w:type="dxa" w:w="1206"/>
          </w:tcPr>
          <w:p>
            <w:pPr>
              <w:jc w:val="right"/>
            </w:pPr>
            <w:r/>
            <w:r>
              <w:rPr>
                <w:b w:val="0"/>
                <w:sz w:val="17"/>
              </w:rPr>
              <w:t>81,615</w:t>
            </w:r>
          </w:p>
        </w:tc>
        <w:tc>
          <w:tcPr>
            <w:tcW w:type="dxa" w:w="1206"/>
          </w:tcPr>
          <w:p>
            <w:pPr>
              <w:jc w:val="right"/>
            </w:pPr>
            <w:r/>
            <w:r>
              <w:rPr>
                <w:b w:val="0"/>
                <w:sz w:val="17"/>
              </w:rPr>
              <w:t>96,221</w:t>
            </w:r>
          </w:p>
        </w:tc>
        <w:tc>
          <w:tcPr>
            <w:tcW w:type="dxa" w:w="1206"/>
          </w:tcPr>
          <w:p>
            <w:pPr>
              <w:jc w:val="right"/>
            </w:pPr>
            <w:r/>
            <w:r>
              <w:rPr>
                <w:b w:val="0"/>
                <w:sz w:val="17"/>
              </w:rPr>
              <w:t>+105.9%</w:t>
            </w:r>
          </w:p>
        </w:tc>
        <w:tc>
          <w:tcPr>
            <w:tcW w:type="dxa" w:w="1206"/>
          </w:tcPr>
          <w:p>
            <w:pPr>
              <w:jc w:val="right"/>
            </w:pPr>
            <w:r/>
            <w:r>
              <w:rPr>
                <w:b w:val="0"/>
                <w:sz w:val="17"/>
              </w:rPr>
              <w:t>+17.9%</w:t>
            </w:r>
          </w:p>
        </w:tc>
      </w:tr>
      <w:tr>
        <w:tc>
          <w:tcPr>
            <w:tcW w:type="dxa" w:w="1206"/>
          </w:tcPr>
          <w:p>
            <w:r/>
            <w:r>
              <w:rPr>
                <w:b w:val="0"/>
                <w:sz w:val="17"/>
              </w:rPr>
              <w:t>Data Center</w:t>
            </w:r>
          </w:p>
        </w:tc>
        <w:tc>
          <w:tcPr>
            <w:tcW w:type="dxa" w:w="1206"/>
          </w:tcPr>
          <w:p>
            <w:pPr>
              <w:jc w:val="right"/>
            </w:pPr>
            <w:r/>
            <w:r>
              <w:rPr>
                <w:b w:val="0"/>
                <w:sz w:val="17"/>
              </w:rPr>
              <w:t>41,096</w:t>
            </w:r>
          </w:p>
        </w:tc>
        <w:tc>
          <w:tcPr>
            <w:tcW w:type="dxa" w:w="1206"/>
          </w:tcPr>
          <w:p>
            <w:pPr>
              <w:jc w:val="right"/>
            </w:pPr>
            <w:r/>
            <w:r>
              <w:rPr>
                <w:b w:val="0"/>
                <w:sz w:val="17"/>
              </w:rPr>
              <w:t>51,215*</w:t>
            </w:r>
          </w:p>
        </w:tc>
        <w:tc>
          <w:tcPr>
            <w:tcW w:type="dxa" w:w="1206"/>
          </w:tcPr>
          <w:p>
            <w:pPr>
              <w:jc w:val="right"/>
            </w:pPr>
            <w:r/>
            <w:r>
              <w:rPr>
                <w:b w:val="0"/>
                <w:sz w:val="17"/>
              </w:rPr>
              <w:t>62,337*</w:t>
            </w:r>
          </w:p>
        </w:tc>
        <w:tc>
          <w:tcPr>
            <w:tcW w:type="dxa" w:w="1206"/>
          </w:tcPr>
          <w:p>
            <w:pPr>
              <w:jc w:val="right"/>
            </w:pPr>
            <w:r/>
            <w:r>
              <w:rPr>
                <w:b w:val="0"/>
                <w:sz w:val="17"/>
              </w:rPr>
              <w:t>75,246</w:t>
            </w:r>
          </w:p>
        </w:tc>
        <w:tc>
          <w:tcPr>
            <w:tcW w:type="dxa" w:w="1206"/>
          </w:tcPr>
          <w:p>
            <w:pPr>
              <w:jc w:val="right"/>
            </w:pPr>
            <w:r/>
            <w:r>
              <w:rPr>
                <w:b w:val="0"/>
                <w:sz w:val="17"/>
              </w:rPr>
              <w:t>89,023</w:t>
            </w:r>
          </w:p>
        </w:tc>
        <w:tc>
          <w:tcPr>
            <w:tcW w:type="dxa" w:w="1206"/>
          </w:tcPr>
          <w:p>
            <w:pPr>
              <w:jc w:val="right"/>
            </w:pPr>
            <w:r/>
            <w:r>
              <w:rPr>
                <w:b w:val="0"/>
                <w:sz w:val="17"/>
              </w:rPr>
              <w:t>+116.6%</w:t>
            </w:r>
          </w:p>
        </w:tc>
        <w:tc>
          <w:tcPr>
            <w:tcW w:type="dxa" w:w="1206"/>
          </w:tcPr>
          <w:p>
            <w:pPr>
              <w:jc w:val="right"/>
            </w:pPr>
            <w:r/>
            <w:r>
              <w:rPr>
                <w:b w:val="0"/>
                <w:sz w:val="17"/>
              </w:rPr>
              <w:t>+18.3%</w:t>
            </w:r>
          </w:p>
        </w:tc>
      </w:tr>
      <w:tr>
        <w:tc>
          <w:tcPr>
            <w:tcW w:type="dxa" w:w="1206"/>
          </w:tcPr>
          <w:p>
            <w:r/>
            <w:r>
              <w:rPr>
                <w:b w:val="0"/>
                <w:sz w:val="17"/>
              </w:rPr>
              <w:t xml:space="preserve">  Hyperscale</w:t>
            </w:r>
          </w:p>
        </w:tc>
        <w:tc>
          <w:tcPr>
            <w:tcW w:type="dxa" w:w="1206"/>
          </w:tcPr>
          <w:p>
            <w:pPr>
              <w:jc w:val="right"/>
            </w:pPr>
            <w:r/>
            <w:r>
              <w:rPr>
                <w:b w:val="0"/>
                <w:sz w:val="17"/>
              </w:rPr>
              <w:t>24,168</w:t>
            </w:r>
          </w:p>
        </w:tc>
        <w:tc>
          <w:tcPr>
            <w:tcW w:type="dxa" w:w="1206"/>
          </w:tcPr>
          <w:p>
            <w:pPr>
              <w:jc w:val="right"/>
            </w:pPr>
            <w:r/>
            <w:r>
              <w:rPr>
                <w:b w:val="0"/>
                <w:sz w:val="17"/>
              </w:rPr>
              <w:t>n/d</w:t>
            </w:r>
          </w:p>
        </w:tc>
        <w:tc>
          <w:tcPr>
            <w:tcW w:type="dxa" w:w="1206"/>
          </w:tcPr>
          <w:p>
            <w:pPr>
              <w:jc w:val="right"/>
            </w:pPr>
            <w:r/>
            <w:r>
              <w:rPr>
                <w:b w:val="0"/>
                <w:sz w:val="17"/>
              </w:rPr>
              <w:t>n/d</w:t>
            </w:r>
          </w:p>
        </w:tc>
        <w:tc>
          <w:tcPr>
            <w:tcW w:type="dxa" w:w="1206"/>
          </w:tcPr>
          <w:p>
            <w:pPr>
              <w:jc w:val="right"/>
            </w:pPr>
            <w:r/>
            <w:r>
              <w:rPr>
                <w:b w:val="0"/>
                <w:sz w:val="17"/>
              </w:rPr>
              <w:t>43,050</w:t>
            </w:r>
          </w:p>
        </w:tc>
        <w:tc>
          <w:tcPr>
            <w:tcW w:type="dxa" w:w="1206"/>
          </w:tcPr>
          <w:p>
            <w:pPr>
              <w:jc w:val="right"/>
            </w:pPr>
            <w:r/>
            <w:r>
              <w:rPr>
                <w:b w:val="0"/>
                <w:sz w:val="17"/>
              </w:rPr>
              <w:t>48,710</w:t>
            </w:r>
          </w:p>
        </w:tc>
        <w:tc>
          <w:tcPr>
            <w:tcW w:type="dxa" w:w="1206"/>
          </w:tcPr>
          <w:p>
            <w:pPr>
              <w:jc w:val="right"/>
            </w:pPr>
            <w:r/>
            <w:r>
              <w:rPr>
                <w:b w:val="0"/>
                <w:sz w:val="17"/>
              </w:rPr>
              <w:t>+101.5%</w:t>
            </w:r>
          </w:p>
        </w:tc>
        <w:tc>
          <w:tcPr>
            <w:tcW w:type="dxa" w:w="1206"/>
          </w:tcPr>
          <w:p>
            <w:pPr>
              <w:jc w:val="right"/>
            </w:pPr>
            <w:r/>
            <w:r>
              <w:rPr>
                <w:b w:val="0"/>
                <w:sz w:val="17"/>
              </w:rPr>
              <w:t>+13.1%</w:t>
            </w:r>
          </w:p>
        </w:tc>
      </w:tr>
      <w:tr>
        <w:tc>
          <w:tcPr>
            <w:tcW w:type="dxa" w:w="1206"/>
          </w:tcPr>
          <w:p>
            <w:r/>
            <w:r>
              <w:rPr>
                <w:b w:val="0"/>
                <w:sz w:val="17"/>
              </w:rPr>
              <w:t xml:space="preserve">  AI Clouds, Industrial &amp; Enterprise</w:t>
            </w:r>
          </w:p>
        </w:tc>
        <w:tc>
          <w:tcPr>
            <w:tcW w:type="dxa" w:w="1206"/>
          </w:tcPr>
          <w:p>
            <w:pPr>
              <w:jc w:val="right"/>
            </w:pPr>
            <w:r/>
            <w:r>
              <w:rPr>
                <w:b w:val="0"/>
                <w:sz w:val="17"/>
              </w:rPr>
              <w:t>16,928</w:t>
            </w:r>
          </w:p>
        </w:tc>
        <w:tc>
          <w:tcPr>
            <w:tcW w:type="dxa" w:w="1206"/>
          </w:tcPr>
          <w:p>
            <w:pPr>
              <w:jc w:val="right"/>
            </w:pPr>
            <w:r/>
            <w:r>
              <w:rPr>
                <w:b w:val="0"/>
                <w:sz w:val="17"/>
              </w:rPr>
              <w:t>n/d</w:t>
            </w:r>
          </w:p>
        </w:tc>
        <w:tc>
          <w:tcPr>
            <w:tcW w:type="dxa" w:w="1206"/>
          </w:tcPr>
          <w:p>
            <w:pPr>
              <w:jc w:val="right"/>
            </w:pPr>
            <w:r/>
            <w:r>
              <w:rPr>
                <w:b w:val="0"/>
                <w:sz w:val="17"/>
              </w:rPr>
              <w:t>n/d</w:t>
            </w:r>
          </w:p>
        </w:tc>
        <w:tc>
          <w:tcPr>
            <w:tcW w:type="dxa" w:w="1206"/>
          </w:tcPr>
          <w:p>
            <w:pPr>
              <w:jc w:val="right"/>
            </w:pPr>
            <w:r/>
            <w:r>
              <w:rPr>
                <w:b w:val="0"/>
                <w:sz w:val="17"/>
              </w:rPr>
              <w:t>32,196</w:t>
            </w:r>
          </w:p>
        </w:tc>
        <w:tc>
          <w:tcPr>
            <w:tcW w:type="dxa" w:w="1206"/>
          </w:tcPr>
          <w:p>
            <w:pPr>
              <w:jc w:val="right"/>
            </w:pPr>
            <w:r/>
            <w:r>
              <w:rPr>
                <w:b w:val="0"/>
                <w:sz w:val="17"/>
              </w:rPr>
              <w:t>40,313</w:t>
            </w:r>
          </w:p>
        </w:tc>
        <w:tc>
          <w:tcPr>
            <w:tcW w:type="dxa" w:w="1206"/>
          </w:tcPr>
          <w:p>
            <w:pPr>
              <w:jc w:val="right"/>
            </w:pPr>
            <w:r/>
            <w:r>
              <w:rPr>
                <w:b w:val="0"/>
                <w:sz w:val="17"/>
              </w:rPr>
              <w:t>+138.1%</w:t>
            </w:r>
          </w:p>
        </w:tc>
        <w:tc>
          <w:tcPr>
            <w:tcW w:type="dxa" w:w="1206"/>
          </w:tcPr>
          <w:p>
            <w:pPr>
              <w:jc w:val="right"/>
            </w:pPr>
            <w:r/>
            <w:r>
              <w:rPr>
                <w:b w:val="0"/>
                <w:sz w:val="17"/>
              </w:rPr>
              <w:t>+25.2%</w:t>
            </w:r>
          </w:p>
        </w:tc>
      </w:tr>
      <w:tr>
        <w:tc>
          <w:tcPr>
            <w:tcW w:type="dxa" w:w="1206"/>
          </w:tcPr>
          <w:p>
            <w:r/>
            <w:r>
              <w:rPr>
                <w:b w:val="0"/>
                <w:sz w:val="17"/>
              </w:rPr>
              <w:t>Edge Computing (incl. Gaming)</w:t>
            </w:r>
          </w:p>
        </w:tc>
        <w:tc>
          <w:tcPr>
            <w:tcW w:type="dxa" w:w="1206"/>
          </w:tcPr>
          <w:p>
            <w:pPr>
              <w:jc w:val="right"/>
            </w:pPr>
            <w:r/>
            <w:r>
              <w:rPr>
                <w:b w:val="0"/>
                <w:sz w:val="17"/>
              </w:rPr>
              <w:t>5,647</w:t>
            </w:r>
          </w:p>
        </w:tc>
        <w:tc>
          <w:tcPr>
            <w:tcW w:type="dxa" w:w="1206"/>
          </w:tcPr>
          <w:p>
            <w:pPr>
              <w:jc w:val="right"/>
            </w:pPr>
            <w:r/>
            <w:r>
              <w:rPr>
                <w:b w:val="0"/>
                <w:sz w:val="17"/>
              </w:rPr>
              <w:t>5,791*</w:t>
            </w:r>
          </w:p>
        </w:tc>
        <w:tc>
          <w:tcPr>
            <w:tcW w:type="dxa" w:w="1206"/>
          </w:tcPr>
          <w:p>
            <w:pPr>
              <w:jc w:val="right"/>
            </w:pPr>
            <w:r/>
            <w:r>
              <w:rPr>
                <w:b w:val="0"/>
                <w:sz w:val="17"/>
              </w:rPr>
              <w:t>5,790*</w:t>
            </w:r>
          </w:p>
        </w:tc>
        <w:tc>
          <w:tcPr>
            <w:tcW w:type="dxa" w:w="1206"/>
          </w:tcPr>
          <w:p>
            <w:pPr>
              <w:jc w:val="right"/>
            </w:pPr>
            <w:r/>
            <w:r>
              <w:rPr>
                <w:b w:val="0"/>
                <w:sz w:val="17"/>
              </w:rPr>
              <w:t>6,369</w:t>
            </w:r>
          </w:p>
        </w:tc>
        <w:tc>
          <w:tcPr>
            <w:tcW w:type="dxa" w:w="1206"/>
          </w:tcPr>
          <w:p>
            <w:pPr>
              <w:jc w:val="right"/>
            </w:pPr>
            <w:r/>
            <w:r>
              <w:rPr>
                <w:b w:val="0"/>
                <w:sz w:val="17"/>
              </w:rPr>
              <w:t>7,198</w:t>
            </w:r>
          </w:p>
        </w:tc>
        <w:tc>
          <w:tcPr>
            <w:tcW w:type="dxa" w:w="1206"/>
          </w:tcPr>
          <w:p>
            <w:pPr>
              <w:jc w:val="right"/>
            </w:pPr>
            <w:r/>
            <w:r>
              <w:rPr>
                <w:b w:val="0"/>
                <w:sz w:val="17"/>
              </w:rPr>
              <w:t>+27.5%</w:t>
            </w:r>
          </w:p>
        </w:tc>
        <w:tc>
          <w:tcPr>
            <w:tcW w:type="dxa" w:w="1206"/>
          </w:tcPr>
          <w:p>
            <w:pPr>
              <w:jc w:val="right"/>
            </w:pPr>
            <w:r/>
            <w:r>
              <w:rPr>
                <w:b w:val="0"/>
                <w:sz w:val="17"/>
              </w:rPr>
              <w:t>+13.0%</w:t>
            </w:r>
          </w:p>
        </w:tc>
      </w:tr>
      <w:tr>
        <w:tc>
          <w:tcPr>
            <w:tcW w:type="dxa" w:w="1206"/>
          </w:tcPr>
          <w:p>
            <w:r/>
            <w:r>
              <w:rPr>
                <w:b w:val="0"/>
                <w:sz w:val="17"/>
              </w:rPr>
              <w:t>Segment: Compute &amp; Networking</w:t>
            </w:r>
          </w:p>
        </w:tc>
        <w:tc>
          <w:tcPr>
            <w:tcW w:type="dxa" w:w="1206"/>
          </w:tcPr>
          <w:p>
            <w:pPr>
              <w:jc w:val="right"/>
            </w:pPr>
            <w:r/>
            <w:r>
              <w:rPr>
                <w:b w:val="0"/>
                <w:sz w:val="17"/>
              </w:rPr>
              <w:t>41,331</w:t>
            </w:r>
          </w:p>
        </w:tc>
        <w:tc>
          <w:tcPr>
            <w:tcW w:type="dxa" w:w="1206"/>
          </w:tcPr>
          <w:p>
            <w:pPr>
              <w:jc w:val="right"/>
            </w:pPr>
            <w:r/>
            <w:r>
              <w:rPr>
                <w:b w:val="0"/>
                <w:sz w:val="17"/>
              </w:rPr>
            </w:r>
          </w:p>
        </w:tc>
        <w:tc>
          <w:tcPr>
            <w:tcW w:type="dxa" w:w="1206"/>
          </w:tcPr>
          <w:p>
            <w:pPr>
              <w:jc w:val="right"/>
            </w:pPr>
            <w:r/>
            <w:r>
              <w:rPr>
                <w:b w:val="0"/>
                <w:sz w:val="17"/>
              </w:rPr>
            </w:r>
          </w:p>
        </w:tc>
        <w:tc>
          <w:tcPr>
            <w:tcW w:type="dxa" w:w="1206"/>
          </w:tcPr>
          <w:p>
            <w:pPr>
              <w:jc w:val="right"/>
            </w:pPr>
            <w:r/>
            <w:r>
              <w:rPr>
                <w:b w:val="0"/>
                <w:sz w:val="17"/>
              </w:rPr>
            </w:r>
          </w:p>
        </w:tc>
        <w:tc>
          <w:tcPr>
            <w:tcW w:type="dxa" w:w="1206"/>
          </w:tcPr>
          <w:p>
            <w:pPr>
              <w:jc w:val="right"/>
            </w:pPr>
            <w:r/>
            <w:r>
              <w:rPr>
                <w:b w:val="0"/>
                <w:sz w:val="17"/>
              </w:rPr>
              <w:t>88,299</w:t>
            </w:r>
          </w:p>
        </w:tc>
        <w:tc>
          <w:tcPr>
            <w:tcW w:type="dxa" w:w="1206"/>
          </w:tcPr>
          <w:p>
            <w:pPr>
              <w:jc w:val="right"/>
            </w:pPr>
            <w:r/>
            <w:r>
              <w:rPr>
                <w:b w:val="0"/>
                <w:sz w:val="17"/>
              </w:rPr>
              <w:t>+113.6%</w:t>
            </w:r>
          </w:p>
        </w:tc>
        <w:tc>
          <w:tcPr>
            <w:tcW w:type="dxa" w:w="1206"/>
          </w:tcPr>
          <w:p>
            <w:pPr>
              <w:jc w:val="right"/>
            </w:pPr>
            <w:r/>
            <w:r>
              <w:rPr>
                <w:b w:val="0"/>
                <w:sz w:val="17"/>
              </w:rPr>
            </w:r>
          </w:p>
        </w:tc>
      </w:tr>
      <w:tr>
        <w:tc>
          <w:tcPr>
            <w:tcW w:type="dxa" w:w="1206"/>
          </w:tcPr>
          <w:p>
            <w:r/>
            <w:r>
              <w:rPr>
                <w:b w:val="0"/>
                <w:sz w:val="17"/>
              </w:rPr>
              <w:t>Segment: Graphics</w:t>
            </w:r>
          </w:p>
        </w:tc>
        <w:tc>
          <w:tcPr>
            <w:tcW w:type="dxa" w:w="1206"/>
          </w:tcPr>
          <w:p>
            <w:pPr>
              <w:jc w:val="right"/>
            </w:pPr>
            <w:r/>
            <w:r>
              <w:rPr>
                <w:b w:val="0"/>
                <w:sz w:val="17"/>
              </w:rPr>
              <w:t>5,412</w:t>
            </w:r>
          </w:p>
        </w:tc>
        <w:tc>
          <w:tcPr>
            <w:tcW w:type="dxa" w:w="1206"/>
          </w:tcPr>
          <w:p>
            <w:pPr>
              <w:jc w:val="right"/>
            </w:pPr>
            <w:r/>
            <w:r>
              <w:rPr>
                <w:b w:val="0"/>
                <w:sz w:val="17"/>
              </w:rPr>
            </w:r>
          </w:p>
        </w:tc>
        <w:tc>
          <w:tcPr>
            <w:tcW w:type="dxa" w:w="1206"/>
          </w:tcPr>
          <w:p>
            <w:pPr>
              <w:jc w:val="right"/>
            </w:pPr>
            <w:r/>
            <w:r>
              <w:rPr>
                <w:b w:val="0"/>
                <w:sz w:val="17"/>
              </w:rPr>
            </w:r>
          </w:p>
        </w:tc>
        <w:tc>
          <w:tcPr>
            <w:tcW w:type="dxa" w:w="1206"/>
          </w:tcPr>
          <w:p>
            <w:pPr>
              <w:jc w:val="right"/>
            </w:pPr>
            <w:r/>
            <w:r>
              <w:rPr>
                <w:b w:val="0"/>
                <w:sz w:val="17"/>
              </w:rPr>
            </w:r>
          </w:p>
        </w:tc>
        <w:tc>
          <w:tcPr>
            <w:tcW w:type="dxa" w:w="1206"/>
          </w:tcPr>
          <w:p>
            <w:pPr>
              <w:jc w:val="right"/>
            </w:pPr>
            <w:r/>
            <w:r>
              <w:rPr>
                <w:b w:val="0"/>
                <w:sz w:val="17"/>
              </w:rPr>
              <w:t>7,922</w:t>
            </w:r>
          </w:p>
        </w:tc>
        <w:tc>
          <w:tcPr>
            <w:tcW w:type="dxa" w:w="1206"/>
          </w:tcPr>
          <w:p>
            <w:pPr>
              <w:jc w:val="right"/>
            </w:pPr>
            <w:r/>
            <w:r>
              <w:rPr>
                <w:b w:val="0"/>
                <w:sz w:val="17"/>
              </w:rPr>
              <w:t>+46.4%</w:t>
            </w:r>
          </w:p>
        </w:tc>
        <w:tc>
          <w:tcPr>
            <w:tcW w:type="dxa" w:w="1206"/>
          </w:tcPr>
          <w:p>
            <w:pPr>
              <w:jc w:val="right"/>
            </w:pPr>
            <w:r/>
            <w:r>
              <w:rPr>
                <w:b w:val="0"/>
                <w:sz w:val="17"/>
              </w:rPr>
            </w:r>
          </w:p>
        </w:tc>
      </w:tr>
    </w:tbl>
    <w:p>
      <w:r>
        <w:rPr>
          <w:i/>
          <w:sz w:val="16"/>
        </w:rPr>
        <w:t xml:space="preserve">Source: Form 10-Q filed 2026-08-26 and earnings releases. *Estimated: Q3 FY26 from legacy Data Center disclosure; Q4 FY26 Edge back-solved from the reported +10% QoQ in Q1 FY27. n/d = not disclosed. </w:t>
      </w:r>
      <w:hyperlink r:id="rId14">
        <w:r>
          <w:rPr>
            <w:rFonts w:ascii="Times New Roman" w:hAnsi="Times New Roman"/>
            <w:color w:val="0563C1"/>
            <w:u w:val="single"/>
          </w:rPr>
          <w:t xml:space="preserve">10-Q text</w:t>
        </w:r>
      </w:hyperlink>
      <w:r>
        <w:rPr>
          <w:sz w:val="16"/>
        </w:rPr>
        <w:t xml:space="preserve">; </w:t>
      </w:r>
      <w:hyperlink r:id="rId15">
        <w:r>
          <w:rPr>
            <w:rFonts w:ascii="Times New Roman" w:hAnsi="Times New Roman"/>
            <w:color w:val="0563C1"/>
            <w:u w:val="single"/>
          </w:rPr>
          <w:t xml:space="preserve">segment change coverage</w:t>
        </w:r>
      </w:hyperlink>
    </w:p>
    <w:p>
      <w:r>
        <w:drawing>
          <wp:inline xmlns:a="http://schemas.openxmlformats.org/drawingml/2006/main" xmlns:pic="http://schemas.openxmlformats.org/drawingml/2006/picture">
            <wp:extent cx="5760720" cy="2836047"/>
            <wp:docPr id="2" name="Picture 2"/>
            <wp:cNvGraphicFramePr>
              <a:graphicFrameLocks noChangeAspect="1"/>
            </wp:cNvGraphicFramePr>
            <a:graphic>
              <a:graphicData uri="http://schemas.openxmlformats.org/drawingml/2006/picture">
                <pic:pic>
                  <pic:nvPicPr>
                    <pic:cNvPr id="0" name="f4_platform.png"/>
                    <pic:cNvPicPr/>
                  </pic:nvPicPr>
                  <pic:blipFill>
                    <a:blip r:embed="rId16"/>
                    <a:stretch>
                      <a:fillRect/>
                    </a:stretch>
                  </pic:blipFill>
                  <pic:spPr>
                    <a:xfrm>
                      <a:off x="0" y="0"/>
                      <a:ext cx="5760720" cy="2836047"/>
                    </a:xfrm>
                    <a:prstGeom prst="rect"/>
                  </pic:spPr>
                </pic:pic>
              </a:graphicData>
            </a:graphic>
          </wp:inline>
        </w:drawing>
      </w:r>
    </w:p>
    <w:p>
      <w:r>
        <w:rPr>
          <w:i/>
          <w:sz w:val="16"/>
        </w:rPr>
        <w:t xml:space="preserve">Source: Form 10-Q; analyst estimates for restated FY26 quarters </w:t>
      </w:r>
      <w:hyperlink r:id="rId10">
        <w:r>
          <w:rPr>
            <w:rFonts w:ascii="Times New Roman" w:hAnsi="Times New Roman"/>
            <w:color w:val="0563C1"/>
            <w:u w:val="single"/>
          </w:rPr>
          <w:t xml:space="preserve">Form 10-Q</w:t>
        </w:r>
      </w:hyperlink>
    </w:p>
    <w:p>
      <w:pPr>
        <w:spacing w:after="120"/>
      </w:pPr>
      <w:r>
        <w:t>Data Center ($89,023m, +116.6% YoY, +18.3% QoQ) beat the ~$85,800m consensus by 3.8%. Within it, the AI Clouds, Industrial &amp; Enterprise bucket (neoclouds, sovereign AI, enterprise) grew 25.2% sequentially to $40,313m and now represents 45.3% of Data Center, up from 41.2% a year ago. Hyperscale grew 13.1% QoQ to $48,710m. The diversification away from the four large cloud providers is constructive for durability, though it raises counterparty-credit questions given that management paused a revenue-sharing financing program for smaller AI cloud operators during the quarter. Three direct customers accounted for 44% of total revenue.</w:t>
      </w:r>
    </w:p>
    <w:p>
      <w:r>
        <w:drawing>
          <wp:inline xmlns:a="http://schemas.openxmlformats.org/drawingml/2006/main" xmlns:pic="http://schemas.openxmlformats.org/drawingml/2006/picture">
            <wp:extent cx="5760720" cy="2836047"/>
            <wp:docPr id="3" name="Picture 3"/>
            <wp:cNvGraphicFramePr>
              <a:graphicFrameLocks noChangeAspect="1"/>
            </wp:cNvGraphicFramePr>
            <a:graphic>
              <a:graphicData uri="http://schemas.openxmlformats.org/drawingml/2006/picture">
                <pic:pic>
                  <pic:nvPicPr>
                    <pic:cNvPr id="0" name="f5_dcmix.png"/>
                    <pic:cNvPicPr/>
                  </pic:nvPicPr>
                  <pic:blipFill>
                    <a:blip r:embed="rId17"/>
                    <a:stretch>
                      <a:fillRect/>
                    </a:stretch>
                  </pic:blipFill>
                  <pic:spPr>
                    <a:xfrm>
                      <a:off x="0" y="0"/>
                      <a:ext cx="5760720" cy="2836047"/>
                    </a:xfrm>
                    <a:prstGeom prst="rect"/>
                  </pic:spPr>
                </pic:pic>
              </a:graphicData>
            </a:graphic>
          </wp:inline>
        </w:drawing>
      </w:r>
    </w:p>
    <w:p>
      <w:r>
        <w:rPr>
          <w:i/>
          <w:sz w:val="16"/>
        </w:rPr>
        <w:t xml:space="preserve">Source: Form 10-Q filed 2026-08-26 </w:t>
      </w:r>
      <w:hyperlink r:id="rId10">
        <w:r>
          <w:rPr>
            <w:rFonts w:ascii="Times New Roman" w:hAnsi="Times New Roman"/>
            <w:color w:val="0563C1"/>
            <w:u w:val="single"/>
          </w:rPr>
          <w:t xml:space="preserve">Form 10-Q</w:t>
        </w:r>
      </w:hyperlink>
    </w:p>
    <w:p>
      <w:pPr>
        <w:spacing w:after="120"/>
      </w:pPr>
      <w:r>
        <w:t>Networking is no longer broken out in the press release or 10-Q for Q2. In Q1 FY27 networking was $14.8bn (+199% YoY); we estimate Q2 networking at roughly $17bn, consistent with NVLink-rack attach for GB300 and early Rubin systems. This figure is our estimate and is unverified.</w:t>
      </w:r>
    </w:p>
    <w:p>
      <w:pPr>
        <w:spacing w:after="120"/>
      </w:pPr>
      <w:r>
        <w:t>Edge Computing, which now houses Gaming, grew 27.5% YoY and 13.0% QoQ to $7,198m. The Graphics reportable segment (mostly GeForce, workstation and consoles) was $7,922m, up 46.4% YoY, with a 49.2% segment operating margin. We infer that Gaming remained the largest single piece of Edge Computing, but the company no longer quantifies it, so any Gaming figure for Q2 FY27 would be an estimate. Our working assumption is roughly $4.5bn to $5.0bn.</w:t>
      </w:r>
    </w:p>
    <w:p>
      <w:pPr>
        <w:spacing w:after="120"/>
      </w:pPr>
      <w:r>
        <w:t>Geography. Revenue billed to US-headquartered customers was $60,074m (62.4%), Taiwan $26,985m (28.0%, mostly ODM/system builders), China including Hong Kong $7,880m (8.2%) and other $1,282m. The China figure is notably higher than the prior-year $3,985m and appears to reflect Edge and non-compute products plus some H20/H200-class shipments before the guide's China-zero assumption. A $0.4bn charge related to excess H200 inventory and purchase obligations was taken in the quarter.</w:t>
      </w:r>
    </w:p>
    <w:p>
      <w:r>
        <w:drawing>
          <wp:inline xmlns:a="http://schemas.openxmlformats.org/drawingml/2006/main" xmlns:pic="http://schemas.openxmlformats.org/drawingml/2006/picture">
            <wp:extent cx="5760720" cy="2836047"/>
            <wp:docPr id="4" name="Picture 4"/>
            <wp:cNvGraphicFramePr>
              <a:graphicFrameLocks noChangeAspect="1"/>
            </wp:cNvGraphicFramePr>
            <a:graphic>
              <a:graphicData uri="http://schemas.openxmlformats.org/drawingml/2006/picture">
                <pic:pic>
                  <pic:nvPicPr>
                    <pic:cNvPr id="0" name="f6_geo.png"/>
                    <pic:cNvPicPr/>
                  </pic:nvPicPr>
                  <pic:blipFill>
                    <a:blip r:embed="rId18"/>
                    <a:stretch>
                      <a:fillRect/>
                    </a:stretch>
                  </pic:blipFill>
                  <pic:spPr>
                    <a:xfrm>
                      <a:off x="0" y="0"/>
                      <a:ext cx="5760720" cy="2836047"/>
                    </a:xfrm>
                    <a:prstGeom prst="rect"/>
                  </pic:spPr>
                </pic:pic>
              </a:graphicData>
            </a:graphic>
          </wp:inline>
        </w:drawing>
      </w:r>
    </w:p>
    <w:p>
      <w:r>
        <w:rPr>
          <w:i/>
          <w:sz w:val="16"/>
        </w:rPr>
        <w:t xml:space="preserve">Source: Form 10-Q filed 2026-08-26 (customer headquarters basis) </w:t>
      </w:r>
      <w:hyperlink r:id="rId10">
        <w:r>
          <w:rPr>
            <w:rFonts w:ascii="Times New Roman" w:hAnsi="Times New Roman"/>
            <w:color w:val="0563C1"/>
            <w:u w:val="single"/>
          </w:rPr>
          <w:t xml:space="preserve">Form 10-Q</w:t>
        </w:r>
      </w:hyperlink>
    </w:p>
    <w:p>
      <w:pPr>
        <w:pStyle w:val="Heading1"/>
      </w:pPr>
      <w:r>
        <w:t>3. Margins: five-quarter trend</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
              <w:rPr>
                <w:b/>
                <w:sz w:val="17"/>
              </w:rPr>
            </w:r>
          </w:p>
        </w:tc>
        <w:tc>
          <w:tcPr>
            <w:tcW w:type="dxa" w:w="1378"/>
          </w:tcPr>
          <w:p>
            <w:pPr>
              <w:jc w:val="right"/>
            </w:pPr>
            <w:r/>
            <w:r>
              <w:rPr>
                <w:b/>
                <w:sz w:val="17"/>
              </w:rPr>
              <w:t>Q2 FY26</w:t>
            </w:r>
          </w:p>
        </w:tc>
        <w:tc>
          <w:tcPr>
            <w:tcW w:type="dxa" w:w="1378"/>
          </w:tcPr>
          <w:p>
            <w:pPr>
              <w:jc w:val="right"/>
            </w:pPr>
            <w:r/>
            <w:r>
              <w:rPr>
                <w:b/>
                <w:sz w:val="17"/>
              </w:rPr>
              <w:t>Q3 FY26</w:t>
            </w:r>
          </w:p>
        </w:tc>
        <w:tc>
          <w:tcPr>
            <w:tcW w:type="dxa" w:w="1378"/>
          </w:tcPr>
          <w:p>
            <w:pPr>
              <w:jc w:val="right"/>
            </w:pPr>
            <w:r/>
            <w:r>
              <w:rPr>
                <w:b/>
                <w:sz w:val="17"/>
              </w:rPr>
              <w:t>Q4 FY26</w:t>
            </w:r>
          </w:p>
        </w:tc>
        <w:tc>
          <w:tcPr>
            <w:tcW w:type="dxa" w:w="1378"/>
          </w:tcPr>
          <w:p>
            <w:pPr>
              <w:jc w:val="right"/>
            </w:pPr>
            <w:r/>
            <w:r>
              <w:rPr>
                <w:b/>
                <w:sz w:val="17"/>
              </w:rPr>
              <w:t>Q1 FY27</w:t>
            </w:r>
          </w:p>
        </w:tc>
        <w:tc>
          <w:tcPr>
            <w:tcW w:type="dxa" w:w="1378"/>
          </w:tcPr>
          <w:p>
            <w:pPr>
              <w:jc w:val="right"/>
            </w:pPr>
            <w:r/>
            <w:r>
              <w:rPr>
                <w:b/>
                <w:sz w:val="17"/>
              </w:rPr>
              <w:t>Q2 FY27</w:t>
            </w:r>
          </w:p>
        </w:tc>
        <w:tc>
          <w:tcPr>
            <w:tcW w:type="dxa" w:w="1378"/>
          </w:tcPr>
          <w:p>
            <w:pPr>
              <w:jc w:val="right"/>
            </w:pPr>
            <w:r/>
            <w:r>
              <w:rPr>
                <w:b/>
                <w:sz w:val="17"/>
              </w:rPr>
              <w:t>YoY chg</w:t>
            </w:r>
          </w:p>
        </w:tc>
      </w:tr>
      <w:tr>
        <w:tc>
          <w:tcPr>
            <w:tcW w:type="dxa" w:w="1378"/>
          </w:tcPr>
          <w:p>
            <w:r/>
            <w:r>
              <w:rPr>
                <w:b w:val="0"/>
                <w:sz w:val="17"/>
              </w:rPr>
              <w:t>Revenue (USD m)</w:t>
            </w:r>
          </w:p>
        </w:tc>
        <w:tc>
          <w:tcPr>
            <w:tcW w:type="dxa" w:w="1378"/>
          </w:tcPr>
          <w:p>
            <w:pPr>
              <w:jc w:val="right"/>
            </w:pPr>
            <w:r/>
            <w:r>
              <w:rPr>
                <w:b w:val="0"/>
                <w:sz w:val="17"/>
              </w:rPr>
              <w:t>46,743</w:t>
            </w:r>
          </w:p>
        </w:tc>
        <w:tc>
          <w:tcPr>
            <w:tcW w:type="dxa" w:w="1378"/>
          </w:tcPr>
          <w:p>
            <w:pPr>
              <w:jc w:val="right"/>
            </w:pPr>
            <w:r/>
            <w:r>
              <w:rPr>
                <w:b w:val="0"/>
                <w:sz w:val="17"/>
              </w:rPr>
              <w:t>57,006</w:t>
            </w:r>
          </w:p>
        </w:tc>
        <w:tc>
          <w:tcPr>
            <w:tcW w:type="dxa" w:w="1378"/>
          </w:tcPr>
          <w:p>
            <w:pPr>
              <w:jc w:val="right"/>
            </w:pPr>
            <w:r/>
            <w:r>
              <w:rPr>
                <w:b w:val="0"/>
                <w:sz w:val="17"/>
              </w:rPr>
              <w:t>68,127</w:t>
            </w:r>
          </w:p>
        </w:tc>
        <w:tc>
          <w:tcPr>
            <w:tcW w:type="dxa" w:w="1378"/>
          </w:tcPr>
          <w:p>
            <w:pPr>
              <w:jc w:val="right"/>
            </w:pPr>
            <w:r/>
            <w:r>
              <w:rPr>
                <w:b w:val="0"/>
                <w:sz w:val="17"/>
              </w:rPr>
              <w:t>81,615</w:t>
            </w:r>
          </w:p>
        </w:tc>
        <w:tc>
          <w:tcPr>
            <w:tcW w:type="dxa" w:w="1378"/>
          </w:tcPr>
          <w:p>
            <w:pPr>
              <w:jc w:val="right"/>
            </w:pPr>
            <w:r/>
            <w:r>
              <w:rPr>
                <w:b w:val="0"/>
                <w:sz w:val="17"/>
              </w:rPr>
              <w:t>96,221</w:t>
            </w:r>
          </w:p>
        </w:tc>
        <w:tc>
          <w:tcPr>
            <w:tcW w:type="dxa" w:w="1378"/>
          </w:tcPr>
          <w:p>
            <w:pPr>
              <w:jc w:val="right"/>
            </w:pPr>
            <w:r/>
            <w:r>
              <w:rPr>
                <w:b w:val="0"/>
                <w:sz w:val="17"/>
              </w:rPr>
              <w:t>+105.9%</w:t>
            </w:r>
          </w:p>
        </w:tc>
      </w:tr>
      <w:tr>
        <w:tc>
          <w:tcPr>
            <w:tcW w:type="dxa" w:w="1378"/>
          </w:tcPr>
          <w:p>
            <w:r/>
            <w:r>
              <w:rPr>
                <w:b w:val="0"/>
                <w:sz w:val="17"/>
              </w:rPr>
              <w:t>GAAP gross margin</w:t>
            </w:r>
          </w:p>
        </w:tc>
        <w:tc>
          <w:tcPr>
            <w:tcW w:type="dxa" w:w="1378"/>
          </w:tcPr>
          <w:p>
            <w:pPr>
              <w:jc w:val="right"/>
            </w:pPr>
            <w:r/>
            <w:r>
              <w:rPr>
                <w:b w:val="0"/>
                <w:sz w:val="17"/>
              </w:rPr>
              <w:t>72.4%</w:t>
            </w:r>
          </w:p>
        </w:tc>
        <w:tc>
          <w:tcPr>
            <w:tcW w:type="dxa" w:w="1378"/>
          </w:tcPr>
          <w:p>
            <w:pPr>
              <w:jc w:val="right"/>
            </w:pPr>
            <w:r/>
            <w:r>
              <w:rPr>
                <w:b w:val="0"/>
                <w:sz w:val="17"/>
              </w:rPr>
              <w:t>73.4%</w:t>
            </w:r>
          </w:p>
        </w:tc>
        <w:tc>
          <w:tcPr>
            <w:tcW w:type="dxa" w:w="1378"/>
          </w:tcPr>
          <w:p>
            <w:pPr>
              <w:jc w:val="right"/>
            </w:pPr>
            <w:r/>
            <w:r>
              <w:rPr>
                <w:b w:val="0"/>
                <w:sz w:val="17"/>
              </w:rPr>
              <w:t>75.0%</w:t>
            </w:r>
          </w:p>
        </w:tc>
        <w:tc>
          <w:tcPr>
            <w:tcW w:type="dxa" w:w="1378"/>
          </w:tcPr>
          <w:p>
            <w:pPr>
              <w:jc w:val="right"/>
            </w:pPr>
            <w:r/>
            <w:r>
              <w:rPr>
                <w:b w:val="0"/>
                <w:sz w:val="17"/>
              </w:rPr>
              <w:t>74.9%</w:t>
            </w:r>
          </w:p>
        </w:tc>
        <w:tc>
          <w:tcPr>
            <w:tcW w:type="dxa" w:w="1378"/>
          </w:tcPr>
          <w:p>
            <w:pPr>
              <w:jc w:val="right"/>
            </w:pPr>
            <w:r/>
            <w:r>
              <w:rPr>
                <w:b w:val="0"/>
                <w:sz w:val="17"/>
              </w:rPr>
              <w:t>75.0%</w:t>
            </w:r>
          </w:p>
        </w:tc>
        <w:tc>
          <w:tcPr>
            <w:tcW w:type="dxa" w:w="1378"/>
          </w:tcPr>
          <w:p>
            <w:pPr>
              <w:jc w:val="right"/>
            </w:pPr>
            <w:r/>
            <w:r>
              <w:rPr>
                <w:b w:val="0"/>
                <w:sz w:val="17"/>
              </w:rPr>
              <w:t>+2.6pp</w:t>
            </w:r>
          </w:p>
        </w:tc>
      </w:tr>
      <w:tr>
        <w:tc>
          <w:tcPr>
            <w:tcW w:type="dxa" w:w="1378"/>
          </w:tcPr>
          <w:p>
            <w:r/>
            <w:r>
              <w:rPr>
                <w:b w:val="0"/>
                <w:sz w:val="17"/>
              </w:rPr>
              <w:t>Non-GAAP gross margin</w:t>
            </w:r>
          </w:p>
        </w:tc>
        <w:tc>
          <w:tcPr>
            <w:tcW w:type="dxa" w:w="1378"/>
          </w:tcPr>
          <w:p>
            <w:pPr>
              <w:jc w:val="right"/>
            </w:pPr>
            <w:r/>
            <w:r>
              <w:rPr>
                <w:b w:val="0"/>
                <w:sz w:val="17"/>
              </w:rPr>
              <w:t>72.5%</w:t>
            </w:r>
          </w:p>
        </w:tc>
        <w:tc>
          <w:tcPr>
            <w:tcW w:type="dxa" w:w="1378"/>
          </w:tcPr>
          <w:p>
            <w:pPr>
              <w:jc w:val="right"/>
            </w:pPr>
            <w:r/>
            <w:r>
              <w:rPr>
                <w:b w:val="0"/>
                <w:sz w:val="17"/>
              </w:rPr>
              <w:t>n/a</w:t>
            </w:r>
          </w:p>
        </w:tc>
        <w:tc>
          <w:tcPr>
            <w:tcW w:type="dxa" w:w="1378"/>
          </w:tcPr>
          <w:p>
            <w:pPr>
              <w:jc w:val="right"/>
            </w:pPr>
            <w:r/>
            <w:r>
              <w:rPr>
                <w:b w:val="0"/>
                <w:sz w:val="17"/>
              </w:rPr>
              <w:t>n/a</w:t>
            </w:r>
          </w:p>
        </w:tc>
        <w:tc>
          <w:tcPr>
            <w:tcW w:type="dxa" w:w="1378"/>
          </w:tcPr>
          <w:p>
            <w:pPr>
              <w:jc w:val="right"/>
            </w:pPr>
            <w:r/>
            <w:r>
              <w:rPr>
                <w:b w:val="0"/>
                <w:sz w:val="17"/>
              </w:rPr>
              <w:t>75.0%</w:t>
            </w:r>
          </w:p>
        </w:tc>
        <w:tc>
          <w:tcPr>
            <w:tcW w:type="dxa" w:w="1378"/>
          </w:tcPr>
          <w:p>
            <w:pPr>
              <w:jc w:val="right"/>
            </w:pPr>
            <w:r/>
            <w:r>
              <w:rPr>
                <w:b w:val="0"/>
                <w:sz w:val="17"/>
              </w:rPr>
              <w:t>75.0%</w:t>
            </w:r>
          </w:p>
        </w:tc>
        <w:tc>
          <w:tcPr>
            <w:tcW w:type="dxa" w:w="1378"/>
          </w:tcPr>
          <w:p>
            <w:pPr>
              <w:jc w:val="right"/>
            </w:pPr>
            <w:r/>
            <w:r>
              <w:rPr>
                <w:b w:val="0"/>
                <w:sz w:val="17"/>
              </w:rPr>
              <w:t>+2.5pp</w:t>
            </w:r>
          </w:p>
        </w:tc>
      </w:tr>
      <w:tr>
        <w:tc>
          <w:tcPr>
            <w:tcW w:type="dxa" w:w="1378"/>
          </w:tcPr>
          <w:p>
            <w:r/>
            <w:r>
              <w:rPr>
                <w:b w:val="0"/>
                <w:sz w:val="17"/>
              </w:rPr>
              <w:t>GAAP opex (USD m)</w:t>
            </w:r>
          </w:p>
        </w:tc>
        <w:tc>
          <w:tcPr>
            <w:tcW w:type="dxa" w:w="1378"/>
          </w:tcPr>
          <w:p>
            <w:pPr>
              <w:jc w:val="right"/>
            </w:pPr>
            <w:r/>
            <w:r>
              <w:rPr>
                <w:b w:val="0"/>
                <w:sz w:val="17"/>
              </w:rPr>
              <w:t>5,413</w:t>
            </w:r>
          </w:p>
        </w:tc>
        <w:tc>
          <w:tcPr>
            <w:tcW w:type="dxa" w:w="1378"/>
          </w:tcPr>
          <w:p>
            <w:pPr>
              <w:jc w:val="right"/>
            </w:pPr>
            <w:r/>
            <w:r>
              <w:rPr>
                <w:b w:val="0"/>
                <w:sz w:val="17"/>
              </w:rPr>
              <w:t>5,839</w:t>
            </w:r>
          </w:p>
        </w:tc>
        <w:tc>
          <w:tcPr>
            <w:tcW w:type="dxa" w:w="1378"/>
          </w:tcPr>
          <w:p>
            <w:pPr>
              <w:jc w:val="right"/>
            </w:pPr>
            <w:r/>
            <w:r>
              <w:rPr>
                <w:b w:val="0"/>
                <w:sz w:val="17"/>
              </w:rPr>
              <w:t>6,794</w:t>
            </w:r>
          </w:p>
        </w:tc>
        <w:tc>
          <w:tcPr>
            <w:tcW w:type="dxa" w:w="1378"/>
          </w:tcPr>
          <w:p>
            <w:pPr>
              <w:jc w:val="right"/>
            </w:pPr>
            <w:r/>
            <w:r>
              <w:rPr>
                <w:b w:val="0"/>
                <w:sz w:val="17"/>
              </w:rPr>
              <w:t>7,621</w:t>
            </w:r>
          </w:p>
        </w:tc>
        <w:tc>
          <w:tcPr>
            <w:tcW w:type="dxa" w:w="1378"/>
          </w:tcPr>
          <w:p>
            <w:pPr>
              <w:jc w:val="right"/>
            </w:pPr>
            <w:r/>
            <w:r>
              <w:rPr>
                <w:b w:val="0"/>
                <w:sz w:val="17"/>
              </w:rPr>
              <w:t>8,408</w:t>
            </w:r>
          </w:p>
        </w:tc>
        <w:tc>
          <w:tcPr>
            <w:tcW w:type="dxa" w:w="1378"/>
          </w:tcPr>
          <w:p>
            <w:pPr>
              <w:jc w:val="right"/>
            </w:pPr>
            <w:r/>
            <w:r>
              <w:rPr>
                <w:b w:val="0"/>
                <w:sz w:val="17"/>
              </w:rPr>
              <w:t>+55.3%</w:t>
            </w:r>
          </w:p>
        </w:tc>
      </w:tr>
      <w:tr>
        <w:tc>
          <w:tcPr>
            <w:tcW w:type="dxa" w:w="1378"/>
          </w:tcPr>
          <w:p>
            <w:r/>
            <w:r>
              <w:rPr>
                <w:b w:val="0"/>
                <w:sz w:val="17"/>
              </w:rPr>
              <w:t>GAAP opex / revenue</w:t>
            </w:r>
          </w:p>
        </w:tc>
        <w:tc>
          <w:tcPr>
            <w:tcW w:type="dxa" w:w="1378"/>
          </w:tcPr>
          <w:p>
            <w:pPr>
              <w:jc w:val="right"/>
            </w:pPr>
            <w:r/>
            <w:r>
              <w:rPr>
                <w:b w:val="0"/>
                <w:sz w:val="17"/>
              </w:rPr>
              <w:t>11.6%</w:t>
            </w:r>
          </w:p>
        </w:tc>
        <w:tc>
          <w:tcPr>
            <w:tcW w:type="dxa" w:w="1378"/>
          </w:tcPr>
          <w:p>
            <w:pPr>
              <w:jc w:val="right"/>
            </w:pPr>
            <w:r/>
            <w:r>
              <w:rPr>
                <w:b w:val="0"/>
                <w:sz w:val="17"/>
              </w:rPr>
              <w:t>10.2%</w:t>
            </w:r>
          </w:p>
        </w:tc>
        <w:tc>
          <w:tcPr>
            <w:tcW w:type="dxa" w:w="1378"/>
          </w:tcPr>
          <w:p>
            <w:pPr>
              <w:jc w:val="right"/>
            </w:pPr>
            <w:r/>
            <w:r>
              <w:rPr>
                <w:b w:val="0"/>
                <w:sz w:val="17"/>
              </w:rPr>
              <w:t>10.0%</w:t>
            </w:r>
          </w:p>
        </w:tc>
        <w:tc>
          <w:tcPr>
            <w:tcW w:type="dxa" w:w="1378"/>
          </w:tcPr>
          <w:p>
            <w:pPr>
              <w:jc w:val="right"/>
            </w:pPr>
            <w:r/>
            <w:r>
              <w:rPr>
                <w:b w:val="0"/>
                <w:sz w:val="17"/>
              </w:rPr>
              <w:t>9.3%</w:t>
            </w:r>
          </w:p>
        </w:tc>
        <w:tc>
          <w:tcPr>
            <w:tcW w:type="dxa" w:w="1378"/>
          </w:tcPr>
          <w:p>
            <w:pPr>
              <w:jc w:val="right"/>
            </w:pPr>
            <w:r/>
            <w:r>
              <w:rPr>
                <w:b w:val="0"/>
                <w:sz w:val="17"/>
              </w:rPr>
              <w:t>8.7%</w:t>
            </w:r>
          </w:p>
        </w:tc>
        <w:tc>
          <w:tcPr>
            <w:tcW w:type="dxa" w:w="1378"/>
          </w:tcPr>
          <w:p>
            <w:pPr>
              <w:jc w:val="right"/>
            </w:pPr>
            <w:r/>
            <w:r>
              <w:rPr>
                <w:b w:val="0"/>
                <w:sz w:val="17"/>
              </w:rPr>
              <w:t>-2.9pp</w:t>
            </w:r>
          </w:p>
        </w:tc>
      </w:tr>
      <w:tr>
        <w:tc>
          <w:tcPr>
            <w:tcW w:type="dxa" w:w="1378"/>
          </w:tcPr>
          <w:p>
            <w:r/>
            <w:r>
              <w:rPr>
                <w:b w:val="0"/>
                <w:sz w:val="17"/>
              </w:rPr>
              <w:t>GAAP operating income (USD m)</w:t>
            </w:r>
          </w:p>
        </w:tc>
        <w:tc>
          <w:tcPr>
            <w:tcW w:type="dxa" w:w="1378"/>
          </w:tcPr>
          <w:p>
            <w:pPr>
              <w:jc w:val="right"/>
            </w:pPr>
            <w:r/>
            <w:r>
              <w:rPr>
                <w:b w:val="0"/>
                <w:sz w:val="17"/>
              </w:rPr>
              <w:t>28,440</w:t>
            </w:r>
          </w:p>
        </w:tc>
        <w:tc>
          <w:tcPr>
            <w:tcW w:type="dxa" w:w="1378"/>
          </w:tcPr>
          <w:p>
            <w:pPr>
              <w:jc w:val="right"/>
            </w:pPr>
            <w:r/>
            <w:r>
              <w:rPr>
                <w:b w:val="0"/>
                <w:sz w:val="17"/>
              </w:rPr>
              <w:t>36,010</w:t>
            </w:r>
          </w:p>
        </w:tc>
        <w:tc>
          <w:tcPr>
            <w:tcW w:type="dxa" w:w="1378"/>
          </w:tcPr>
          <w:p>
            <w:pPr>
              <w:jc w:val="right"/>
            </w:pPr>
            <w:r/>
            <w:r>
              <w:rPr>
                <w:b w:val="0"/>
                <w:sz w:val="17"/>
              </w:rPr>
              <w:t>44,299</w:t>
            </w:r>
          </w:p>
        </w:tc>
        <w:tc>
          <w:tcPr>
            <w:tcW w:type="dxa" w:w="1378"/>
          </w:tcPr>
          <w:p>
            <w:pPr>
              <w:jc w:val="right"/>
            </w:pPr>
            <w:r/>
            <w:r>
              <w:rPr>
                <w:b w:val="0"/>
                <w:sz w:val="17"/>
              </w:rPr>
              <w:t>53,536</w:t>
            </w:r>
          </w:p>
        </w:tc>
        <w:tc>
          <w:tcPr>
            <w:tcW w:type="dxa" w:w="1378"/>
          </w:tcPr>
          <w:p>
            <w:pPr>
              <w:jc w:val="right"/>
            </w:pPr>
            <w:r/>
            <w:r>
              <w:rPr>
                <w:b w:val="0"/>
                <w:sz w:val="17"/>
              </w:rPr>
              <w:t>63,734</w:t>
            </w:r>
          </w:p>
        </w:tc>
        <w:tc>
          <w:tcPr>
            <w:tcW w:type="dxa" w:w="1378"/>
          </w:tcPr>
          <w:p>
            <w:pPr>
              <w:jc w:val="right"/>
            </w:pPr>
            <w:r/>
            <w:r>
              <w:rPr>
                <w:b w:val="0"/>
                <w:sz w:val="17"/>
              </w:rPr>
              <w:t>+124.1%</w:t>
            </w:r>
          </w:p>
        </w:tc>
      </w:tr>
      <w:tr>
        <w:tc>
          <w:tcPr>
            <w:tcW w:type="dxa" w:w="1378"/>
          </w:tcPr>
          <w:p>
            <w:r/>
            <w:r>
              <w:rPr>
                <w:b w:val="0"/>
                <w:sz w:val="17"/>
              </w:rPr>
              <w:t>GAAP operating margin</w:t>
            </w:r>
          </w:p>
        </w:tc>
        <w:tc>
          <w:tcPr>
            <w:tcW w:type="dxa" w:w="1378"/>
          </w:tcPr>
          <w:p>
            <w:pPr>
              <w:jc w:val="right"/>
            </w:pPr>
            <w:r/>
            <w:r>
              <w:rPr>
                <w:b w:val="0"/>
                <w:sz w:val="17"/>
              </w:rPr>
              <w:t>60.8%</w:t>
            </w:r>
          </w:p>
        </w:tc>
        <w:tc>
          <w:tcPr>
            <w:tcW w:type="dxa" w:w="1378"/>
          </w:tcPr>
          <w:p>
            <w:pPr>
              <w:jc w:val="right"/>
            </w:pPr>
            <w:r/>
            <w:r>
              <w:rPr>
                <w:b w:val="0"/>
                <w:sz w:val="17"/>
              </w:rPr>
              <w:t>63.2%</w:t>
            </w:r>
          </w:p>
        </w:tc>
        <w:tc>
          <w:tcPr>
            <w:tcW w:type="dxa" w:w="1378"/>
          </w:tcPr>
          <w:p>
            <w:pPr>
              <w:jc w:val="right"/>
            </w:pPr>
            <w:r/>
            <w:r>
              <w:rPr>
                <w:b w:val="0"/>
                <w:sz w:val="17"/>
              </w:rPr>
              <w:t>65.0%</w:t>
            </w:r>
          </w:p>
        </w:tc>
        <w:tc>
          <w:tcPr>
            <w:tcW w:type="dxa" w:w="1378"/>
          </w:tcPr>
          <w:p>
            <w:pPr>
              <w:jc w:val="right"/>
            </w:pPr>
            <w:r/>
            <w:r>
              <w:rPr>
                <w:b w:val="0"/>
                <w:sz w:val="17"/>
              </w:rPr>
              <w:t>65.6%</w:t>
            </w:r>
          </w:p>
        </w:tc>
        <w:tc>
          <w:tcPr>
            <w:tcW w:type="dxa" w:w="1378"/>
          </w:tcPr>
          <w:p>
            <w:pPr>
              <w:jc w:val="right"/>
            </w:pPr>
            <w:r/>
            <w:r>
              <w:rPr>
                <w:b w:val="0"/>
                <w:sz w:val="17"/>
              </w:rPr>
              <w:t>66.2%</w:t>
            </w:r>
          </w:p>
        </w:tc>
        <w:tc>
          <w:tcPr>
            <w:tcW w:type="dxa" w:w="1378"/>
          </w:tcPr>
          <w:p>
            <w:pPr>
              <w:jc w:val="right"/>
            </w:pPr>
            <w:r/>
            <w:r>
              <w:rPr>
                <w:b w:val="0"/>
                <w:sz w:val="17"/>
              </w:rPr>
              <w:t>+5.4pp</w:t>
            </w:r>
          </w:p>
        </w:tc>
      </w:tr>
      <w:tr>
        <w:tc>
          <w:tcPr>
            <w:tcW w:type="dxa" w:w="1378"/>
          </w:tcPr>
          <w:p>
            <w:r/>
            <w:r>
              <w:rPr>
                <w:b w:val="0"/>
                <w:sz w:val="17"/>
              </w:rPr>
              <w:t>GAAP net income (USD m)</w:t>
            </w:r>
          </w:p>
        </w:tc>
        <w:tc>
          <w:tcPr>
            <w:tcW w:type="dxa" w:w="1378"/>
          </w:tcPr>
          <w:p>
            <w:pPr>
              <w:jc w:val="right"/>
            </w:pPr>
            <w:r/>
            <w:r>
              <w:rPr>
                <w:b w:val="0"/>
                <w:sz w:val="17"/>
              </w:rPr>
              <w:t>26,422</w:t>
            </w:r>
          </w:p>
        </w:tc>
        <w:tc>
          <w:tcPr>
            <w:tcW w:type="dxa" w:w="1378"/>
          </w:tcPr>
          <w:p>
            <w:pPr>
              <w:jc w:val="right"/>
            </w:pPr>
            <w:r/>
            <w:r>
              <w:rPr>
                <w:b w:val="0"/>
                <w:sz w:val="17"/>
              </w:rPr>
              <w:t>31,910</w:t>
            </w:r>
          </w:p>
        </w:tc>
        <w:tc>
          <w:tcPr>
            <w:tcW w:type="dxa" w:w="1378"/>
          </w:tcPr>
          <w:p>
            <w:pPr>
              <w:jc w:val="right"/>
            </w:pPr>
            <w:r/>
            <w:r>
              <w:rPr>
                <w:b w:val="0"/>
                <w:sz w:val="17"/>
              </w:rPr>
              <w:t>42,960</w:t>
            </w:r>
          </w:p>
        </w:tc>
        <w:tc>
          <w:tcPr>
            <w:tcW w:type="dxa" w:w="1378"/>
          </w:tcPr>
          <w:p>
            <w:pPr>
              <w:jc w:val="right"/>
            </w:pPr>
            <w:r/>
            <w:r>
              <w:rPr>
                <w:b w:val="0"/>
                <w:sz w:val="17"/>
              </w:rPr>
              <w:t>58,321</w:t>
            </w:r>
          </w:p>
        </w:tc>
        <w:tc>
          <w:tcPr>
            <w:tcW w:type="dxa" w:w="1378"/>
          </w:tcPr>
          <w:p>
            <w:pPr>
              <w:jc w:val="right"/>
            </w:pPr>
            <w:r/>
            <w:r>
              <w:rPr>
                <w:b w:val="0"/>
                <w:sz w:val="17"/>
              </w:rPr>
              <w:t>59,688</w:t>
            </w:r>
          </w:p>
        </w:tc>
        <w:tc>
          <w:tcPr>
            <w:tcW w:type="dxa" w:w="1378"/>
          </w:tcPr>
          <w:p>
            <w:pPr>
              <w:jc w:val="right"/>
            </w:pPr>
            <w:r/>
            <w:r>
              <w:rPr>
                <w:b w:val="0"/>
                <w:sz w:val="17"/>
              </w:rPr>
              <w:t>+125.9%</w:t>
            </w:r>
          </w:p>
        </w:tc>
      </w:tr>
      <w:tr>
        <w:tc>
          <w:tcPr>
            <w:tcW w:type="dxa" w:w="1378"/>
          </w:tcPr>
          <w:p>
            <w:r/>
            <w:r>
              <w:rPr>
                <w:b w:val="0"/>
                <w:sz w:val="17"/>
              </w:rPr>
              <w:t>GAAP net margin</w:t>
            </w:r>
          </w:p>
        </w:tc>
        <w:tc>
          <w:tcPr>
            <w:tcW w:type="dxa" w:w="1378"/>
          </w:tcPr>
          <w:p>
            <w:pPr>
              <w:jc w:val="right"/>
            </w:pPr>
            <w:r/>
            <w:r>
              <w:rPr>
                <w:b w:val="0"/>
                <w:sz w:val="17"/>
              </w:rPr>
              <w:t>56.5%</w:t>
            </w:r>
          </w:p>
        </w:tc>
        <w:tc>
          <w:tcPr>
            <w:tcW w:type="dxa" w:w="1378"/>
          </w:tcPr>
          <w:p>
            <w:pPr>
              <w:jc w:val="right"/>
            </w:pPr>
            <w:r/>
            <w:r>
              <w:rPr>
                <w:b w:val="0"/>
                <w:sz w:val="17"/>
              </w:rPr>
              <w:t>56.0%</w:t>
            </w:r>
          </w:p>
        </w:tc>
        <w:tc>
          <w:tcPr>
            <w:tcW w:type="dxa" w:w="1378"/>
          </w:tcPr>
          <w:p>
            <w:pPr>
              <w:jc w:val="right"/>
            </w:pPr>
            <w:r/>
            <w:r>
              <w:rPr>
                <w:b w:val="0"/>
                <w:sz w:val="17"/>
              </w:rPr>
              <w:t>63.1%</w:t>
            </w:r>
          </w:p>
        </w:tc>
        <w:tc>
          <w:tcPr>
            <w:tcW w:type="dxa" w:w="1378"/>
          </w:tcPr>
          <w:p>
            <w:pPr>
              <w:jc w:val="right"/>
            </w:pPr>
            <w:r/>
            <w:r>
              <w:rPr>
                <w:b w:val="0"/>
                <w:sz w:val="17"/>
              </w:rPr>
              <w:t>71.5%</w:t>
            </w:r>
          </w:p>
        </w:tc>
        <w:tc>
          <w:tcPr>
            <w:tcW w:type="dxa" w:w="1378"/>
          </w:tcPr>
          <w:p>
            <w:pPr>
              <w:jc w:val="right"/>
            </w:pPr>
            <w:r/>
            <w:r>
              <w:rPr>
                <w:b w:val="0"/>
                <w:sz w:val="17"/>
              </w:rPr>
              <w:t>62.0%</w:t>
            </w:r>
          </w:p>
        </w:tc>
        <w:tc>
          <w:tcPr>
            <w:tcW w:type="dxa" w:w="1378"/>
          </w:tcPr>
          <w:p>
            <w:pPr>
              <w:jc w:val="right"/>
            </w:pPr>
            <w:r/>
            <w:r>
              <w:rPr>
                <w:b w:val="0"/>
                <w:sz w:val="17"/>
              </w:rPr>
              <w:t>+5.5pp</w:t>
            </w:r>
          </w:p>
        </w:tc>
      </w:tr>
      <w:tr>
        <w:tc>
          <w:tcPr>
            <w:tcW w:type="dxa" w:w="1378"/>
          </w:tcPr>
          <w:p>
            <w:r/>
            <w:r>
              <w:rPr>
                <w:b w:val="0"/>
                <w:sz w:val="17"/>
              </w:rPr>
              <w:t>GAAP diluted EPS (USD)</w:t>
            </w:r>
          </w:p>
        </w:tc>
        <w:tc>
          <w:tcPr>
            <w:tcW w:type="dxa" w:w="1378"/>
          </w:tcPr>
          <w:p>
            <w:pPr>
              <w:jc w:val="right"/>
            </w:pPr>
            <w:r/>
            <w:r>
              <w:rPr>
                <w:b w:val="0"/>
                <w:sz w:val="17"/>
              </w:rPr>
              <w:t>1.08</w:t>
            </w:r>
          </w:p>
        </w:tc>
        <w:tc>
          <w:tcPr>
            <w:tcW w:type="dxa" w:w="1378"/>
          </w:tcPr>
          <w:p>
            <w:pPr>
              <w:jc w:val="right"/>
            </w:pPr>
            <w:r/>
            <w:r>
              <w:rPr>
                <w:b w:val="0"/>
                <w:sz w:val="17"/>
              </w:rPr>
              <w:t>1.30</w:t>
            </w:r>
          </w:p>
        </w:tc>
        <w:tc>
          <w:tcPr>
            <w:tcW w:type="dxa" w:w="1378"/>
          </w:tcPr>
          <w:p>
            <w:pPr>
              <w:jc w:val="right"/>
            </w:pPr>
            <w:r/>
            <w:r>
              <w:rPr>
                <w:b w:val="0"/>
                <w:sz w:val="17"/>
              </w:rPr>
              <w:t>1.76</w:t>
            </w:r>
          </w:p>
        </w:tc>
        <w:tc>
          <w:tcPr>
            <w:tcW w:type="dxa" w:w="1378"/>
          </w:tcPr>
          <w:p>
            <w:pPr>
              <w:jc w:val="right"/>
            </w:pPr>
            <w:r/>
            <w:r>
              <w:rPr>
                <w:b w:val="0"/>
                <w:sz w:val="17"/>
              </w:rPr>
              <w:t>2.39</w:t>
            </w:r>
          </w:p>
        </w:tc>
        <w:tc>
          <w:tcPr>
            <w:tcW w:type="dxa" w:w="1378"/>
          </w:tcPr>
          <w:p>
            <w:pPr>
              <w:jc w:val="right"/>
            </w:pPr>
            <w:r/>
            <w:r>
              <w:rPr>
                <w:b w:val="0"/>
                <w:sz w:val="17"/>
              </w:rPr>
              <w:t>2.46</w:t>
            </w:r>
          </w:p>
        </w:tc>
        <w:tc>
          <w:tcPr>
            <w:tcW w:type="dxa" w:w="1378"/>
          </w:tcPr>
          <w:p>
            <w:pPr>
              <w:jc w:val="right"/>
            </w:pPr>
            <w:r/>
            <w:r>
              <w:rPr>
                <w:b w:val="0"/>
                <w:sz w:val="17"/>
              </w:rPr>
              <w:t>+127.8%</w:t>
            </w:r>
          </w:p>
        </w:tc>
      </w:tr>
    </w:tbl>
    <w:p>
      <w:r>
        <w:rPr>
          <w:i/>
          <w:sz w:val="16"/>
        </w:rPr>
        <w:t xml:space="preserve">Source: Company earnings releases; margins calculated by analyst. Non-GAAP restated to include SBC from Q1 FY27; restated Q3/Q4 FY26 non-GAAP not shown. </w:t>
      </w:r>
      <w:hyperlink r:id="rId19">
        <w:r>
          <w:rPr>
            <w:rFonts w:ascii="Times New Roman" w:hAnsi="Times New Roman"/>
            <w:color w:val="0563C1"/>
            <w:u w:val="single"/>
          </w:rPr>
          <w:t xml:space="preserve">Q2 FY27 release tables</w:t>
        </w:r>
      </w:hyperlink>
      <w:r>
        <w:rPr>
          <w:sz w:val="16"/>
        </w:rPr>
        <w:t xml:space="preserve">; </w:t>
      </w:r>
      <w:hyperlink r:id="rId13">
        <w:r>
          <w:rPr>
            <w:rFonts w:ascii="Times New Roman" w:hAnsi="Times New Roman"/>
            <w:color w:val="0563C1"/>
            <w:u w:val="single"/>
          </w:rPr>
          <w:t xml:space="preserve">Q4 FY26 release</w:t>
        </w:r>
      </w:hyperlink>
    </w:p>
    <w:p>
      <w:r>
        <w:drawing>
          <wp:inline xmlns:a="http://schemas.openxmlformats.org/drawingml/2006/main" xmlns:pic="http://schemas.openxmlformats.org/drawingml/2006/picture">
            <wp:extent cx="5760720" cy="2836047"/>
            <wp:docPr id="5" name="Picture 5"/>
            <wp:cNvGraphicFramePr>
              <a:graphicFrameLocks noChangeAspect="1"/>
            </wp:cNvGraphicFramePr>
            <a:graphic>
              <a:graphicData uri="http://schemas.openxmlformats.org/drawingml/2006/picture">
                <pic:pic>
                  <pic:nvPicPr>
                    <pic:cNvPr id="0" name="f3_margins.png"/>
                    <pic:cNvPicPr/>
                  </pic:nvPicPr>
                  <pic:blipFill>
                    <a:blip r:embed="rId20"/>
                    <a:stretch>
                      <a:fillRect/>
                    </a:stretch>
                  </pic:blipFill>
                  <pic:spPr>
                    <a:xfrm>
                      <a:off x="0" y="0"/>
                      <a:ext cx="5760720" cy="2836047"/>
                    </a:xfrm>
                    <a:prstGeom prst="rect"/>
                  </pic:spPr>
                </pic:pic>
              </a:graphicData>
            </a:graphic>
          </wp:inline>
        </w:drawing>
      </w:r>
    </w:p>
    <w:p>
      <w:r>
        <w:rPr>
          <w:i/>
          <w:sz w:val="16"/>
        </w:rPr>
        <w:t xml:space="preserve">Source: Company releases; analyst calculations </w:t>
      </w:r>
      <w:hyperlink r:id="rId9">
        <w:r>
          <w:rPr>
            <w:rFonts w:ascii="Times New Roman" w:hAnsi="Times New Roman"/>
            <w:color w:val="0563C1"/>
            <w:u w:val="single"/>
          </w:rPr>
          <w:t xml:space="preserve">Q2 FY27 release</w:t>
        </w:r>
      </w:hyperlink>
    </w:p>
    <w:p>
      <w:pPr>
        <w:spacing w:after="120"/>
      </w:pPr>
      <w:r>
        <w:t>Gross margin has now sat at 75% for three quarters, after recovering from the Blackwell transition trough (72.4% in Q2 FY26). The Q3 guide of 74.0% ±50bp signals the next transition: early Vera Rubin volume carries higher initial cost, and HBM4 and LPDDR memory pricing has risen sharply. The $279bn of supply commitments (versus $119bn a quarter earlier), mainly memory, shows NVIDIA is locking in capacity at higher prices. We model 74.0% in Q3, 73.5% in Q4 and 73.0% for FY28, which leaves room for a recovery once Rubin yields mature.</w:t>
      </w:r>
    </w:p>
    <w:p>
      <w:pPr>
        <w:spacing w:after="120"/>
      </w:pPr>
      <w:r>
        <w:t>Operating leverage remains extraordinary. GAAP opex grew 10.3% QoQ to $8,408m (R&amp;D $7,054m; SG&amp;A $1,354m) while revenue grew 17.9%, so GAAP operating margin reached a record 66.2%. GAAP operating income was $63,734m, up 124.1% YoY. Note that, beginning in Q1 FY27, NVIDIA's non-GAAP measures no longer exclude stock-based compensation, so GAAP and non-GAAP operating income ($63,956m) are now nearly identical.</w:t>
      </w:r>
    </w:p>
    <w:p>
      <w:pPr>
        <w:spacing w:after="120"/>
      </w:pPr>
      <w:r>
        <w:t>Below the line. GAAP net income of $59,688m (GAAP diluted EPS $2.46) was inflated by about $7.8bn of net gains on equity securities (strategic stakes in AI model and cloud companies). Non-GAAP net income, which excludes those gains, was $53,954m, or $2.22 per share, the figure consensus is struck against. Diluted weighted shares fell to 24,285m from 24,391m in Q1 and 24,532m a year ago.</w:t>
      </w:r>
    </w:p>
    <w:p>
      <w:r>
        <w:drawing>
          <wp:inline xmlns:a="http://schemas.openxmlformats.org/drawingml/2006/main" xmlns:pic="http://schemas.openxmlformats.org/drawingml/2006/picture">
            <wp:extent cx="5760720" cy="2836047"/>
            <wp:docPr id="6" name="Picture 6"/>
            <wp:cNvGraphicFramePr>
              <a:graphicFrameLocks noChangeAspect="1"/>
            </wp:cNvGraphicFramePr>
            <a:graphic>
              <a:graphicData uri="http://schemas.openxmlformats.org/drawingml/2006/picture">
                <pic:pic>
                  <pic:nvPicPr>
                    <pic:cNvPr id="0" name="f2_eps.png"/>
                    <pic:cNvPicPr/>
                  </pic:nvPicPr>
                  <pic:blipFill>
                    <a:blip r:embed="rId21"/>
                    <a:stretch>
                      <a:fillRect/>
                    </a:stretch>
                  </pic:blipFill>
                  <pic:spPr>
                    <a:xfrm>
                      <a:off x="0" y="0"/>
                      <a:ext cx="5760720" cy="2836047"/>
                    </a:xfrm>
                    <a:prstGeom prst="rect"/>
                  </pic:spPr>
                </pic:pic>
              </a:graphicData>
            </a:graphic>
          </wp:inline>
        </w:drawing>
      </w:r>
    </w:p>
    <w:p>
      <w:r>
        <w:rPr>
          <w:i/>
          <w:sz w:val="16"/>
        </w:rPr>
        <w:t xml:space="preserve">Source: Company releases </w:t>
      </w:r>
      <w:hyperlink r:id="rId19">
        <w:r>
          <w:rPr>
            <w:rFonts w:ascii="Times New Roman" w:hAnsi="Times New Roman"/>
            <w:color w:val="0563C1"/>
            <w:u w:val="single"/>
          </w:rPr>
          <w:t xml:space="preserve">Q2 FY27 release tables</w:t>
        </w:r>
      </w:hyperlink>
    </w:p>
    <w:p>
      <w:r>
        <w:br w:type="page"/>
      </w:r>
    </w:p>
    <w:p>
      <w:pPr>
        <w:pStyle w:val="Heading1"/>
      </w:pPr>
      <w:r>
        <w:t>4. Cash flow and capital returns</w:t>
      </w:r>
    </w:p>
    <w:p>
      <w:pPr>
        <w:spacing w:after="120"/>
      </w:pPr>
      <w:r>
        <w:t>Operating cash flow was $24,077m in Q2 versus $50,344m in Q1, taking the first half to $74,421m. Capex (property, equipment and intangibles) was $2,677m, giving free cash flow of $21,400m, a 22.2% FCF margin against a 62.0% GAAP net margin. The shortfall reflects a working-capital build: accounts receivable rose to about $63.1bn (from $38.5bn) and inventory to about $31.6bn (from $21.4bn), consistent with back-end-loaded shipments of rack-scale systems and pre-buys for Rubin. Long-term debt rose to about $32.4bn from $7.5bn, per third-party balance-sheet summaries that we could not reconcile to the 10-Q directly.</w:t>
      </w:r>
    </w:p>
    <w:p>
      <w:r>
        <w:drawing>
          <wp:inline xmlns:a="http://schemas.openxmlformats.org/drawingml/2006/main" xmlns:pic="http://schemas.openxmlformats.org/drawingml/2006/picture">
            <wp:extent cx="5760720" cy="2836047"/>
            <wp:docPr id="7" name="Picture 7"/>
            <wp:cNvGraphicFramePr>
              <a:graphicFrameLocks noChangeAspect="1"/>
            </wp:cNvGraphicFramePr>
            <a:graphic>
              <a:graphicData uri="http://schemas.openxmlformats.org/drawingml/2006/picture">
                <pic:pic>
                  <pic:nvPicPr>
                    <pic:cNvPr id="0" name="f9_cash.png"/>
                    <pic:cNvPicPr/>
                  </pic:nvPicPr>
                  <pic:blipFill>
                    <a:blip r:embed="rId22"/>
                    <a:stretch>
                      <a:fillRect/>
                    </a:stretch>
                  </pic:blipFill>
                  <pic:spPr>
                    <a:xfrm>
                      <a:off x="0" y="0"/>
                      <a:ext cx="5760720" cy="2836047"/>
                    </a:xfrm>
                    <a:prstGeom prst="rect"/>
                  </pic:spPr>
                </pic:pic>
              </a:graphicData>
            </a:graphic>
          </wp:inline>
        </w:drawing>
      </w:r>
    </w:p>
    <w:p>
      <w:r>
        <w:rPr>
          <w:i/>
          <w:sz w:val="16"/>
        </w:rPr>
        <w:t xml:space="preserve">Source: Company releases and 10-Q; Q3 FY26 OCF/capex from model knowledge </w:t>
      </w:r>
      <w:hyperlink r:id="rId19">
        <w:r>
          <w:rPr>
            <w:rFonts w:ascii="Times New Roman" w:hAnsi="Times New Roman"/>
            <w:color w:val="0563C1"/>
            <w:u w:val="single"/>
          </w:rPr>
          <w:t xml:space="preserve">Q2 FY27 release</w:t>
        </w:r>
      </w:hyperlink>
      <w:r>
        <w:rPr>
          <w:sz w:val="16"/>
        </w:rPr>
        <w:t xml:space="preserve">; </w:t>
      </w:r>
      <w:hyperlink r:id="rId14">
        <w:r>
          <w:rPr>
            <w:rFonts w:ascii="Times New Roman" w:hAnsi="Times New Roman"/>
            <w:color w:val="0563C1"/>
            <w:u w:val="single"/>
          </w:rPr>
          <w:t xml:space="preserve">10-Q</w:t>
        </w:r>
      </w:hyperlink>
    </w:p>
    <w:p>
      <w:pPr>
        <w:spacing w:after="120"/>
      </w:pPr>
      <w:r>
        <w:t>NVIDIA returned about $26.0bn in Q2: $19.7bn of buybacks (94m shares) plus dividends, now $0.25 per quarter. About $99bn of repurchase authorization remains. Even with weaker conversion this quarter, the H1 FCF of about $70bn comfortably funds returns.</w:t>
      </w:r>
    </w:p>
    <w:p>
      <w:pPr>
        <w:pStyle w:val="Heading1"/>
      </w:pPr>
      <w:r>
        <w:t>5. Guidance versus consensus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Q3 FY27 outlook</w:t>
            </w:r>
          </w:p>
        </w:tc>
        <w:tc>
          <w:tcPr>
            <w:tcW w:type="dxa" w:w="2412"/>
          </w:tcPr>
          <w:p>
            <w:pPr>
              <w:jc w:val="right"/>
            </w:pPr>
            <w:r/>
            <w:r>
              <w:rPr>
                <w:b/>
                <w:sz w:val="17"/>
              </w:rPr>
              <w:t>Guidance</w:t>
            </w:r>
          </w:p>
        </w:tc>
        <w:tc>
          <w:tcPr>
            <w:tcW w:type="dxa" w:w="2412"/>
          </w:tcPr>
          <w:p>
            <w:pPr>
              <w:jc w:val="right"/>
            </w:pPr>
            <w:r/>
            <w:r>
              <w:rPr>
                <w:b/>
                <w:sz w:val="17"/>
              </w:rPr>
              <w:t>Consensus</w:t>
            </w:r>
          </w:p>
        </w:tc>
        <w:tc>
          <w:tcPr>
            <w:tcW w:type="dxa" w:w="2412"/>
          </w:tcPr>
          <w:p>
            <w:pPr>
              <w:jc w:val="right"/>
            </w:pPr>
            <w:r/>
            <w:r>
              <w:rPr>
                <w:b/>
                <w:sz w:val="17"/>
              </w:rPr>
              <w:t>Variance</w:t>
            </w:r>
          </w:p>
        </w:tc>
      </w:tr>
      <w:tr>
        <w:tc>
          <w:tcPr>
            <w:tcW w:type="dxa" w:w="2412"/>
          </w:tcPr>
          <w:p>
            <w:r/>
            <w:r>
              <w:rPr>
                <w:b w:val="0"/>
                <w:sz w:val="17"/>
              </w:rPr>
              <w:t>Revenue (USD m)</w:t>
            </w:r>
          </w:p>
        </w:tc>
        <w:tc>
          <w:tcPr>
            <w:tcW w:type="dxa" w:w="2412"/>
          </w:tcPr>
          <w:p>
            <w:pPr>
              <w:jc w:val="right"/>
            </w:pPr>
            <w:r/>
            <w:r>
              <w:rPr>
                <w:b w:val="0"/>
                <w:sz w:val="17"/>
              </w:rPr>
              <w:t>108,000 ±2% (105,840-110,160)</w:t>
            </w:r>
          </w:p>
        </w:tc>
        <w:tc>
          <w:tcPr>
            <w:tcW w:type="dxa" w:w="2412"/>
          </w:tcPr>
          <w:p>
            <w:pPr>
              <w:jc w:val="right"/>
            </w:pPr>
            <w:r/>
            <w:r>
              <w:rPr>
                <w:b w:val="0"/>
                <w:sz w:val="17"/>
              </w:rPr>
              <w:t>104,200</w:t>
            </w:r>
          </w:p>
        </w:tc>
        <w:tc>
          <w:tcPr>
            <w:tcW w:type="dxa" w:w="2412"/>
          </w:tcPr>
          <w:p>
            <w:pPr>
              <w:jc w:val="right"/>
            </w:pPr>
            <w:r/>
            <w:r>
              <w:rPr>
                <w:b w:val="0"/>
                <w:sz w:val="17"/>
              </w:rPr>
              <w:t>+3,800 (+3.6%)</w:t>
            </w:r>
          </w:p>
        </w:tc>
      </w:tr>
      <w:tr>
        <w:tc>
          <w:tcPr>
            <w:tcW w:type="dxa" w:w="2412"/>
          </w:tcPr>
          <w:p>
            <w:r/>
            <w:r>
              <w:rPr>
                <w:b w:val="0"/>
                <w:sz w:val="17"/>
              </w:rPr>
              <w:t>Gross margin (GAAP and non-GAAP)</w:t>
            </w:r>
          </w:p>
        </w:tc>
        <w:tc>
          <w:tcPr>
            <w:tcW w:type="dxa" w:w="2412"/>
          </w:tcPr>
          <w:p>
            <w:pPr>
              <w:jc w:val="right"/>
            </w:pPr>
            <w:r/>
            <w:r>
              <w:rPr>
                <w:b w:val="0"/>
                <w:sz w:val="17"/>
              </w:rPr>
              <w:t>74.0% ±50bp</w:t>
            </w:r>
          </w:p>
        </w:tc>
        <w:tc>
          <w:tcPr>
            <w:tcW w:type="dxa" w:w="2412"/>
          </w:tcPr>
          <w:p>
            <w:pPr>
              <w:jc w:val="right"/>
            </w:pPr>
            <w:r/>
            <w:r>
              <w:rPr>
                <w:b w:val="0"/>
                <w:sz w:val="17"/>
              </w:rPr>
              <w:t>~75%</w:t>
            </w:r>
          </w:p>
        </w:tc>
        <w:tc>
          <w:tcPr>
            <w:tcW w:type="dxa" w:w="2412"/>
          </w:tcPr>
          <w:p>
            <w:pPr>
              <w:jc w:val="right"/>
            </w:pPr>
            <w:r/>
            <w:r>
              <w:rPr>
                <w:b w:val="0"/>
                <w:sz w:val="17"/>
              </w:rPr>
              <w:t>about -100bp</w:t>
            </w:r>
          </w:p>
        </w:tc>
      </w:tr>
      <w:tr>
        <w:tc>
          <w:tcPr>
            <w:tcW w:type="dxa" w:w="2412"/>
          </w:tcPr>
          <w:p>
            <w:r/>
            <w:r>
              <w:rPr>
                <w:b w:val="0"/>
                <w:sz w:val="17"/>
              </w:rPr>
              <w:t>GAAP opex (USD m)</w:t>
            </w:r>
          </w:p>
        </w:tc>
        <w:tc>
          <w:tcPr>
            <w:tcW w:type="dxa" w:w="2412"/>
          </w:tcPr>
          <w:p>
            <w:pPr>
              <w:jc w:val="right"/>
            </w:pPr>
            <w:r/>
            <w:r>
              <w:rPr>
                <w:b w:val="0"/>
                <w:sz w:val="17"/>
              </w:rPr>
              <w:t>~9,200</w:t>
            </w:r>
          </w:p>
        </w:tc>
        <w:tc>
          <w:tcPr>
            <w:tcW w:type="dxa" w:w="2412"/>
          </w:tcPr>
          <w:p>
            <w:pPr>
              <w:jc w:val="right"/>
            </w:pPr>
            <w:r/>
            <w:r>
              <w:rPr>
                <w:b w:val="0"/>
                <w:sz w:val="17"/>
              </w:rPr>
              <w:t>n/a</w:t>
            </w:r>
          </w:p>
        </w:tc>
        <w:tc>
          <w:tcPr>
            <w:tcW w:type="dxa" w:w="2412"/>
          </w:tcPr>
          <w:p>
            <w:pPr>
              <w:jc w:val="right"/>
            </w:pPr>
            <w:r/>
            <w:r>
              <w:rPr>
                <w:b w:val="0"/>
                <w:sz w:val="17"/>
              </w:rPr>
            </w:r>
          </w:p>
        </w:tc>
      </w:tr>
      <w:tr>
        <w:tc>
          <w:tcPr>
            <w:tcW w:type="dxa" w:w="2412"/>
          </w:tcPr>
          <w:p>
            <w:r/>
            <w:r>
              <w:rPr>
                <w:b w:val="0"/>
                <w:sz w:val="17"/>
              </w:rPr>
              <w:t>Non-GAAP opex (USD m)</w:t>
            </w:r>
          </w:p>
        </w:tc>
        <w:tc>
          <w:tcPr>
            <w:tcW w:type="dxa" w:w="2412"/>
          </w:tcPr>
          <w:p>
            <w:pPr>
              <w:jc w:val="right"/>
            </w:pPr>
            <w:r/>
            <w:r>
              <w:rPr>
                <w:b w:val="0"/>
                <w:sz w:val="17"/>
              </w:rPr>
              <w:t>~9,000</w:t>
            </w:r>
          </w:p>
        </w:tc>
        <w:tc>
          <w:tcPr>
            <w:tcW w:type="dxa" w:w="2412"/>
          </w:tcPr>
          <w:p>
            <w:pPr>
              <w:jc w:val="right"/>
            </w:pPr>
            <w:r/>
            <w:r>
              <w:rPr>
                <w:b w:val="0"/>
                <w:sz w:val="17"/>
              </w:rPr>
              <w:t>n/a</w:t>
            </w:r>
          </w:p>
        </w:tc>
        <w:tc>
          <w:tcPr>
            <w:tcW w:type="dxa" w:w="2412"/>
          </w:tcPr>
          <w:p>
            <w:pPr>
              <w:jc w:val="right"/>
            </w:pPr>
            <w:r/>
            <w:r>
              <w:rPr>
                <w:b w:val="0"/>
                <w:sz w:val="17"/>
              </w:rPr>
            </w:r>
          </w:p>
        </w:tc>
      </w:tr>
      <w:tr>
        <w:tc>
          <w:tcPr>
            <w:tcW w:type="dxa" w:w="2412"/>
          </w:tcPr>
          <w:p>
            <w:r/>
            <w:r>
              <w:rPr>
                <w:b w:val="0"/>
                <w:sz w:val="17"/>
              </w:rPr>
              <w:t>FY27 tax rate</w:t>
            </w:r>
          </w:p>
        </w:tc>
        <w:tc>
          <w:tcPr>
            <w:tcW w:type="dxa" w:w="2412"/>
          </w:tcPr>
          <w:p>
            <w:pPr>
              <w:jc w:val="right"/>
            </w:pPr>
            <w:r/>
            <w:r>
              <w:rPr>
                <w:b w:val="0"/>
                <w:sz w:val="17"/>
              </w:rPr>
              <w:t>16.0%-18.0%</w:t>
            </w:r>
          </w:p>
        </w:tc>
        <w:tc>
          <w:tcPr>
            <w:tcW w:type="dxa" w:w="2412"/>
          </w:tcPr>
          <w:p>
            <w:pPr>
              <w:jc w:val="right"/>
            </w:pPr>
            <w:r/>
            <w:r>
              <w:rPr>
                <w:b w:val="0"/>
                <w:sz w:val="17"/>
              </w:rPr>
            </w:r>
          </w:p>
        </w:tc>
        <w:tc>
          <w:tcPr>
            <w:tcW w:type="dxa" w:w="2412"/>
          </w:tcPr>
          <w:p>
            <w:pPr>
              <w:jc w:val="right"/>
            </w:pPr>
            <w:r/>
            <w:r>
              <w:rPr>
                <w:b w:val="0"/>
                <w:sz w:val="17"/>
              </w:rPr>
            </w:r>
          </w:p>
        </w:tc>
      </w:tr>
      <w:tr>
        <w:tc>
          <w:tcPr>
            <w:tcW w:type="dxa" w:w="2412"/>
          </w:tcPr>
          <w:p>
            <w:r/>
            <w:r>
              <w:rPr>
                <w:b w:val="0"/>
                <w:sz w:val="17"/>
              </w:rPr>
              <w:t>China DC compute</w:t>
            </w:r>
          </w:p>
        </w:tc>
        <w:tc>
          <w:tcPr>
            <w:tcW w:type="dxa" w:w="2412"/>
          </w:tcPr>
          <w:p>
            <w:pPr>
              <w:jc w:val="right"/>
            </w:pPr>
            <w:r/>
            <w:r>
              <w:rPr>
                <w:b w:val="0"/>
                <w:sz w:val="17"/>
              </w:rPr>
              <w:t>Excluded</w:t>
            </w:r>
          </w:p>
        </w:tc>
        <w:tc>
          <w:tcPr>
            <w:tcW w:type="dxa" w:w="2412"/>
          </w:tcPr>
          <w:p>
            <w:pPr>
              <w:jc w:val="right"/>
            </w:pPr>
            <w:r/>
            <w:r>
              <w:rPr>
                <w:b w:val="0"/>
                <w:sz w:val="17"/>
              </w:rPr>
            </w:r>
          </w:p>
        </w:tc>
        <w:tc>
          <w:tcPr>
            <w:tcW w:type="dxa" w:w="2412"/>
          </w:tcPr>
          <w:p>
            <w:pPr>
              <w:jc w:val="right"/>
            </w:pPr>
            <w:r/>
            <w:r>
              <w:rPr>
                <w:b w:val="0"/>
                <w:sz w:val="17"/>
              </w:rPr>
            </w:r>
          </w:p>
        </w:tc>
      </w:tr>
    </w:tbl>
    <w:p>
      <w:r>
        <w:rPr>
          <w:i/>
          <w:sz w:val="16"/>
        </w:rPr>
        <w:t xml:space="preserve">Source: Q2 FY27 earnings release; consensus per </w:t>
      </w:r>
      <w:hyperlink r:id="rId9">
        <w:r>
          <w:rPr>
            <w:rFonts w:ascii="Times New Roman" w:hAnsi="Times New Roman"/>
            <w:color w:val="0563C1"/>
            <w:u w:val="single"/>
          </w:rPr>
          <w:t xml:space="preserve">release</w:t>
        </w:r>
      </w:hyperlink>
      <w:r>
        <w:rPr>
          <w:sz w:val="16"/>
        </w:rPr>
        <w:t xml:space="preserve">; </w:t>
      </w:r>
      <w:hyperlink r:id="rId11">
        <w:r>
          <w:rPr>
            <w:rFonts w:ascii="Times New Roman" w:hAnsi="Times New Roman"/>
            <w:color w:val="0563C1"/>
            <w:u w:val="single"/>
          </w:rPr>
          <w:t xml:space="preserve">XTB</w:t>
        </w:r>
      </w:hyperlink>
      <w:r>
        <w:rPr>
          <w:sz w:val="16"/>
        </w:rPr>
        <w:t xml:space="preserve">; </w:t>
      </w:r>
      <w:hyperlink r:id="rId23">
        <w:r>
          <w:rPr>
            <w:rFonts w:ascii="Times New Roman" w:hAnsi="Times New Roman"/>
            <w:color w:val="0563C1"/>
            <w:u w:val="single"/>
          </w:rPr>
          <w:t xml:space="preserve">Parameter.io (~$103.9bn)</w:t>
        </w:r>
      </w:hyperlink>
    </w:p>
    <w:p>
      <w:pPr>
        <w:spacing w:after="120"/>
      </w:pPr>
      <w:r>
        <w:t>The revenue guide implies +12.2% QoQ at the midpoint, a deceleration from +17.9% in Q2. Our view is that this is a supply-gated number, not a demand signal: CFO Colette Kress said customer forecasts imply demand could double next year, but NVIDIA is planning for roughly 70% growth because of component supply. The guide also excludes China. At the guided 74.0% gross margin and $9.0bn of non-GAAP opex, Q3 non-GAAP operating income would be about $70.9bn at the midpoint. We model Q3 revenue at $110,000m (+1.6% above the midpoint, in line with NVIDIA's habit of landing at or above the top of the range) and non-GAAP EPS of $2.50.</w:t>
      </w:r>
    </w:p>
    <w:p>
      <w:pPr>
        <w:pStyle w:val="Heading1"/>
      </w:pPr>
      <w:r>
        <w:t>6. Stock reaction</w:t>
      </w:r>
    </w:p>
    <w:p>
      <w:pPr>
        <w:spacing w:after="120"/>
      </w:pPr>
      <w:r>
        <w:t>NVDA closed at $209.76 on 2026-08-26 ahead of the print. Shares fell almost 2% immediately after the release on the gross-margin guide, then recovered to about +4% after hours as the call progressed. On 2026-08-27 (the first full session after the report) the stock closed at about $227.98, up 8.7% and adding roughly $300bn of market value, one of the largest single-day dollar gains on record, helped by an announced AWS agreement for 2 million additional GPUs. The move then partially reversed on 2026-08-28 (close $217.55, -4.6%) as investors refocused on margins, decelerating sequential growth and China. The stock subsequently reached a 20-week high of $235.93 on 2026-10-02 and closed at $228.42 on 2026-10-13, up 8.9% from the pre-print close.</w:t>
      </w:r>
    </w:p>
    <w:p>
      <w:r>
        <w:rPr>
          <w:i/>
          <w:sz w:val="16"/>
        </w:rPr>
        <w:t xml:space="preserve">Source: Price data: </w:t>
      </w:r>
      <w:hyperlink r:id="rId24">
        <w:r>
          <w:rPr>
            <w:rFonts w:ascii="Times New Roman" w:hAnsi="Times New Roman"/>
            <w:color w:val="0563C1"/>
            <w:u w:val="single"/>
          </w:rPr>
          <w:t xml:space="preserve">24/7 Wall St (2026-08-27)</w:t>
        </w:r>
      </w:hyperlink>
      <w:r>
        <w:rPr>
          <w:sz w:val="16"/>
        </w:rPr>
        <w:t xml:space="preserve">; </w:t>
      </w:r>
      <w:hyperlink r:id="rId25">
        <w:r>
          <w:rPr>
            <w:rFonts w:ascii="Times New Roman" w:hAnsi="Times New Roman"/>
            <w:color w:val="0563C1"/>
            <w:u w:val="single"/>
          </w:rPr>
          <w:t xml:space="preserve">TS2 (2026-08-28)</w:t>
        </w:r>
      </w:hyperlink>
      <w:r>
        <w:rPr>
          <w:sz w:val="16"/>
        </w:rPr>
        <w:t xml:space="preserve">; </w:t>
      </w:r>
      <w:hyperlink r:id="rId23">
        <w:r>
          <w:rPr>
            <w:rFonts w:ascii="Times New Roman" w:hAnsi="Times New Roman"/>
            <w:color w:val="0563C1"/>
            <w:u w:val="single"/>
          </w:rPr>
          <w:t xml:space="preserve">Parameter.io</w:t>
        </w:r>
      </w:hyperlink>
      <w:r>
        <w:rPr>
          <w:sz w:val="16"/>
        </w:rPr>
        <w:t xml:space="preserve">; </w:t>
      </w:r>
      <w:hyperlink r:id="rId26">
        <w:r>
          <w:rPr>
            <w:rFonts w:ascii="Times New Roman" w:hAnsi="Times New Roman"/>
            <w:color w:val="0563C1"/>
            <w:u w:val="single"/>
          </w:rPr>
          <w:t xml:space="preserve">Trading Economics (2026-10-13)</w:t>
        </w:r>
      </w:hyperlink>
    </w:p>
    <w:p>
      <w:r>
        <w:drawing>
          <wp:inline xmlns:a="http://schemas.openxmlformats.org/drawingml/2006/main" xmlns:pic="http://schemas.openxmlformats.org/drawingml/2006/picture">
            <wp:extent cx="5760720" cy="2658794"/>
            <wp:docPr id="8" name="Picture 8"/>
            <wp:cNvGraphicFramePr>
              <a:graphicFrameLocks noChangeAspect="1"/>
            </wp:cNvGraphicFramePr>
            <a:graphic>
              <a:graphicData uri="http://schemas.openxmlformats.org/drawingml/2006/picture">
                <pic:pic>
                  <pic:nvPicPr>
                    <pic:cNvPr id="0" name="f7_beat.png"/>
                    <pic:cNvPicPr/>
                  </pic:nvPicPr>
                  <pic:blipFill>
                    <a:blip r:embed="rId27"/>
                    <a:stretch>
                      <a:fillRect/>
                    </a:stretch>
                  </pic:blipFill>
                  <pic:spPr>
                    <a:xfrm>
                      <a:off x="0" y="0"/>
                      <a:ext cx="5760720" cy="2658794"/>
                    </a:xfrm>
                    <a:prstGeom prst="rect"/>
                  </pic:spPr>
                </pic:pic>
              </a:graphicData>
            </a:graphic>
          </wp:inline>
        </w:drawing>
      </w:r>
    </w:p>
    <w:p>
      <w:r>
        <w:rPr>
          <w:i/>
          <w:sz w:val="16"/>
        </w:rPr>
        <w:t xml:space="preserve">Source: Consensus as compiled by </w:t>
      </w:r>
      <w:hyperlink r:id="rId11">
        <w:r>
          <w:rPr>
            <w:rFonts w:ascii="Times New Roman" w:hAnsi="Times New Roman"/>
            <w:color w:val="0563C1"/>
            <w:u w:val="single"/>
          </w:rPr>
          <w:t xml:space="preserve">XTB</w:t>
        </w:r>
      </w:hyperlink>
      <w:r>
        <w:rPr>
          <w:sz w:val="16"/>
        </w:rPr>
        <w:t xml:space="preserve">; </w:t>
      </w:r>
      <w:hyperlink r:id="rId23">
        <w:r>
          <w:rPr>
            <w:rFonts w:ascii="Times New Roman" w:hAnsi="Times New Roman"/>
            <w:color w:val="0563C1"/>
            <w:u w:val="single"/>
          </w:rPr>
          <w:t xml:space="preserve">Parameter.io</w:t>
        </w:r>
      </w:hyperlink>
    </w:p>
    <w:p>
      <w:r>
        <w:br w:type="page"/>
      </w:r>
    </w:p>
    <w:p>
      <w:pPr>
        <w:pStyle w:val="Heading1"/>
      </w:pPr>
      <w:r>
        <w:t>7. Updated estimates</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
              <w:rPr>
                <w:b/>
                <w:sz w:val="17"/>
              </w:rPr>
              <w:t>USD m</w:t>
            </w:r>
          </w:p>
        </w:tc>
        <w:tc>
          <w:tcPr>
            <w:tcW w:type="dxa" w:w="1378"/>
          </w:tcPr>
          <w:p>
            <w:pPr>
              <w:jc w:val="right"/>
            </w:pPr>
            <w:r/>
            <w:r>
              <w:rPr>
                <w:b/>
                <w:sz w:val="17"/>
              </w:rPr>
              <w:t>Q1 FY27A</w:t>
            </w:r>
          </w:p>
        </w:tc>
        <w:tc>
          <w:tcPr>
            <w:tcW w:type="dxa" w:w="1378"/>
          </w:tcPr>
          <w:p>
            <w:pPr>
              <w:jc w:val="right"/>
            </w:pPr>
            <w:r/>
            <w:r>
              <w:rPr>
                <w:b/>
                <w:sz w:val="17"/>
              </w:rPr>
              <w:t>Q2 FY27A</w:t>
            </w:r>
          </w:p>
        </w:tc>
        <w:tc>
          <w:tcPr>
            <w:tcW w:type="dxa" w:w="1378"/>
          </w:tcPr>
          <w:p>
            <w:pPr>
              <w:jc w:val="right"/>
            </w:pPr>
            <w:r/>
            <w:r>
              <w:rPr>
                <w:b/>
                <w:sz w:val="17"/>
              </w:rPr>
              <w:t>Q3 FY27E</w:t>
            </w:r>
          </w:p>
        </w:tc>
        <w:tc>
          <w:tcPr>
            <w:tcW w:type="dxa" w:w="1378"/>
          </w:tcPr>
          <w:p>
            <w:pPr>
              <w:jc w:val="right"/>
            </w:pPr>
            <w:r/>
            <w:r>
              <w:rPr>
                <w:b/>
                <w:sz w:val="17"/>
              </w:rPr>
              <w:t>Q4 FY27E</w:t>
            </w:r>
          </w:p>
        </w:tc>
        <w:tc>
          <w:tcPr>
            <w:tcW w:type="dxa" w:w="1378"/>
          </w:tcPr>
          <w:p>
            <w:pPr>
              <w:jc w:val="right"/>
            </w:pPr>
            <w:r/>
            <w:r>
              <w:rPr>
                <w:b/>
                <w:sz w:val="17"/>
              </w:rPr>
              <w:t>FY27E</w:t>
            </w:r>
          </w:p>
        </w:tc>
        <w:tc>
          <w:tcPr>
            <w:tcW w:type="dxa" w:w="1378"/>
          </w:tcPr>
          <w:p>
            <w:pPr>
              <w:jc w:val="right"/>
            </w:pPr>
            <w:r/>
            <w:r>
              <w:rPr>
                <w:b/>
                <w:sz w:val="17"/>
              </w:rPr>
              <w:t>FY28E</w:t>
            </w:r>
          </w:p>
        </w:tc>
      </w:tr>
      <w:tr>
        <w:tc>
          <w:tcPr>
            <w:tcW w:type="dxa" w:w="1378"/>
          </w:tcPr>
          <w:p>
            <w:r/>
            <w:r>
              <w:rPr>
                <w:b w:val="0"/>
                <w:sz w:val="17"/>
              </w:rPr>
              <w:t>Revenue</w:t>
            </w:r>
          </w:p>
        </w:tc>
        <w:tc>
          <w:tcPr>
            <w:tcW w:type="dxa" w:w="1378"/>
          </w:tcPr>
          <w:p>
            <w:pPr>
              <w:jc w:val="right"/>
            </w:pPr>
            <w:r/>
            <w:r>
              <w:rPr>
                <w:b w:val="0"/>
                <w:sz w:val="17"/>
              </w:rPr>
              <w:t>81,615</w:t>
            </w:r>
          </w:p>
        </w:tc>
        <w:tc>
          <w:tcPr>
            <w:tcW w:type="dxa" w:w="1378"/>
          </w:tcPr>
          <w:p>
            <w:pPr>
              <w:jc w:val="right"/>
            </w:pPr>
            <w:r/>
            <w:r>
              <w:rPr>
                <w:b w:val="0"/>
                <w:sz w:val="17"/>
              </w:rPr>
              <w:t>96,221</w:t>
            </w:r>
          </w:p>
        </w:tc>
        <w:tc>
          <w:tcPr>
            <w:tcW w:type="dxa" w:w="1378"/>
          </w:tcPr>
          <w:p>
            <w:pPr>
              <w:jc w:val="right"/>
            </w:pPr>
            <w:r/>
            <w:r>
              <w:rPr>
                <w:b w:val="0"/>
                <w:sz w:val="17"/>
              </w:rPr>
              <w:t>110,000</w:t>
            </w:r>
          </w:p>
        </w:tc>
        <w:tc>
          <w:tcPr>
            <w:tcW w:type="dxa" w:w="1378"/>
          </w:tcPr>
          <w:p>
            <w:pPr>
              <w:jc w:val="right"/>
            </w:pPr>
            <w:r/>
            <w:r>
              <w:rPr>
                <w:b w:val="0"/>
                <w:sz w:val="17"/>
              </w:rPr>
              <w:t>122,000</w:t>
            </w:r>
          </w:p>
        </w:tc>
        <w:tc>
          <w:tcPr>
            <w:tcW w:type="dxa" w:w="1378"/>
          </w:tcPr>
          <w:p>
            <w:pPr>
              <w:jc w:val="right"/>
            </w:pPr>
            <w:r/>
            <w:r>
              <w:rPr>
                <w:b w:val="0"/>
                <w:sz w:val="17"/>
              </w:rPr>
              <w:t>409,836</w:t>
            </w:r>
          </w:p>
        </w:tc>
        <w:tc>
          <w:tcPr>
            <w:tcW w:type="dxa" w:w="1378"/>
          </w:tcPr>
          <w:p>
            <w:pPr>
              <w:jc w:val="right"/>
            </w:pPr>
            <w:r/>
            <w:r>
              <w:rPr>
                <w:b w:val="0"/>
                <w:sz w:val="17"/>
              </w:rPr>
              <w:t>635,000</w:t>
            </w:r>
          </w:p>
        </w:tc>
      </w:tr>
      <w:tr>
        <w:tc>
          <w:tcPr>
            <w:tcW w:type="dxa" w:w="1378"/>
          </w:tcPr>
          <w:p>
            <w:r/>
            <w:r>
              <w:rPr>
                <w:b w:val="0"/>
                <w:sz w:val="17"/>
              </w:rPr>
              <w:t>QoQ / YoY growth</w:t>
            </w:r>
          </w:p>
        </w:tc>
        <w:tc>
          <w:tcPr>
            <w:tcW w:type="dxa" w:w="1378"/>
          </w:tcPr>
          <w:p>
            <w:pPr>
              <w:jc w:val="right"/>
            </w:pPr>
            <w:r/>
            <w:r>
              <w:rPr>
                <w:b w:val="0"/>
                <w:sz w:val="17"/>
              </w:rPr>
              <w:t>+19.8% QoQ</w:t>
            </w:r>
          </w:p>
        </w:tc>
        <w:tc>
          <w:tcPr>
            <w:tcW w:type="dxa" w:w="1378"/>
          </w:tcPr>
          <w:p>
            <w:pPr>
              <w:jc w:val="right"/>
            </w:pPr>
            <w:r/>
            <w:r>
              <w:rPr>
                <w:b w:val="0"/>
                <w:sz w:val="17"/>
              </w:rPr>
              <w:t>+17.9% QoQ</w:t>
            </w:r>
          </w:p>
        </w:tc>
        <w:tc>
          <w:tcPr>
            <w:tcW w:type="dxa" w:w="1378"/>
          </w:tcPr>
          <w:p>
            <w:pPr>
              <w:jc w:val="right"/>
            </w:pPr>
            <w:r/>
            <w:r>
              <w:rPr>
                <w:b w:val="0"/>
                <w:sz w:val="17"/>
              </w:rPr>
              <w:t>+14.3% QoQ</w:t>
            </w:r>
          </w:p>
        </w:tc>
        <w:tc>
          <w:tcPr>
            <w:tcW w:type="dxa" w:w="1378"/>
          </w:tcPr>
          <w:p>
            <w:pPr>
              <w:jc w:val="right"/>
            </w:pPr>
            <w:r/>
            <w:r>
              <w:rPr>
                <w:b w:val="0"/>
                <w:sz w:val="17"/>
              </w:rPr>
              <w:t>+10.9% QoQ</w:t>
            </w:r>
          </w:p>
        </w:tc>
        <w:tc>
          <w:tcPr>
            <w:tcW w:type="dxa" w:w="1378"/>
          </w:tcPr>
          <w:p>
            <w:pPr>
              <w:jc w:val="right"/>
            </w:pPr>
            <w:r/>
            <w:r>
              <w:rPr>
                <w:b w:val="0"/>
                <w:sz w:val="17"/>
              </w:rPr>
              <w:t>+89.8% YoY</w:t>
            </w:r>
          </w:p>
        </w:tc>
        <w:tc>
          <w:tcPr>
            <w:tcW w:type="dxa" w:w="1378"/>
          </w:tcPr>
          <w:p>
            <w:pPr>
              <w:jc w:val="right"/>
            </w:pPr>
            <w:r/>
            <w:r>
              <w:rPr>
                <w:b w:val="0"/>
                <w:sz w:val="17"/>
              </w:rPr>
              <w:t>+54.9% YoY</w:t>
            </w:r>
          </w:p>
        </w:tc>
      </w:tr>
      <w:tr>
        <w:tc>
          <w:tcPr>
            <w:tcW w:type="dxa" w:w="1378"/>
          </w:tcPr>
          <w:p>
            <w:r/>
            <w:r>
              <w:rPr>
                <w:b w:val="0"/>
                <w:sz w:val="17"/>
              </w:rPr>
              <w:t>Non-GAAP gross margin</w:t>
            </w:r>
          </w:p>
        </w:tc>
        <w:tc>
          <w:tcPr>
            <w:tcW w:type="dxa" w:w="1378"/>
          </w:tcPr>
          <w:p>
            <w:pPr>
              <w:jc w:val="right"/>
            </w:pPr>
            <w:r/>
            <w:r>
              <w:rPr>
                <w:b w:val="0"/>
                <w:sz w:val="17"/>
              </w:rPr>
              <w:t>75.0%</w:t>
            </w:r>
          </w:p>
        </w:tc>
        <w:tc>
          <w:tcPr>
            <w:tcW w:type="dxa" w:w="1378"/>
          </w:tcPr>
          <w:p>
            <w:pPr>
              <w:jc w:val="right"/>
            </w:pPr>
            <w:r/>
            <w:r>
              <w:rPr>
                <w:b w:val="0"/>
                <w:sz w:val="17"/>
              </w:rPr>
              <w:t>75.0%</w:t>
            </w:r>
          </w:p>
        </w:tc>
        <w:tc>
          <w:tcPr>
            <w:tcW w:type="dxa" w:w="1378"/>
          </w:tcPr>
          <w:p>
            <w:pPr>
              <w:jc w:val="right"/>
            </w:pPr>
            <w:r/>
            <w:r>
              <w:rPr>
                <w:b w:val="0"/>
                <w:sz w:val="17"/>
              </w:rPr>
              <w:t>74.0%</w:t>
            </w:r>
          </w:p>
        </w:tc>
        <w:tc>
          <w:tcPr>
            <w:tcW w:type="dxa" w:w="1378"/>
          </w:tcPr>
          <w:p>
            <w:pPr>
              <w:jc w:val="right"/>
            </w:pPr>
            <w:r/>
            <w:r>
              <w:rPr>
                <w:b w:val="0"/>
                <w:sz w:val="17"/>
              </w:rPr>
              <w:t>73.5%</w:t>
            </w:r>
          </w:p>
        </w:tc>
        <w:tc>
          <w:tcPr>
            <w:tcW w:type="dxa" w:w="1378"/>
          </w:tcPr>
          <w:p>
            <w:pPr>
              <w:jc w:val="right"/>
            </w:pPr>
            <w:r/>
            <w:r>
              <w:rPr>
                <w:b w:val="0"/>
                <w:sz w:val="17"/>
              </w:rPr>
              <w:t>74.3%</w:t>
            </w:r>
          </w:p>
        </w:tc>
        <w:tc>
          <w:tcPr>
            <w:tcW w:type="dxa" w:w="1378"/>
          </w:tcPr>
          <w:p>
            <w:pPr>
              <w:jc w:val="right"/>
            </w:pPr>
            <w:r/>
            <w:r>
              <w:rPr>
                <w:b w:val="0"/>
                <w:sz w:val="17"/>
              </w:rPr>
              <w:t>73.0%</w:t>
            </w:r>
          </w:p>
        </w:tc>
      </w:tr>
      <w:tr>
        <w:tc>
          <w:tcPr>
            <w:tcW w:type="dxa" w:w="1378"/>
          </w:tcPr>
          <w:p>
            <w:r/>
            <w:r>
              <w:rPr>
                <w:b w:val="0"/>
                <w:sz w:val="17"/>
              </w:rPr>
              <w:t>Non-GAAP opex</w:t>
            </w:r>
          </w:p>
        </w:tc>
        <w:tc>
          <w:tcPr>
            <w:tcW w:type="dxa" w:w="1378"/>
          </w:tcPr>
          <w:p>
            <w:pPr>
              <w:jc w:val="right"/>
            </w:pPr>
            <w:r/>
            <w:r>
              <w:rPr>
                <w:b w:val="0"/>
                <w:sz w:val="17"/>
              </w:rPr>
              <w:t>7,449</w:t>
            </w:r>
          </w:p>
        </w:tc>
        <w:tc>
          <w:tcPr>
            <w:tcW w:type="dxa" w:w="1378"/>
          </w:tcPr>
          <w:p>
            <w:pPr>
              <w:jc w:val="right"/>
            </w:pPr>
            <w:r/>
            <w:r>
              <w:rPr>
                <w:b w:val="0"/>
                <w:sz w:val="17"/>
              </w:rPr>
              <w:t>8,232</w:t>
            </w:r>
          </w:p>
        </w:tc>
        <w:tc>
          <w:tcPr>
            <w:tcW w:type="dxa" w:w="1378"/>
          </w:tcPr>
          <w:p>
            <w:pPr>
              <w:jc w:val="right"/>
            </w:pPr>
            <w:r/>
            <w:r>
              <w:rPr>
                <w:b w:val="0"/>
                <w:sz w:val="17"/>
              </w:rPr>
              <w:t>9,000</w:t>
            </w:r>
          </w:p>
        </w:tc>
        <w:tc>
          <w:tcPr>
            <w:tcW w:type="dxa" w:w="1378"/>
          </w:tcPr>
          <w:p>
            <w:pPr>
              <w:jc w:val="right"/>
            </w:pPr>
            <w:r/>
            <w:r>
              <w:rPr>
                <w:b w:val="0"/>
                <w:sz w:val="17"/>
              </w:rPr>
              <w:t>9,800</w:t>
            </w:r>
          </w:p>
        </w:tc>
        <w:tc>
          <w:tcPr>
            <w:tcW w:type="dxa" w:w="1378"/>
          </w:tcPr>
          <w:p>
            <w:pPr>
              <w:jc w:val="right"/>
            </w:pPr>
            <w:r/>
            <w:r>
              <w:rPr>
                <w:b w:val="0"/>
                <w:sz w:val="17"/>
              </w:rPr>
              <w:t>34,481</w:t>
            </w:r>
          </w:p>
        </w:tc>
        <w:tc>
          <w:tcPr>
            <w:tcW w:type="dxa" w:w="1378"/>
          </w:tcPr>
          <w:p>
            <w:pPr>
              <w:jc w:val="right"/>
            </w:pPr>
            <w:r/>
            <w:r>
              <w:rPr>
                <w:b w:val="0"/>
                <w:sz w:val="17"/>
              </w:rPr>
              <w:t>42,000</w:t>
            </w:r>
          </w:p>
        </w:tc>
      </w:tr>
      <w:tr>
        <w:tc>
          <w:tcPr>
            <w:tcW w:type="dxa" w:w="1378"/>
          </w:tcPr>
          <w:p>
            <w:r/>
            <w:r>
              <w:rPr>
                <w:b w:val="0"/>
                <w:sz w:val="17"/>
              </w:rPr>
              <w:t>Non-GAAP operating income</w:t>
            </w:r>
          </w:p>
        </w:tc>
        <w:tc>
          <w:tcPr>
            <w:tcW w:type="dxa" w:w="1378"/>
          </w:tcPr>
          <w:p>
            <w:pPr>
              <w:jc w:val="right"/>
            </w:pPr>
            <w:r/>
            <w:r>
              <w:rPr>
                <w:b w:val="0"/>
                <w:sz w:val="17"/>
              </w:rPr>
              <w:t>53,783</w:t>
            </w:r>
          </w:p>
        </w:tc>
        <w:tc>
          <w:tcPr>
            <w:tcW w:type="dxa" w:w="1378"/>
          </w:tcPr>
          <w:p>
            <w:pPr>
              <w:jc w:val="right"/>
            </w:pPr>
            <w:r/>
            <w:r>
              <w:rPr>
                <w:b w:val="0"/>
                <w:sz w:val="17"/>
              </w:rPr>
              <w:t>63,956</w:t>
            </w:r>
          </w:p>
        </w:tc>
        <w:tc>
          <w:tcPr>
            <w:tcW w:type="dxa" w:w="1378"/>
          </w:tcPr>
          <w:p>
            <w:pPr>
              <w:jc w:val="right"/>
            </w:pPr>
            <w:r/>
            <w:r>
              <w:rPr>
                <w:b w:val="0"/>
                <w:sz w:val="17"/>
              </w:rPr>
              <w:t>72,400</w:t>
            </w:r>
          </w:p>
        </w:tc>
        <w:tc>
          <w:tcPr>
            <w:tcW w:type="dxa" w:w="1378"/>
          </w:tcPr>
          <w:p>
            <w:pPr>
              <w:jc w:val="right"/>
            </w:pPr>
            <w:r/>
            <w:r>
              <w:rPr>
                <w:b w:val="0"/>
                <w:sz w:val="17"/>
              </w:rPr>
              <w:t>79,870</w:t>
            </w:r>
          </w:p>
        </w:tc>
        <w:tc>
          <w:tcPr>
            <w:tcW w:type="dxa" w:w="1378"/>
          </w:tcPr>
          <w:p>
            <w:pPr>
              <w:jc w:val="right"/>
            </w:pPr>
            <w:r/>
            <w:r>
              <w:rPr>
                <w:b w:val="0"/>
                <w:sz w:val="17"/>
              </w:rPr>
              <w:t>270,009</w:t>
            </w:r>
          </w:p>
        </w:tc>
        <w:tc>
          <w:tcPr>
            <w:tcW w:type="dxa" w:w="1378"/>
          </w:tcPr>
          <w:p>
            <w:pPr>
              <w:jc w:val="right"/>
            </w:pPr>
            <w:r/>
            <w:r>
              <w:rPr>
                <w:b w:val="0"/>
                <w:sz w:val="17"/>
              </w:rPr>
              <w:t>421,550</w:t>
            </w:r>
          </w:p>
        </w:tc>
      </w:tr>
      <w:tr>
        <w:tc>
          <w:tcPr>
            <w:tcW w:type="dxa" w:w="1378"/>
          </w:tcPr>
          <w:p>
            <w:r/>
            <w:r>
              <w:rPr>
                <w:b w:val="0"/>
                <w:sz w:val="17"/>
              </w:rPr>
              <w:t>Non-GAAP diluted EPS (USD)</w:t>
            </w:r>
          </w:p>
        </w:tc>
        <w:tc>
          <w:tcPr>
            <w:tcW w:type="dxa" w:w="1378"/>
          </w:tcPr>
          <w:p>
            <w:pPr>
              <w:jc w:val="right"/>
            </w:pPr>
            <w:r/>
            <w:r>
              <w:rPr>
                <w:b w:val="0"/>
                <w:sz w:val="17"/>
              </w:rPr>
              <w:t>1.87</w:t>
            </w:r>
          </w:p>
        </w:tc>
        <w:tc>
          <w:tcPr>
            <w:tcW w:type="dxa" w:w="1378"/>
          </w:tcPr>
          <w:p>
            <w:pPr>
              <w:jc w:val="right"/>
            </w:pPr>
            <w:r/>
            <w:r>
              <w:rPr>
                <w:b w:val="0"/>
                <w:sz w:val="17"/>
              </w:rPr>
              <w:t>2.22</w:t>
            </w:r>
          </w:p>
        </w:tc>
        <w:tc>
          <w:tcPr>
            <w:tcW w:type="dxa" w:w="1378"/>
          </w:tcPr>
          <w:p>
            <w:pPr>
              <w:jc w:val="right"/>
            </w:pPr>
            <w:r/>
            <w:r>
              <w:rPr>
                <w:b w:val="0"/>
                <w:sz w:val="17"/>
              </w:rPr>
              <w:t>2.50</w:t>
            </w:r>
          </w:p>
        </w:tc>
        <w:tc>
          <w:tcPr>
            <w:tcW w:type="dxa" w:w="1378"/>
          </w:tcPr>
          <w:p>
            <w:pPr>
              <w:jc w:val="right"/>
            </w:pPr>
            <w:r/>
            <w:r>
              <w:rPr>
                <w:b w:val="0"/>
                <w:sz w:val="17"/>
              </w:rPr>
              <w:t>2.77</w:t>
            </w:r>
          </w:p>
        </w:tc>
        <w:tc>
          <w:tcPr>
            <w:tcW w:type="dxa" w:w="1378"/>
          </w:tcPr>
          <w:p>
            <w:pPr>
              <w:jc w:val="right"/>
            </w:pPr>
            <w:r/>
            <w:r>
              <w:rPr>
                <w:b w:val="0"/>
                <w:sz w:val="17"/>
              </w:rPr>
              <w:t>9.36</w:t>
            </w:r>
          </w:p>
        </w:tc>
        <w:tc>
          <w:tcPr>
            <w:tcW w:type="dxa" w:w="1378"/>
          </w:tcPr>
          <w:p>
            <w:pPr>
              <w:jc w:val="right"/>
            </w:pPr>
            <w:r/>
            <w:r>
              <w:rPr>
                <w:b w:val="0"/>
                <w:sz w:val="17"/>
              </w:rPr>
              <w:t>14.68</w:t>
            </w:r>
          </w:p>
        </w:tc>
      </w:tr>
      <w:tr>
        <w:tc>
          <w:tcPr>
            <w:tcW w:type="dxa" w:w="1378"/>
          </w:tcPr>
          <w:p>
            <w:r/>
            <w:r>
              <w:rPr>
                <w:b w:val="0"/>
                <w:sz w:val="17"/>
              </w:rPr>
              <w:t>Diluted shares (m)</w:t>
            </w:r>
          </w:p>
        </w:tc>
        <w:tc>
          <w:tcPr>
            <w:tcW w:type="dxa" w:w="1378"/>
          </w:tcPr>
          <w:p>
            <w:pPr>
              <w:jc w:val="right"/>
            </w:pPr>
            <w:r/>
            <w:r>
              <w:rPr>
                <w:b w:val="0"/>
                <w:sz w:val="17"/>
              </w:rPr>
              <w:t>24,391</w:t>
            </w:r>
          </w:p>
        </w:tc>
        <w:tc>
          <w:tcPr>
            <w:tcW w:type="dxa" w:w="1378"/>
          </w:tcPr>
          <w:p>
            <w:pPr>
              <w:jc w:val="right"/>
            </w:pPr>
            <w:r/>
            <w:r>
              <w:rPr>
                <w:b w:val="0"/>
                <w:sz w:val="17"/>
              </w:rPr>
              <w:t>24,285</w:t>
            </w:r>
          </w:p>
        </w:tc>
        <w:tc>
          <w:tcPr>
            <w:tcW w:type="dxa" w:w="1378"/>
          </w:tcPr>
          <w:p>
            <w:pPr>
              <w:jc w:val="right"/>
            </w:pPr>
            <w:r/>
            <w:r>
              <w:rPr>
                <w:b w:val="0"/>
                <w:sz w:val="17"/>
              </w:rPr>
              <w:t>24,200</w:t>
            </w:r>
          </w:p>
        </w:tc>
        <w:tc>
          <w:tcPr>
            <w:tcW w:type="dxa" w:w="1378"/>
          </w:tcPr>
          <w:p>
            <w:pPr>
              <w:jc w:val="right"/>
            </w:pPr>
            <w:r/>
            <w:r>
              <w:rPr>
                <w:b w:val="0"/>
                <w:sz w:val="17"/>
              </w:rPr>
              <w:t>24,150</w:t>
            </w:r>
          </w:p>
        </w:tc>
        <w:tc>
          <w:tcPr>
            <w:tcW w:type="dxa" w:w="1378"/>
          </w:tcPr>
          <w:p>
            <w:pPr>
              <w:jc w:val="right"/>
            </w:pPr>
            <w:r/>
            <w:r>
              <w:rPr>
                <w:b w:val="0"/>
                <w:sz w:val="17"/>
              </w:rPr>
              <w:t>24,257</w:t>
            </w:r>
          </w:p>
        </w:tc>
        <w:tc>
          <w:tcPr>
            <w:tcW w:type="dxa" w:w="1378"/>
          </w:tcPr>
          <w:p>
            <w:pPr>
              <w:jc w:val="right"/>
            </w:pPr>
            <w:r/>
            <w:r>
              <w:rPr>
                <w:b w:val="0"/>
                <w:sz w:val="17"/>
              </w:rPr>
              <w:t>24,000</w:t>
            </w:r>
          </w:p>
        </w:tc>
      </w:tr>
    </w:tbl>
    <w:p>
      <w:r>
        <w:rPr>
          <w:i/>
          <w:sz w:val="16"/>
        </w:rPr>
        <w:t xml:space="preserve">Source: Q1-Q2 actuals per company releases; Q3 FY27E onward analyst estimates. Assumes 17% tax, $0.5-0.6bn quarterly non-operating income ex-equity gains. </w:t>
      </w:r>
      <w:hyperlink r:id="rId19">
        <w:r>
          <w:rPr>
            <w:rFonts w:ascii="Times New Roman" w:hAnsi="Times New Roman"/>
            <w:color w:val="0563C1"/>
            <w:u w:val="single"/>
          </w:rPr>
          <w:t xml:space="preserve">Q2 FY27 release tables</w:t>
        </w:r>
      </w:hyperlink>
    </w:p>
    <w:p>
      <w:pPr>
        <w:spacing w:after="120"/>
      </w:pPr>
      <w:r>
        <w:t>What changed. Our FY27E revenue rises 7.3% to $409,836m, entirely because the Q2 beat and Q3 guide sit well above our pre-print baseline. FY28E revenue rises to $635,000m (+54.9% YoY). We deliberately stay below management's ~70% growth framing because (1) the supply commitments imply component cost inflation that may be partly passed through but could also cap units, (2) China remains at zero, and (3) the neocloud cohort's financing has become tighter. Gross margin is trimmed 50bp in FY28E to 73.0% to reflect memory costs. FY28E non-GAAP EPS rises 13.8% to $14.68.</w:t>
      </w:r>
    </w:p>
    <w:p>
      <w:r>
        <w:drawing>
          <wp:inline xmlns:a="http://schemas.openxmlformats.org/drawingml/2006/main" xmlns:pic="http://schemas.openxmlformats.org/drawingml/2006/picture">
            <wp:extent cx="5760720" cy="2658794"/>
            <wp:docPr id="9" name="Picture 9"/>
            <wp:cNvGraphicFramePr>
              <a:graphicFrameLocks noChangeAspect="1"/>
            </wp:cNvGraphicFramePr>
            <a:graphic>
              <a:graphicData uri="http://schemas.openxmlformats.org/drawingml/2006/picture">
                <pic:pic>
                  <pic:nvPicPr>
                    <pic:cNvPr id="0" name="f8_revisions.png"/>
                    <pic:cNvPicPr/>
                  </pic:nvPicPr>
                  <pic:blipFill>
                    <a:blip r:embed="rId28"/>
                    <a:stretch>
                      <a:fillRect/>
                    </a:stretch>
                  </pic:blipFill>
                  <pic:spPr>
                    <a:xfrm>
                      <a:off x="0" y="0"/>
                      <a:ext cx="5760720" cy="2658794"/>
                    </a:xfrm>
                    <a:prstGeom prst="rect"/>
                  </pic:spPr>
                </pic:pic>
              </a:graphicData>
            </a:graphic>
          </wp:inline>
        </w:drawing>
      </w:r>
    </w:p>
    <w:p>
      <w:r>
        <w:rPr>
          <w:i/>
          <w:sz w:val="16"/>
        </w:rPr>
        <w:t xml:space="preserve">Source: Analyst estimates </w:t>
      </w:r>
      <w:hyperlink r:id="rId9">
        <w:r>
          <w:rPr>
            <w:rFonts w:ascii="Times New Roman" w:hAnsi="Times New Roman"/>
            <w:color w:val="0563C1"/>
            <w:u w:val="single"/>
          </w:rPr>
          <w:t xml:space="preserve">Q2 FY27 release</w:t>
        </w:r>
      </w:hyperlink>
    </w:p>
    <w:p>
      <w:pPr>
        <w:pStyle w:val="Heading1"/>
      </w:pPr>
      <w:r>
        <w:t>8. Thesis impact: positive</w:t>
      </w:r>
    </w:p>
    <w:p>
      <w:pPr>
        <w:spacing w:after="120"/>
      </w:pPr>
      <w:r>
        <w:t>Our BUY thesis rests on three pillars: (1) NVIDIA is the system-level standard for AI training and inference, with networking and software extending the moat beyond the GPU; (2) AI infrastructure spending broadens from hyperscalers to sovereigns, neoclouds and enterprise; and (3) operating leverage keeps operating margins above 60% through product transitions. Q2 strengthened all three.</w:t>
      </w:r>
    </w:p>
    <w:p>
      <w:pPr>
        <w:spacing w:after="120"/>
      </w:pPr>
      <w:r>
        <w:rPr>
          <w:b/>
        </w:rPr>
        <w:t xml:space="preserve">■ Pillar 1 intact. </w:t>
      </w:r>
      <w:r>
        <w:t>Data Center growth re-accelerated to 116.6% YoY, networking attach is rising, and the AWS 2-million-GPU agreement plus a reported $150-200bn Ohio campus opportunity extend visibility into 2027-2028.</w:t>
      </w:r>
    </w:p>
    <w:p>
      <w:pPr>
        <w:spacing w:after="120"/>
      </w:pPr>
      <w:r>
        <w:rPr>
          <w:b/>
        </w:rPr>
        <w:t xml:space="preserve">■ Pillar 2 strengthened. </w:t>
      </w:r>
      <w:r>
        <w:t>AI Clouds, Industrial &amp; Enterprise grew 138.1% YoY and is approaching parity with Hyperscale. Neocloud partners are expected to reach about 8 GW of installed capacity by year-end.</w:t>
      </w:r>
    </w:p>
    <w:p>
      <w:pPr>
        <w:spacing w:after="120"/>
      </w:pPr>
      <w:r>
        <w:rPr>
          <w:b/>
        </w:rPr>
        <w:t xml:space="preserve">■ Pillar 3 holding, with a caveat. </w:t>
      </w:r>
      <w:r>
        <w:t>Operating margin hit 66.2%, but the 74% gross-margin guide and memory-driven commitments mean margin expansion has likely peaked for this cycle. We model gently declining gross margin through FY28 and still see operating margin above 64%.</w:t>
      </w:r>
    </w:p>
    <w:p>
      <w:pPr>
        <w:pStyle w:val="Heading2"/>
      </w:pPr>
      <w:r>
        <w:t>What changed</w:t>
      </w:r>
    </w:p>
    <w:p>
      <w:pPr>
        <w:spacing w:after="120"/>
      </w:pPr>
      <w:r>
        <w:t>New: management's FY28 growth framing (~70%), a doubling of supply commitments to $279bn, a step-down in gross-margin guidance, a sharp working-capital build and the move to two market platforms, which removes Gaming visibility. Unchanged: China excluded from guidance; capital return pace (~$26bn per quarter).</w:t>
      </w:r>
    </w:p>
    <w:p>
      <w:pPr>
        <w:pStyle w:val="Heading2"/>
      </w:pPr>
      <w:r>
        <w:t>Key risks</w:t>
      </w:r>
    </w:p>
    <w:p>
      <w:pPr>
        <w:pStyle w:val="ListBullet"/>
      </w:pPr>
      <w:r>
        <w:t>Margin compression beyond our 73% FY28 assumption if memory costs cannot be passed through.</w:t>
      </w:r>
    </w:p>
    <w:p>
      <w:pPr>
        <w:pStyle w:val="ListBullet"/>
      </w:pPr>
      <w:r>
        <w:t>Customer concentration: three direct customers were 44% of revenue; neocloud credit risk after the financing pause.</w:t>
      </w:r>
    </w:p>
    <w:p>
      <w:pPr>
        <w:pStyle w:val="ListBullet"/>
      </w:pPr>
      <w:r>
        <w:t>Receivables and inventory build could foreshadow digestion if hyperscaler capex growth slows in CY2027.</w:t>
      </w:r>
    </w:p>
    <w:p>
      <w:pPr>
        <w:pStyle w:val="ListBullet"/>
      </w:pPr>
      <w:r>
        <w:t>Export controls: China upside is excluded, but further restrictions on other regions are a tail risk.</w:t>
      </w:r>
    </w:p>
    <w:p>
      <w:pPr>
        <w:pStyle w:val="ListBullet"/>
      </w:pPr>
      <w:r>
        <w:t>Supply chain: CoWoS, HBM4 and power availability gate shipments regardless of demand.</w:t>
      </w:r>
    </w:p>
    <w:p>
      <w:pPr>
        <w:pStyle w:val="Heading2"/>
      </w:pPr>
      <w:r>
        <w:t>Upcoming catalysts</w:t>
      </w:r>
    </w:p>
    <w:p>
      <w:pPr>
        <w:pStyle w:val="ListBullet"/>
      </w:pPr>
      <w:r>
        <w:t>Q3 FY27 results, expected in the second half of November 2026.</w:t>
      </w:r>
    </w:p>
    <w:p>
      <w:pPr>
        <w:pStyle w:val="ListBullet"/>
      </w:pPr>
      <w:r>
        <w:t>Vera Rubin volume ramp and NVL144 rack shipments through 2H CY2026.</w:t>
      </w:r>
    </w:p>
    <w:p>
      <w:pPr>
        <w:pStyle w:val="ListBullet"/>
      </w:pPr>
      <w:r>
        <w:t>Any change in US export licensing for China data center compute.</w:t>
      </w:r>
    </w:p>
    <w:p>
      <w:pPr>
        <w:pStyle w:val="ListBullet"/>
      </w:pPr>
      <w:r>
        <w:t>GTC DC / hyperscaler CY2027 capex guidance in late-2026 and early-2027 earnings.</w:t>
      </w:r>
    </w:p>
    <w:p>
      <w:pPr>
        <w:pStyle w:val="Heading1"/>
      </w:pPr>
      <w:r>
        <w:t>9. Valuation and price target</w:t>
      </w:r>
    </w:p>
    <w:p>
      <w:pPr>
        <w:spacing w:after="120"/>
      </w:pPr>
      <w:r>
        <w:t>We set a 12-month price target of $320, based on 22x our FY28E non-GAAP EPS of $14.68 ($323, rounded down). 22x is a discount to NVIDIA's three-year average forward P/E (low-30s) and reflects the plateau in gross margin and higher working-capital intensity, but it is a premium to the semiconductor group for roughly 55% growth. At $228.42 the stock trades at 24.4x FY27E and 15.6x FY28E EPS, which we think understates the earnings power implied by the $279bn of commitments. Our target sits close to the FactSet median target of $316.60 (57 Buy, 7 Overweight, 2 Hold, 1 Sell as of 2026-08-28).</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7"/>
              </w:rPr>
              <w:t>Scenario</w:t>
            </w:r>
          </w:p>
        </w:tc>
        <w:tc>
          <w:tcPr>
            <w:tcW w:type="dxa" w:w="1608"/>
          </w:tcPr>
          <w:p>
            <w:pPr>
              <w:jc w:val="right"/>
            </w:pPr>
            <w:r/>
            <w:r>
              <w:rPr>
                <w:b/>
                <w:sz w:val="17"/>
              </w:rPr>
              <w:t>FY28E revenue (USD m)</w:t>
            </w:r>
          </w:p>
        </w:tc>
        <w:tc>
          <w:tcPr>
            <w:tcW w:type="dxa" w:w="1608"/>
          </w:tcPr>
          <w:p>
            <w:pPr>
              <w:jc w:val="right"/>
            </w:pPr>
            <w:r/>
            <w:r>
              <w:rPr>
                <w:b/>
                <w:sz w:val="17"/>
              </w:rPr>
              <w:t>FY28E EPS (USD)</w:t>
            </w:r>
          </w:p>
        </w:tc>
        <w:tc>
          <w:tcPr>
            <w:tcW w:type="dxa" w:w="1608"/>
          </w:tcPr>
          <w:p>
            <w:pPr>
              <w:jc w:val="right"/>
            </w:pPr>
            <w:r/>
            <w:r>
              <w:rPr>
                <w:b/>
                <w:sz w:val="17"/>
              </w:rPr>
              <w:t>Multiple</w:t>
            </w:r>
          </w:p>
        </w:tc>
        <w:tc>
          <w:tcPr>
            <w:tcW w:type="dxa" w:w="1608"/>
          </w:tcPr>
          <w:p>
            <w:pPr>
              <w:jc w:val="right"/>
            </w:pPr>
            <w:r/>
            <w:r>
              <w:rPr>
                <w:b/>
                <w:sz w:val="17"/>
              </w:rPr>
              <w:t>Value (USD)</w:t>
            </w:r>
          </w:p>
        </w:tc>
        <w:tc>
          <w:tcPr>
            <w:tcW w:type="dxa" w:w="1608"/>
          </w:tcPr>
          <w:p>
            <w:pPr>
              <w:jc w:val="right"/>
            </w:pPr>
            <w:r/>
            <w:r>
              <w:rPr>
                <w:b/>
                <w:sz w:val="17"/>
              </w:rPr>
              <w:t>vs price</w:t>
            </w:r>
          </w:p>
        </w:tc>
      </w:tr>
      <w:tr>
        <w:tc>
          <w:tcPr>
            <w:tcW w:type="dxa" w:w="1608"/>
          </w:tcPr>
          <w:p>
            <w:r/>
            <w:r>
              <w:rPr>
                <w:b w:val="0"/>
                <w:sz w:val="17"/>
              </w:rPr>
              <w:t>Bear: digestion, GM 70%</w:t>
            </w:r>
          </w:p>
        </w:tc>
        <w:tc>
          <w:tcPr>
            <w:tcW w:type="dxa" w:w="1608"/>
          </w:tcPr>
          <w:p>
            <w:pPr>
              <w:jc w:val="right"/>
            </w:pPr>
            <w:r/>
            <w:r>
              <w:rPr>
                <w:b w:val="0"/>
                <w:sz w:val="17"/>
              </w:rPr>
              <w:t>500,000</w:t>
            </w:r>
          </w:p>
        </w:tc>
        <w:tc>
          <w:tcPr>
            <w:tcW w:type="dxa" w:w="1608"/>
          </w:tcPr>
          <w:p>
            <w:pPr>
              <w:jc w:val="right"/>
            </w:pPr>
            <w:r/>
            <w:r>
              <w:rPr>
                <w:b w:val="0"/>
                <w:sz w:val="17"/>
              </w:rPr>
              <w:t>10.80</w:t>
            </w:r>
          </w:p>
        </w:tc>
        <w:tc>
          <w:tcPr>
            <w:tcW w:type="dxa" w:w="1608"/>
          </w:tcPr>
          <w:p>
            <w:pPr>
              <w:jc w:val="right"/>
            </w:pPr>
            <w:r/>
            <w:r>
              <w:rPr>
                <w:b w:val="0"/>
                <w:sz w:val="17"/>
              </w:rPr>
              <w:t>17.5x</w:t>
            </w:r>
          </w:p>
        </w:tc>
        <w:tc>
          <w:tcPr>
            <w:tcW w:type="dxa" w:w="1608"/>
          </w:tcPr>
          <w:p>
            <w:pPr>
              <w:jc w:val="right"/>
            </w:pPr>
            <w:r/>
            <w:r>
              <w:rPr>
                <w:b w:val="0"/>
                <w:sz w:val="17"/>
              </w:rPr>
              <w:t>190</w:t>
            </w:r>
          </w:p>
        </w:tc>
        <w:tc>
          <w:tcPr>
            <w:tcW w:type="dxa" w:w="1608"/>
          </w:tcPr>
          <w:p>
            <w:pPr>
              <w:jc w:val="right"/>
            </w:pPr>
            <w:r/>
            <w:r>
              <w:rPr>
                <w:b w:val="0"/>
                <w:sz w:val="17"/>
              </w:rPr>
              <w:t>-16.8%</w:t>
            </w:r>
          </w:p>
        </w:tc>
      </w:tr>
      <w:tr>
        <w:tc>
          <w:tcPr>
            <w:tcW w:type="dxa" w:w="1608"/>
          </w:tcPr>
          <w:p>
            <w:r/>
            <w:r>
              <w:rPr>
                <w:b w:val="0"/>
                <w:sz w:val="17"/>
              </w:rPr>
              <w:t>Base</w:t>
            </w:r>
          </w:p>
        </w:tc>
        <w:tc>
          <w:tcPr>
            <w:tcW w:type="dxa" w:w="1608"/>
          </w:tcPr>
          <w:p>
            <w:pPr>
              <w:jc w:val="right"/>
            </w:pPr>
            <w:r/>
            <w:r>
              <w:rPr>
                <w:b w:val="0"/>
                <w:sz w:val="17"/>
              </w:rPr>
              <w:t>635,000</w:t>
            </w:r>
          </w:p>
        </w:tc>
        <w:tc>
          <w:tcPr>
            <w:tcW w:type="dxa" w:w="1608"/>
          </w:tcPr>
          <w:p>
            <w:pPr>
              <w:jc w:val="right"/>
            </w:pPr>
            <w:r/>
            <w:r>
              <w:rPr>
                <w:b w:val="0"/>
                <w:sz w:val="17"/>
              </w:rPr>
              <w:t>14.68</w:t>
            </w:r>
          </w:p>
        </w:tc>
        <w:tc>
          <w:tcPr>
            <w:tcW w:type="dxa" w:w="1608"/>
          </w:tcPr>
          <w:p>
            <w:pPr>
              <w:jc w:val="right"/>
            </w:pPr>
            <w:r/>
            <w:r>
              <w:rPr>
                <w:b w:val="0"/>
                <w:sz w:val="17"/>
              </w:rPr>
              <w:t>22.0x</w:t>
            </w:r>
          </w:p>
        </w:tc>
        <w:tc>
          <w:tcPr>
            <w:tcW w:type="dxa" w:w="1608"/>
          </w:tcPr>
          <w:p>
            <w:pPr>
              <w:jc w:val="right"/>
            </w:pPr>
            <w:r/>
            <w:r>
              <w:rPr>
                <w:b w:val="0"/>
                <w:sz w:val="17"/>
              </w:rPr>
              <w:t>320</w:t>
            </w:r>
          </w:p>
        </w:tc>
        <w:tc>
          <w:tcPr>
            <w:tcW w:type="dxa" w:w="1608"/>
          </w:tcPr>
          <w:p>
            <w:pPr>
              <w:jc w:val="right"/>
            </w:pPr>
            <w:r/>
            <w:r>
              <w:rPr>
                <w:b w:val="0"/>
                <w:sz w:val="17"/>
              </w:rPr>
              <w:t>+40.1%</w:t>
            </w:r>
          </w:p>
        </w:tc>
      </w:tr>
      <w:tr>
        <w:tc>
          <w:tcPr>
            <w:tcW w:type="dxa" w:w="1608"/>
          </w:tcPr>
          <w:p>
            <w:r/>
            <w:r>
              <w:rPr>
                <w:b w:val="0"/>
                <w:sz w:val="17"/>
              </w:rPr>
              <w:t>Bull: mgmt ~70% growth, GM 74%</w:t>
            </w:r>
          </w:p>
        </w:tc>
        <w:tc>
          <w:tcPr>
            <w:tcW w:type="dxa" w:w="1608"/>
          </w:tcPr>
          <w:p>
            <w:pPr>
              <w:jc w:val="right"/>
            </w:pPr>
            <w:r/>
            <w:r>
              <w:rPr>
                <w:b w:val="0"/>
                <w:sz w:val="17"/>
              </w:rPr>
              <w:t>697,000</w:t>
            </w:r>
          </w:p>
        </w:tc>
        <w:tc>
          <w:tcPr>
            <w:tcW w:type="dxa" w:w="1608"/>
          </w:tcPr>
          <w:p>
            <w:pPr>
              <w:jc w:val="right"/>
            </w:pPr>
            <w:r/>
            <w:r>
              <w:rPr>
                <w:b w:val="0"/>
                <w:sz w:val="17"/>
              </w:rPr>
              <w:t>16.80</w:t>
            </w:r>
          </w:p>
        </w:tc>
        <w:tc>
          <w:tcPr>
            <w:tcW w:type="dxa" w:w="1608"/>
          </w:tcPr>
          <w:p>
            <w:pPr>
              <w:jc w:val="right"/>
            </w:pPr>
            <w:r/>
            <w:r>
              <w:rPr>
                <w:b w:val="0"/>
                <w:sz w:val="17"/>
              </w:rPr>
              <w:t>24.5x</w:t>
            </w:r>
          </w:p>
        </w:tc>
        <w:tc>
          <w:tcPr>
            <w:tcW w:type="dxa" w:w="1608"/>
          </w:tcPr>
          <w:p>
            <w:pPr>
              <w:jc w:val="right"/>
            </w:pPr>
            <w:r/>
            <w:r>
              <w:rPr>
                <w:b w:val="0"/>
                <w:sz w:val="17"/>
              </w:rPr>
              <w:t>410</w:t>
            </w:r>
          </w:p>
        </w:tc>
        <w:tc>
          <w:tcPr>
            <w:tcW w:type="dxa" w:w="1608"/>
          </w:tcPr>
          <w:p>
            <w:pPr>
              <w:jc w:val="right"/>
            </w:pPr>
            <w:r/>
            <w:r>
              <w:rPr>
                <w:b w:val="0"/>
                <w:sz w:val="17"/>
              </w:rPr>
              <w:t>+79.5%</w:t>
            </w:r>
          </w:p>
        </w:tc>
      </w:tr>
    </w:tbl>
    <w:p>
      <w:r>
        <w:rPr>
          <w:i/>
          <w:sz w:val="16"/>
        </w:rPr>
        <w:t xml:space="preserve">Source: Analyst estimates; price per </w:t>
      </w:r>
      <w:hyperlink r:id="rId26">
        <w:r>
          <w:rPr>
            <w:rFonts w:ascii="Times New Roman" w:hAnsi="Times New Roman"/>
            <w:color w:val="0563C1"/>
            <w:u w:val="single"/>
          </w:rPr>
          <w:t xml:space="preserve">Trading Economics, close 2026-10-13</w:t>
        </w:r>
      </w:hyperlink>
    </w:p>
    <w:p>
      <w:r>
        <w:drawing>
          <wp:inline xmlns:a="http://schemas.openxmlformats.org/drawingml/2006/main" xmlns:pic="http://schemas.openxmlformats.org/drawingml/2006/picture">
            <wp:extent cx="5760720" cy="2658794"/>
            <wp:docPr id="10" name="Picture 10"/>
            <wp:cNvGraphicFramePr>
              <a:graphicFrameLocks noChangeAspect="1"/>
            </wp:cNvGraphicFramePr>
            <a:graphic>
              <a:graphicData uri="http://schemas.openxmlformats.org/drawingml/2006/picture">
                <pic:pic>
                  <pic:nvPicPr>
                    <pic:cNvPr id="0" name="f10_scen.png"/>
                    <pic:cNvPicPr/>
                  </pic:nvPicPr>
                  <pic:blipFill>
                    <a:blip r:embed="rId29"/>
                    <a:stretch>
                      <a:fillRect/>
                    </a:stretch>
                  </pic:blipFill>
                  <pic:spPr>
                    <a:xfrm>
                      <a:off x="0" y="0"/>
                      <a:ext cx="5760720" cy="2658794"/>
                    </a:xfrm>
                    <a:prstGeom prst="rect"/>
                  </pic:spPr>
                </pic:pic>
              </a:graphicData>
            </a:graphic>
          </wp:inline>
        </w:drawing>
      </w:r>
    </w:p>
    <w:p>
      <w:r>
        <w:rPr>
          <w:i/>
          <w:sz w:val="16"/>
        </w:rPr>
        <w:t xml:space="preserve">Source: Analyst estimates </w:t>
      </w:r>
      <w:hyperlink r:id="rId26">
        <w:r>
          <w:rPr>
            <w:rFonts w:ascii="Times New Roman" w:hAnsi="Times New Roman"/>
            <w:color w:val="0563C1"/>
            <w:u w:val="single"/>
          </w:rPr>
          <w:t xml:space="preserve">Trading Economics</w:t>
        </w:r>
      </w:hyperlink>
    </w:p>
    <w:p>
      <w:pPr>
        <w:spacing w:after="120"/>
      </w:pPr>
      <w:r>
        <w:t>Conclusion. Q2 FY27 was a clean beat with a strong guide; the debate has shifted from demand to margins and cash conversion. We think both are explainable by the Rubin transition and the supply pre-buys, and we would use margin-driven weakness to add. Maintain BUY, $320 target.</w:t>
      </w:r>
    </w:p>
    <w:p>
      <w:pPr>
        <w:pStyle w:val="Heading1"/>
      </w:pPr>
      <w:r>
        <w:t>Sources and references</w:t>
      </w:r>
    </w:p>
    <w:p>
      <w:pPr>
        <w:pStyle w:val="ListBullet"/>
      </w:pPr>
      <w:hyperlink r:id="rId9">
        <w:r>
          <w:rPr>
            <w:rFonts w:ascii="Times New Roman" w:hAnsi="Times New Roman"/>
            <w:color w:val="0563C1"/>
            <w:u w:val="single"/>
          </w:rPr>
          <w:t xml:space="preserve">NVIDIA Q2 FY27 earnings release (2026-08-26), text via StorageNewsletter</w:t>
        </w:r>
      </w:hyperlink>
    </w:p>
    <w:p>
      <w:pPr>
        <w:pStyle w:val="ListBullet"/>
      </w:pPr>
      <w:hyperlink r:id="rId19">
        <w:r>
          <w:rPr>
            <w:rFonts w:ascii="Times New Roman" w:hAnsi="Times New Roman"/>
            <w:color w:val="0563C1"/>
            <w:u w:val="single"/>
          </w:rPr>
          <w:t xml:space="preserve">NVIDIA Q2 FY27 earnings release with financial tables (PDF copy)</w:t>
        </w:r>
      </w:hyperlink>
    </w:p>
    <w:p>
      <w:pPr>
        <w:pStyle w:val="ListBullet"/>
      </w:pPr>
      <w:hyperlink r:id="rId10">
        <w:r>
          <w:rPr>
            <w:rFonts w:ascii="Times New Roman" w:hAnsi="Times New Roman"/>
            <w:color w:val="0563C1"/>
            <w:u w:val="single"/>
          </w:rPr>
          <w:t xml:space="preserve">Form 10-Q for quarter ended 2026-07-26, filed 2026-08-26 (SEC EDGAR)</w:t>
        </w:r>
      </w:hyperlink>
    </w:p>
    <w:p>
      <w:pPr>
        <w:pStyle w:val="ListBullet"/>
      </w:pPr>
      <w:hyperlink r:id="rId14">
        <w:r>
          <w:rPr>
            <w:rFonts w:ascii="Times New Roman" w:hAnsi="Times New Roman"/>
            <w:color w:val="0563C1"/>
            <w:u w:val="single"/>
          </w:rPr>
          <w:t xml:space="preserve">Form 10-Q text (OpenCapital mirror, accession 0001045810-26-000075)</w:t>
        </w:r>
      </w:hyperlink>
    </w:p>
    <w:p>
      <w:pPr>
        <w:pStyle w:val="ListBullet"/>
      </w:pPr>
      <w:hyperlink r:id="rId13">
        <w:r>
          <w:rPr>
            <w:rFonts w:ascii="Times New Roman" w:hAnsi="Times New Roman"/>
            <w:color w:val="0563C1"/>
            <w:u w:val="single"/>
          </w:rPr>
          <w:t xml:space="preserve">NVIDIA Q4 FY26 earnings release, Form 8-K (2026-02-25)</w:t>
        </w:r>
      </w:hyperlink>
    </w:p>
    <w:p>
      <w:pPr>
        <w:pStyle w:val="ListBullet"/>
      </w:pPr>
      <w:hyperlink r:id="rId11">
        <w:r>
          <w:rPr>
            <w:rFonts w:ascii="Times New Roman" w:hAnsi="Times New Roman"/>
            <w:color w:val="0563C1"/>
            <w:u w:val="single"/>
          </w:rPr>
          <w:t xml:space="preserve">XTB: consensus and stock reaction (2026-08-26)</w:t>
        </w:r>
      </w:hyperlink>
    </w:p>
    <w:p>
      <w:pPr>
        <w:pStyle w:val="ListBullet"/>
      </w:pPr>
      <w:hyperlink r:id="rId23">
        <w:r>
          <w:rPr>
            <w:rFonts w:ascii="Times New Roman" w:hAnsi="Times New Roman"/>
            <w:color w:val="0563C1"/>
            <w:u w:val="single"/>
          </w:rPr>
          <w:t xml:space="preserve">Parameter.io: consensus, closing price 2026-08-26 and after-hours move</w:t>
        </w:r>
      </w:hyperlink>
    </w:p>
    <w:p>
      <w:pPr>
        <w:pStyle w:val="ListBullet"/>
      </w:pPr>
      <w:hyperlink r:id="rId24">
        <w:r>
          <w:rPr>
            <w:rFonts w:ascii="Times New Roman" w:hAnsi="Times New Roman"/>
            <w:color w:val="0563C1"/>
            <w:u w:val="single"/>
          </w:rPr>
          <w:t xml:space="preserve">24/7 Wall St: 2026-08-27 price move</w:t>
        </w:r>
      </w:hyperlink>
    </w:p>
    <w:p>
      <w:pPr>
        <w:pStyle w:val="ListBullet"/>
      </w:pPr>
      <w:hyperlink r:id="rId25">
        <w:r>
          <w:rPr>
            <w:rFonts w:ascii="Times New Roman" w:hAnsi="Times New Roman"/>
            <w:color w:val="0563C1"/>
            <w:u w:val="single"/>
          </w:rPr>
          <w:t xml:space="preserve">TS2: 2026-08-28 move and FactSet ratings/targets</w:t>
        </w:r>
      </w:hyperlink>
    </w:p>
    <w:p>
      <w:pPr>
        <w:pStyle w:val="ListBullet"/>
      </w:pPr>
      <w:hyperlink r:id="rId26">
        <w:r>
          <w:rPr>
            <w:rFonts w:ascii="Times New Roman" w:hAnsi="Times New Roman"/>
            <w:color w:val="0563C1"/>
            <w:u w:val="single"/>
          </w:rPr>
          <w:t xml:space="preserve">Trading Economics: NVDA price, 2026-10-13</w:t>
        </w:r>
      </w:hyperlink>
    </w:p>
    <w:p>
      <w:pPr>
        <w:pStyle w:val="ListBullet"/>
      </w:pPr>
      <w:hyperlink r:id="rId15">
        <w:r>
          <w:rPr>
            <w:rFonts w:ascii="Times New Roman" w:hAnsi="Times New Roman"/>
            <w:color w:val="0563C1"/>
            <w:u w:val="single"/>
          </w:rPr>
          <w:t xml:space="preserve">Digital Citizen: Edge Computing segment change (2026-05-21)</w:t>
        </w:r>
      </w:hyperlink>
    </w:p>
    <w:p>
      <w:pPr>
        <w:pStyle w:val="ListBullet"/>
      </w:pPr>
      <w:hyperlink r:id="rId30">
        <w:r>
          <w:rPr>
            <w:rFonts w:ascii="Times New Roman" w:hAnsi="Times New Roman"/>
            <w:color w:val="0563C1"/>
            <w:u w:val="single"/>
          </w:rPr>
          <w:t xml:space="preserve">Pulse 2.0: Q2 FY27 income statement summary</w:t>
        </w:r>
      </w:hyperlink>
    </w:p>
    <w:p>
      <w:r>
        <w:rPr>
          <w:i/>
          <w:sz w:val="17"/>
        </w:rPr>
        <w:t>Earnings call transcript (2026-08-26) was not retrieved directly; management commentary is as reported by the outlets above. Consensus figures are third-party compilations, not Bloomberg/FactSet terminal pulls. This report is for informational purposes and is not investment advice.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oragenewsletter.com/2026/08/27/nvidia-fiscal-2q27-financial-results/" TargetMode="External"/><Relationship Id="rId10" Type="http://schemas.openxmlformats.org/officeDocument/2006/relationships/hyperlink" Target="https://www.sec.gov/Archives/edgar/data/0001045810/000104581026000075/nvda-20260726.htm" TargetMode="External"/><Relationship Id="rId11" Type="http://schemas.openxmlformats.org/officeDocument/2006/relationships/hyperlink" Target="https://www.xtb.com/sca-en/market-analysis/news-and-research/nvidia-shares-react-to-solid-earnings-report-and-stonger-guidance-what-s-next-for-the-ai-giant" TargetMode="External"/><Relationship Id="rId12" Type="http://schemas.openxmlformats.org/officeDocument/2006/relationships/image" Target="media/image1.png"/><Relationship Id="rId13" Type="http://schemas.openxmlformats.org/officeDocument/2006/relationships/hyperlink" Target="https://www.sec.gov/Archives/edgar/data/1045810/000104581026000019/q4fy26pr.htm" TargetMode="External"/><Relationship Id="rId14" Type="http://schemas.openxmlformats.org/officeDocument/2006/relationships/hyperlink" Target="https://www.opencapital.sh/filings/0001045810-26-000075.md" TargetMode="External"/><Relationship Id="rId15" Type="http://schemas.openxmlformats.org/officeDocument/2006/relationships/hyperlink" Target="https://www.digitalcitizen.life/nvidia-moves-gaming-revenue-into-new-edge-computing-segment-as-consumer-gpu-demand-slows"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yperlink" Target="https://san.com/wp-content/uploads/securepdfs/2026/08/NVIDIAAn.pdf" TargetMode="Externa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hyperlink" Target="https://parameter.io/nvidia-nvda-stock-surges-4-after-hours-despite-margin-concerns-following-earnings-beat/" TargetMode="External"/><Relationship Id="rId24" Type="http://schemas.openxmlformats.org/officeDocument/2006/relationships/hyperlink" Target="https://247wallst.com/cards/nvidia-nvda-price-swing-01m12e5z30s5b6r506sdrpat4k" TargetMode="External"/><Relationship Id="rId25" Type="http://schemas.openxmlformats.org/officeDocument/2006/relationships/hyperlink" Target="https://ts2.tech/en/nvidia-stock-drops-4-6-erasing-253-billion-as-margin-risk-overshadows-108-billion-guide/" TargetMode="External"/><Relationship Id="rId26" Type="http://schemas.openxmlformats.org/officeDocument/2006/relationships/hyperlink" Target="https://tradingeconomics.com/nvda:us" TargetMode="Externa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hyperlink" Target="https://pulse2.com/nvidia-operating-income-jumps-124-to-63-7-billion-as-revenue-doubles-and-q3-outlook-hits-108-bill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