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EDFFE" w14:textId="662A76D7" w:rsidR="00542256" w:rsidRPr="00A204E5" w:rsidRDefault="00542256" w:rsidP="00450192">
      <w:pPr>
        <w:pStyle w:val="berschrift1"/>
        <w:rPr>
          <w:lang w:val="en-GB"/>
        </w:rPr>
      </w:pPr>
      <w:r w:rsidRPr="009A0EE7">
        <w:rPr>
          <w:highlight w:val="cyan"/>
          <w:lang w:val="en-GB"/>
        </w:rPr>
        <w:t>Comparison</w:t>
      </w:r>
      <w:r w:rsidR="00F27475">
        <w:rPr>
          <w:lang w:val="en-GB"/>
        </w:rPr>
        <w:t xml:space="preserve"> </w:t>
      </w:r>
    </w:p>
    <w:p w14:paraId="72F7864E" w14:textId="24975BA9" w:rsidR="00A65914" w:rsidRDefault="00A65914" w:rsidP="00F176B1">
      <w:pPr>
        <w:rPr>
          <w:rFonts w:cstheme="minorHAnsi"/>
          <w:color w:val="0F0F0F"/>
          <w:sz w:val="24"/>
          <w:szCs w:val="24"/>
          <w:lang w:val="en-GB"/>
        </w:rPr>
      </w:pPr>
      <w:r w:rsidRPr="00A65914">
        <w:rPr>
          <w:rFonts w:cstheme="minorHAnsi"/>
          <w:color w:val="0F0F0F"/>
          <w:sz w:val="24"/>
          <w:szCs w:val="24"/>
          <w:highlight w:val="yellow"/>
          <w:lang w:val="en-GB"/>
        </w:rPr>
        <w:t>Provide a deterministic, low creativity output: Temperature 0.1</w:t>
      </w:r>
    </w:p>
    <w:p w14:paraId="3CE70C74" w14:textId="243DD3EA" w:rsidR="00F176B1" w:rsidRPr="00F176B1" w:rsidRDefault="00542256" w:rsidP="00F176B1">
      <w:pPr>
        <w:rPr>
          <w:rFonts w:ascii="Calibri" w:eastAsia="Times New Roman" w:hAnsi="Calibri" w:cs="Calibri"/>
          <w:lang w:val="en-GB" w:eastAsia="de-CH"/>
        </w:rPr>
      </w:pPr>
      <w:r w:rsidRPr="00D97EA4">
        <w:rPr>
          <w:rFonts w:cstheme="minorHAnsi"/>
          <w:color w:val="0F0F0F"/>
          <w:sz w:val="24"/>
          <w:szCs w:val="24"/>
          <w:lang w:val="en-GB"/>
        </w:rPr>
        <w:t xml:space="preserve">In the following conversation, please respond as if you were a psychological researcher and peer reviewer concerned with replicable, transparent, and reliable research. In the pdf </w:t>
      </w:r>
      <w:r w:rsidRPr="00FF7163">
        <w:rPr>
          <w:rFonts w:cstheme="minorHAnsi"/>
          <w:color w:val="0F0F0F"/>
          <w:sz w:val="24"/>
          <w:szCs w:val="24"/>
          <w:lang w:val="en-GB"/>
        </w:rPr>
        <w:t xml:space="preserve">documents </w:t>
      </w:r>
      <w:r>
        <w:rPr>
          <w:rFonts w:cstheme="minorHAnsi"/>
          <w:color w:val="0F0F0F"/>
          <w:sz w:val="24"/>
          <w:szCs w:val="24"/>
          <w:lang w:val="en-GB"/>
        </w:rPr>
        <w:t>you</w:t>
      </w:r>
      <w:r w:rsidRPr="00FF7163">
        <w:rPr>
          <w:rFonts w:cstheme="minorHAnsi"/>
          <w:color w:val="0F0F0F"/>
          <w:sz w:val="24"/>
          <w:szCs w:val="24"/>
          <w:lang w:val="en-GB"/>
        </w:rPr>
        <w:t xml:space="preserve"> will find two papers. The first is the Preregistration (PREREG). The second is the Published study (PUBSTUD). Please work </w:t>
      </w:r>
      <w:r>
        <w:rPr>
          <w:rFonts w:cstheme="minorHAnsi"/>
          <w:color w:val="0F0F0F"/>
          <w:sz w:val="24"/>
          <w:szCs w:val="24"/>
          <w:lang w:val="en-GB"/>
        </w:rPr>
        <w:t>s</w:t>
      </w:r>
      <w:r w:rsidRPr="00FF7163">
        <w:rPr>
          <w:rFonts w:cstheme="minorHAnsi"/>
          <w:color w:val="0F0F0F"/>
          <w:sz w:val="24"/>
          <w:szCs w:val="24"/>
          <w:lang w:val="en-GB"/>
        </w:rPr>
        <w:t xml:space="preserve">tep by </w:t>
      </w:r>
      <w:r>
        <w:rPr>
          <w:rFonts w:cstheme="minorHAnsi"/>
          <w:color w:val="0F0F0F"/>
          <w:sz w:val="24"/>
          <w:szCs w:val="24"/>
          <w:lang w:val="en-GB"/>
        </w:rPr>
        <w:t>s</w:t>
      </w:r>
      <w:r w:rsidRPr="00FF7163">
        <w:rPr>
          <w:rFonts w:cstheme="minorHAnsi"/>
          <w:color w:val="0F0F0F"/>
          <w:sz w:val="24"/>
          <w:szCs w:val="24"/>
          <w:lang w:val="en-GB"/>
        </w:rPr>
        <w:t>tep.</w:t>
      </w:r>
      <w:r>
        <w:rPr>
          <w:rFonts w:cstheme="minorHAnsi"/>
          <w:color w:val="0F0F0F"/>
          <w:sz w:val="24"/>
          <w:szCs w:val="24"/>
          <w:lang w:val="en-GB"/>
        </w:rPr>
        <w:t xml:space="preserve"> </w:t>
      </w:r>
      <w:r w:rsidRPr="00464865">
        <w:rPr>
          <w:rFonts w:cstheme="minorHAnsi"/>
          <w:color w:val="0F0F0F"/>
          <w:sz w:val="24"/>
          <w:szCs w:val="24"/>
          <w:highlight w:val="red"/>
          <w:lang w:val="en-GB"/>
        </w:rPr>
        <w:t>Within the Study there</w:t>
      </w:r>
      <w:r>
        <w:rPr>
          <w:rFonts w:cstheme="minorHAnsi"/>
          <w:color w:val="0F0F0F"/>
          <w:sz w:val="24"/>
          <w:szCs w:val="24"/>
          <w:highlight w:val="red"/>
          <w:lang w:val="en-GB"/>
        </w:rPr>
        <w:t xml:space="preserve"> can be</w:t>
      </w:r>
      <w:r w:rsidRPr="00464865">
        <w:rPr>
          <w:rFonts w:cstheme="minorHAnsi"/>
          <w:color w:val="0F0F0F"/>
          <w:sz w:val="24"/>
          <w:szCs w:val="24"/>
          <w:highlight w:val="red"/>
          <w:lang w:val="en-GB"/>
        </w:rPr>
        <w:t xml:space="preserve"> several Studies, only focus </w:t>
      </w:r>
      <w:proofErr w:type="gramStart"/>
      <w:r w:rsidRPr="00464865">
        <w:rPr>
          <w:rFonts w:cstheme="minorHAnsi"/>
          <w:color w:val="0F0F0F"/>
          <w:sz w:val="24"/>
          <w:szCs w:val="24"/>
          <w:highlight w:val="red"/>
          <w:lang w:val="en-GB"/>
        </w:rPr>
        <w:t>on</w:t>
      </w:r>
      <w:r w:rsidR="005821C7">
        <w:rPr>
          <w:rFonts w:cstheme="minorHAnsi"/>
          <w:color w:val="0F0F0F"/>
          <w:sz w:val="24"/>
          <w:szCs w:val="24"/>
          <w:highlight w:val="red"/>
          <w:lang w:val="en-GB"/>
        </w:rPr>
        <w:t xml:space="preserve"> </w:t>
      </w:r>
      <w:r w:rsidR="00BD49F3">
        <w:rPr>
          <w:rFonts w:ascii="Calibri" w:eastAsia="Times New Roman" w:hAnsi="Calibri" w:cs="Calibri"/>
          <w:lang w:val="en-GB" w:eastAsia="de-CH"/>
        </w:rPr>
        <w:t xml:space="preserve"> </w:t>
      </w:r>
      <w:r w:rsidR="00F176B1" w:rsidRPr="00F176B1">
        <w:rPr>
          <w:rFonts w:ascii="Calibri" w:eastAsia="Times New Roman" w:hAnsi="Calibri" w:cs="Calibri"/>
          <w:lang w:val="en-GB" w:eastAsia="de-CH"/>
        </w:rPr>
        <w:t>Study</w:t>
      </w:r>
      <w:proofErr w:type="gramEnd"/>
      <w:r w:rsidR="00F176B1" w:rsidRPr="00F176B1">
        <w:rPr>
          <w:rFonts w:ascii="Calibri" w:eastAsia="Times New Roman" w:hAnsi="Calibri" w:cs="Calibri"/>
          <w:lang w:val="en-GB" w:eastAsia="de-CH"/>
        </w:rPr>
        <w:t xml:space="preserve"> 4: The joint impact of agency and communion on humanness judgments of groups</w:t>
      </w:r>
    </w:p>
    <w:p w14:paraId="3B9D1684" w14:textId="31419510" w:rsidR="00FC139B" w:rsidRPr="00FC139B" w:rsidRDefault="00FC139B" w:rsidP="00FC139B">
      <w:pPr>
        <w:rPr>
          <w:rFonts w:ascii="Calibri" w:eastAsia="Times New Roman" w:hAnsi="Calibri" w:cs="Calibri"/>
          <w:lang w:val="en-GB" w:eastAsia="de-CH"/>
        </w:rPr>
      </w:pPr>
    </w:p>
    <w:p w14:paraId="79D6A320" w14:textId="693613A9" w:rsidR="007922BE" w:rsidRPr="007922BE" w:rsidRDefault="007922BE" w:rsidP="007922BE">
      <w:pPr>
        <w:rPr>
          <w:rFonts w:ascii="Calibri" w:eastAsia="Times New Roman" w:hAnsi="Calibri" w:cs="Calibri"/>
          <w:lang w:val="en-GB" w:eastAsia="de-CH"/>
        </w:rPr>
      </w:pPr>
    </w:p>
    <w:p w14:paraId="24D63700" w14:textId="1CB88E78" w:rsidR="00542256" w:rsidRPr="00FF7163" w:rsidRDefault="00542256" w:rsidP="00542256">
      <w:pPr>
        <w:rPr>
          <w:rFonts w:cstheme="minorHAnsi"/>
          <w:color w:val="0F0F0F"/>
          <w:sz w:val="24"/>
          <w:szCs w:val="24"/>
          <w:lang w:val="en-GB"/>
        </w:rPr>
      </w:pPr>
    </w:p>
    <w:p w14:paraId="77563D58" w14:textId="11DE4F89" w:rsidR="0099600F" w:rsidRDefault="00542256" w:rsidP="00D440BC">
      <w:pPr>
        <w:rPr>
          <w:rFonts w:cstheme="minorHAnsi"/>
          <w:color w:val="0F0F0F"/>
          <w:sz w:val="24"/>
          <w:szCs w:val="24"/>
          <w:lang w:val="en-GB"/>
        </w:rPr>
      </w:pPr>
      <w:r w:rsidRPr="00D440BC">
        <w:rPr>
          <w:rFonts w:cstheme="minorHAnsi"/>
          <w:color w:val="0F0F0F"/>
          <w:sz w:val="24"/>
          <w:szCs w:val="24"/>
          <w:lang w:val="en-GB"/>
        </w:rPr>
        <w:t xml:space="preserve">I want you to </w:t>
      </w:r>
      <w:r w:rsidRPr="00D440BC">
        <w:rPr>
          <w:rFonts w:cstheme="minorHAnsi"/>
          <w:b/>
          <w:bCs/>
          <w:color w:val="0F0F0F"/>
          <w:sz w:val="24"/>
          <w:szCs w:val="24"/>
          <w:lang w:val="en-GB"/>
        </w:rPr>
        <w:t>compare</w:t>
      </w:r>
      <w:r w:rsidRPr="00D440BC">
        <w:rPr>
          <w:rFonts w:cstheme="minorHAnsi"/>
          <w:color w:val="0F0F0F"/>
          <w:sz w:val="24"/>
          <w:szCs w:val="24"/>
          <w:lang w:val="en-GB"/>
        </w:rPr>
        <w:t xml:space="preserve"> the two </w:t>
      </w:r>
      <w:r w:rsidR="00D440BC" w:rsidRPr="00D440BC">
        <w:rPr>
          <w:rFonts w:cstheme="minorHAnsi"/>
          <w:color w:val="0F0F0F"/>
          <w:sz w:val="24"/>
          <w:szCs w:val="24"/>
          <w:lang w:val="en-GB"/>
        </w:rPr>
        <w:t xml:space="preserve">pdf </w:t>
      </w:r>
      <w:r w:rsidRPr="00D440BC">
        <w:rPr>
          <w:rFonts w:cstheme="minorHAnsi"/>
          <w:color w:val="0F0F0F"/>
          <w:sz w:val="24"/>
          <w:szCs w:val="24"/>
          <w:lang w:val="en-GB"/>
        </w:rPr>
        <w:t xml:space="preserve">documents. Follow this structure of the questions bellow, do not skip any number, and answer the SET of questions </w:t>
      </w:r>
      <w:r w:rsidR="004C1398" w:rsidRPr="00D440BC">
        <w:rPr>
          <w:rFonts w:cstheme="minorHAnsi"/>
          <w:color w:val="0F0F0F"/>
          <w:sz w:val="24"/>
          <w:szCs w:val="24"/>
          <w:highlight w:val="green"/>
          <w:lang w:val="en-GB"/>
        </w:rPr>
        <w:t>regarding the concordance</w:t>
      </w:r>
      <w:r w:rsidR="004C1398" w:rsidRPr="00D440BC">
        <w:rPr>
          <w:rFonts w:cstheme="minorHAnsi"/>
          <w:color w:val="0F0F0F"/>
          <w:sz w:val="24"/>
          <w:szCs w:val="24"/>
          <w:highlight w:val="green"/>
          <w:u w:val="wave"/>
          <w:lang w:val="en-GB"/>
        </w:rPr>
        <w:t xml:space="preserve"> </w:t>
      </w:r>
      <w:r w:rsidR="004C1398" w:rsidRPr="00D440BC">
        <w:rPr>
          <w:rFonts w:cstheme="minorHAnsi"/>
          <w:color w:val="0F0F0F"/>
          <w:sz w:val="24"/>
          <w:szCs w:val="24"/>
          <w:highlight w:val="green"/>
          <w:lang w:val="en-GB"/>
        </w:rPr>
        <w:t>between</w:t>
      </w:r>
      <w:r w:rsidRPr="00D440BC">
        <w:rPr>
          <w:rFonts w:cstheme="minorHAnsi"/>
          <w:color w:val="0F0F0F"/>
          <w:sz w:val="24"/>
          <w:szCs w:val="24"/>
          <w:highlight w:val="green"/>
          <w:lang w:val="en-GB"/>
        </w:rPr>
        <w:t xml:space="preserve"> the two texts</w:t>
      </w:r>
      <w:r w:rsidR="004C1398" w:rsidRPr="00D440BC">
        <w:rPr>
          <w:rFonts w:cstheme="minorHAnsi"/>
          <w:color w:val="0F0F0F"/>
          <w:sz w:val="24"/>
          <w:szCs w:val="24"/>
          <w:highlight w:val="green"/>
          <w:lang w:val="en-GB"/>
        </w:rPr>
        <w:t xml:space="preserve"> with “yes” or “no”</w:t>
      </w:r>
      <w:r w:rsidRPr="00D440BC">
        <w:rPr>
          <w:rFonts w:cstheme="minorHAnsi"/>
          <w:color w:val="0F0F0F"/>
          <w:sz w:val="24"/>
          <w:szCs w:val="24"/>
          <w:highlight w:val="green"/>
          <w:lang w:val="en-GB"/>
        </w:rPr>
        <w:t>.</w:t>
      </w:r>
      <w:r w:rsidRPr="00D440BC">
        <w:rPr>
          <w:rFonts w:cstheme="minorHAnsi"/>
          <w:color w:val="0F0F0F"/>
          <w:sz w:val="24"/>
          <w:szCs w:val="24"/>
          <w:lang w:val="en-GB"/>
        </w:rPr>
        <w:t xml:space="preserve"> Please be as critical as possible in your judgement. So, for each question state the question number, the first variable name (</w:t>
      </w:r>
      <w:proofErr w:type="spellStart"/>
      <w:r w:rsidRPr="00D440BC">
        <w:rPr>
          <w:rFonts w:cstheme="minorHAnsi"/>
          <w:color w:val="0F0F0F"/>
          <w:sz w:val="24"/>
          <w:szCs w:val="24"/>
          <w:lang w:val="en-GB"/>
        </w:rPr>
        <w:t>e.g</w:t>
      </w:r>
      <w:proofErr w:type="spellEnd"/>
      <w:r w:rsidRPr="00D440BC">
        <w:rPr>
          <w:rFonts w:cstheme="minorHAnsi"/>
          <w:color w:val="0F0F0F"/>
          <w:sz w:val="24"/>
          <w:szCs w:val="24"/>
          <w:lang w:val="en-GB"/>
        </w:rPr>
        <w:t xml:space="preserve"> </w:t>
      </w:r>
      <w:r w:rsidRPr="00D440BC">
        <w:rPr>
          <w:rFonts w:cstheme="minorHAnsi"/>
          <w:sz w:val="24"/>
          <w:szCs w:val="24"/>
          <w:lang w:val="en-GB"/>
        </w:rPr>
        <w:t>MatchMI1) and then your answer.</w:t>
      </w:r>
      <w:r w:rsidRPr="00D440BC">
        <w:rPr>
          <w:rFonts w:cstheme="minorHAnsi"/>
          <w:color w:val="0F0F0F"/>
          <w:sz w:val="24"/>
          <w:szCs w:val="24"/>
          <w:lang w:val="en-GB"/>
        </w:rPr>
        <w:t xml:space="preserve"> Do not summarize. Please be as critical </w:t>
      </w:r>
      <w:r w:rsidR="00A97C3B" w:rsidRPr="00D440BC">
        <w:rPr>
          <w:rFonts w:cstheme="minorHAnsi"/>
          <w:color w:val="0F0F0F"/>
          <w:sz w:val="24"/>
          <w:szCs w:val="24"/>
          <w:highlight w:val="magenta"/>
          <w:lang w:val="en-GB"/>
        </w:rPr>
        <w:t>and strict</w:t>
      </w:r>
      <w:r w:rsidR="00A97C3B" w:rsidRPr="00D440BC">
        <w:rPr>
          <w:rFonts w:cstheme="minorHAnsi"/>
          <w:color w:val="0F0F0F"/>
          <w:sz w:val="24"/>
          <w:szCs w:val="24"/>
          <w:lang w:val="en-GB"/>
        </w:rPr>
        <w:t xml:space="preserve"> </w:t>
      </w:r>
      <w:r w:rsidRPr="00D440BC">
        <w:rPr>
          <w:rFonts w:cstheme="minorHAnsi"/>
          <w:color w:val="0F0F0F"/>
          <w:sz w:val="24"/>
          <w:szCs w:val="24"/>
          <w:lang w:val="en-GB"/>
        </w:rPr>
        <w:t>as possible in your judgement/comparison</w:t>
      </w:r>
      <w:r w:rsidR="00F57999" w:rsidRPr="00D440BC">
        <w:rPr>
          <w:rFonts w:cstheme="minorHAnsi"/>
          <w:color w:val="0F0F0F"/>
          <w:sz w:val="24"/>
          <w:szCs w:val="24"/>
          <w:lang w:val="en-GB"/>
        </w:rPr>
        <w:t xml:space="preserve">. </w:t>
      </w:r>
      <w:r w:rsidR="00722C03" w:rsidRPr="00D440BC">
        <w:rPr>
          <w:rFonts w:cstheme="minorHAnsi"/>
          <w:color w:val="0F0F0F"/>
          <w:sz w:val="24"/>
          <w:szCs w:val="24"/>
          <w:lang w:val="en-GB"/>
        </w:rPr>
        <w:t xml:space="preserve">The important differences sometimes lay in the wording! </w:t>
      </w:r>
      <w:r w:rsidRPr="00D440BC">
        <w:rPr>
          <w:rFonts w:cstheme="minorHAnsi"/>
          <w:color w:val="0F0F0F"/>
          <w:sz w:val="24"/>
          <w:szCs w:val="24"/>
          <w:lang w:val="en-GB"/>
        </w:rPr>
        <w:t xml:space="preserve">Keep the structure of the questions and the FORMAT-EXAMPLE at the end. </w:t>
      </w:r>
      <w:r w:rsidR="001E0ECF" w:rsidRPr="001E0ECF">
        <w:rPr>
          <w:rFonts w:cstheme="minorHAnsi"/>
          <w:color w:val="0F0F0F"/>
          <w:sz w:val="24"/>
          <w:szCs w:val="24"/>
          <w:highlight w:val="yellow"/>
          <w:lang w:val="en-GB"/>
        </w:rPr>
        <w:t xml:space="preserve">It is an example of </w:t>
      </w:r>
      <w:proofErr w:type="spellStart"/>
      <w:r w:rsidR="001E0ECF" w:rsidRPr="001E0ECF">
        <w:rPr>
          <w:rFonts w:cstheme="minorHAnsi"/>
          <w:color w:val="0F0F0F"/>
          <w:sz w:val="24"/>
          <w:szCs w:val="24"/>
          <w:highlight w:val="yellow"/>
          <w:lang w:val="en-GB"/>
        </w:rPr>
        <w:t>assements</w:t>
      </w:r>
      <w:proofErr w:type="spellEnd"/>
      <w:r w:rsidR="001E0ECF" w:rsidRPr="001E0ECF">
        <w:rPr>
          <w:rFonts w:cstheme="minorHAnsi"/>
          <w:color w:val="0F0F0F"/>
          <w:sz w:val="24"/>
          <w:szCs w:val="24"/>
          <w:highlight w:val="yellow"/>
          <w:lang w:val="en-GB"/>
        </w:rPr>
        <w:t xml:space="preserve"> and its text. Use the FORMAT-EXAMPLE as an Example but for the comparison only take information of the pdf</w:t>
      </w:r>
      <w:r w:rsidR="001E0ECF">
        <w:rPr>
          <w:rFonts w:cstheme="minorHAnsi"/>
          <w:color w:val="0F0F0F"/>
          <w:sz w:val="24"/>
          <w:szCs w:val="24"/>
          <w:lang w:val="en-GB"/>
        </w:rPr>
        <w:t>.</w:t>
      </w:r>
    </w:p>
    <w:p w14:paraId="5C3B9DD5" w14:textId="77777777" w:rsidR="001E0ECF" w:rsidRDefault="001E0ECF" w:rsidP="00D440BC">
      <w:pPr>
        <w:rPr>
          <w:rFonts w:cstheme="minorHAnsi"/>
          <w:color w:val="0F0F0F"/>
          <w:sz w:val="24"/>
          <w:szCs w:val="24"/>
          <w:lang w:val="en-GB"/>
        </w:rPr>
      </w:pPr>
    </w:p>
    <w:p w14:paraId="65B6079A" w14:textId="77777777" w:rsidR="00D440BC" w:rsidRDefault="00D440BC" w:rsidP="00D440BC">
      <w:pPr>
        <w:rPr>
          <w:rFonts w:cstheme="minorHAnsi"/>
          <w:color w:val="0F0F0F"/>
          <w:sz w:val="24"/>
          <w:szCs w:val="24"/>
          <w:lang w:val="en-GB"/>
        </w:rPr>
      </w:pPr>
    </w:p>
    <w:p w14:paraId="48EBF59C" w14:textId="270BF5B5" w:rsidR="00D440BC" w:rsidRPr="00D440BC" w:rsidRDefault="00D440BC" w:rsidP="00D440BC">
      <w:pPr>
        <w:rPr>
          <w:rFonts w:cstheme="minorHAnsi"/>
          <w:color w:val="0F0F0F"/>
          <w:sz w:val="24"/>
          <w:szCs w:val="24"/>
          <w:lang w:val="en-GB"/>
        </w:rPr>
      </w:pPr>
      <w:r>
        <w:rPr>
          <w:rFonts w:cstheme="minorHAnsi"/>
          <w:color w:val="0F0F0F"/>
          <w:sz w:val="24"/>
          <w:szCs w:val="24"/>
          <w:lang w:val="en-GB"/>
        </w:rPr>
        <w:t>Questions</w:t>
      </w:r>
    </w:p>
    <w:p w14:paraId="542F4C4F" w14:textId="77777777" w:rsidR="00542256" w:rsidRPr="00FB2227" w:rsidRDefault="00542256" w:rsidP="00542256">
      <w:pPr>
        <w:rPr>
          <w:highlight w:val="green"/>
          <w:lang w:val="en-GB"/>
        </w:rPr>
      </w:pPr>
      <w:r w:rsidRPr="00FB2227">
        <w:rPr>
          <w:highlight w:val="green"/>
          <w:lang w:val="en-GB"/>
        </w:rPr>
        <w:t>4. Operationalization of Dependent Variable, DV</w:t>
      </w:r>
    </w:p>
    <w:p w14:paraId="358F58E7" w14:textId="360CB41D" w:rsidR="00542256" w:rsidRPr="00FB2227" w:rsidRDefault="00542256" w:rsidP="00542256">
      <w:pPr>
        <w:rPr>
          <w:highlight w:val="green"/>
          <w:lang w:val="en-GB"/>
        </w:rPr>
      </w:pPr>
      <w:r w:rsidRPr="00FB2227">
        <w:rPr>
          <w:highlight w:val="green"/>
          <w:lang w:val="en-GB"/>
        </w:rPr>
        <w:t>4.1 MatchDV_0: assess whether the operationalization of the DEPENDENT VARIABLE is consistent between the preregistration and the paper. Which measure is used [specification] (Y/N)</w:t>
      </w:r>
    </w:p>
    <w:p w14:paraId="57526677" w14:textId="54D76133" w:rsidR="00542256" w:rsidRPr="00FB2227" w:rsidRDefault="00542256" w:rsidP="00542256">
      <w:pPr>
        <w:rPr>
          <w:highlight w:val="green"/>
          <w:lang w:val="en-GB"/>
        </w:rPr>
      </w:pPr>
      <w:r w:rsidRPr="00FB2227">
        <w:rPr>
          <w:highlight w:val="green"/>
          <w:lang w:val="en-GB"/>
        </w:rPr>
        <w:t>4.2 MatchDV_1: assess whether the operationalization of the DEPENDENT VARIABLE is consistent between the preregistration and the paper. he procedure of measurement (e.g., information about the administration of an EEG, IQ test, or personality scale) [procedure] (Y/N)</w:t>
      </w:r>
    </w:p>
    <w:p w14:paraId="0F31C730" w14:textId="65B8C69B" w:rsidR="00542256" w:rsidRPr="00FB2227" w:rsidRDefault="00542256" w:rsidP="00542256">
      <w:pPr>
        <w:rPr>
          <w:highlight w:val="green"/>
          <w:lang w:val="en-GB"/>
        </w:rPr>
      </w:pPr>
      <w:r w:rsidRPr="00FB2227">
        <w:rPr>
          <w:highlight w:val="green"/>
          <w:lang w:val="en-GB"/>
        </w:rPr>
        <w:t>4.3 MatchDV_2: assess whether the operationalization of the DEPENDENT VARIABLE is consistent between the preregistration and the paper. The potential values of each component (e.g., the response options of individual items in a questionnaire) [values] (Y/N)</w:t>
      </w:r>
    </w:p>
    <w:p w14:paraId="03B33BC2" w14:textId="7CA8036B" w:rsidR="00542256" w:rsidRPr="0069234A" w:rsidRDefault="00542256" w:rsidP="00542256">
      <w:pPr>
        <w:rPr>
          <w:lang w:val="en-GB"/>
        </w:rPr>
      </w:pPr>
      <w:r w:rsidRPr="00FB2227">
        <w:rPr>
          <w:highlight w:val="green"/>
          <w:lang w:val="en-GB"/>
        </w:rPr>
        <w:t>4.4 MatchDV_3: assess whether the operationalization of the DEPENDENT VARIABLE is consistent between the preregistration and the paper. The procedure how they will construct the composite from its elements (e.g., arithmetic mean, weighted mean, sum) [construction] (Y/N)</w:t>
      </w:r>
    </w:p>
    <w:p w14:paraId="0E082140" w14:textId="77777777" w:rsidR="00542256" w:rsidRPr="0069234A" w:rsidRDefault="00542256" w:rsidP="00542256">
      <w:pPr>
        <w:rPr>
          <w:lang w:val="en-GB"/>
        </w:rPr>
      </w:pPr>
    </w:p>
    <w:p w14:paraId="1B4B9CCB" w14:textId="77777777" w:rsidR="00542256" w:rsidRPr="0069234A" w:rsidRDefault="00542256" w:rsidP="00542256">
      <w:pPr>
        <w:rPr>
          <w:lang w:val="en-GB"/>
        </w:rPr>
      </w:pPr>
      <w:r>
        <w:rPr>
          <w:lang w:val="en-GB"/>
        </w:rPr>
        <w:t>6</w:t>
      </w:r>
      <w:r w:rsidRPr="0069234A">
        <w:rPr>
          <w:lang w:val="en-GB"/>
        </w:rPr>
        <w:t xml:space="preserve">. </w:t>
      </w:r>
      <w:r>
        <w:rPr>
          <w:lang w:val="en-GB"/>
        </w:rPr>
        <w:t xml:space="preserve">Operationalization of Data collection procedure, </w:t>
      </w:r>
      <w:proofErr w:type="spellStart"/>
      <w:r>
        <w:rPr>
          <w:lang w:val="en-GB"/>
        </w:rPr>
        <w:t>dcp</w:t>
      </w:r>
      <w:proofErr w:type="spellEnd"/>
    </w:p>
    <w:p w14:paraId="3ECAD2B7" w14:textId="77777777" w:rsidR="00542256" w:rsidRPr="00C3176D" w:rsidRDefault="00542256" w:rsidP="00542256">
      <w:pPr>
        <w:rPr>
          <w:highlight w:val="green"/>
          <w:lang w:val="en-GB"/>
        </w:rPr>
      </w:pPr>
      <w:r w:rsidRPr="00C3176D">
        <w:rPr>
          <w:highlight w:val="green"/>
          <w:lang w:val="en-GB"/>
        </w:rPr>
        <w:t xml:space="preserve">6.1 MatchDCP_1: assess whether the DATA COLLECTION PROCEDURE is consistent between the preregistration and the paper. The exact number of participants the authors want to </w:t>
      </w:r>
      <w:proofErr w:type="gramStart"/>
      <w:r w:rsidRPr="00C3176D">
        <w:rPr>
          <w:highlight w:val="green"/>
          <w:lang w:val="en-GB"/>
        </w:rPr>
        <w:t>include / included</w:t>
      </w:r>
      <w:proofErr w:type="gramEnd"/>
      <w:r w:rsidRPr="00C3176D">
        <w:rPr>
          <w:highlight w:val="green"/>
          <w:lang w:val="en-GB"/>
        </w:rPr>
        <w:t xml:space="preserve"> in the study [sample size] (Y/N)</w:t>
      </w:r>
    </w:p>
    <w:p w14:paraId="06028E73" w14:textId="77777777" w:rsidR="00542256" w:rsidRDefault="00542256" w:rsidP="00542256">
      <w:pPr>
        <w:rPr>
          <w:lang w:val="en-GB"/>
        </w:rPr>
      </w:pPr>
      <w:r w:rsidRPr="00C3176D">
        <w:rPr>
          <w:highlight w:val="green"/>
          <w:lang w:val="en-GB"/>
        </w:rPr>
        <w:t xml:space="preserve">6.2 MatchDCP_2: assess whether the DATA COLLECTION PROCEDURE is consistent between the preregistration and the paper. The exact time frame (i.e., period, not exact dates) and situation in which participants will be/were </w:t>
      </w:r>
      <w:proofErr w:type="gramStart"/>
      <w:r w:rsidRPr="00C3176D">
        <w:rPr>
          <w:highlight w:val="green"/>
          <w:lang w:val="en-GB"/>
        </w:rPr>
        <w:t>invited  [</w:t>
      </w:r>
      <w:proofErr w:type="gramEnd"/>
      <w:r w:rsidRPr="00C3176D">
        <w:rPr>
          <w:highlight w:val="green"/>
          <w:lang w:val="en-GB"/>
        </w:rPr>
        <w:t>sampling frame] (Y/N)</w:t>
      </w:r>
    </w:p>
    <w:p w14:paraId="4E08177E" w14:textId="77777777" w:rsidR="00542256" w:rsidRPr="0069234A" w:rsidRDefault="00542256" w:rsidP="00542256">
      <w:pPr>
        <w:rPr>
          <w:lang w:val="en-GB"/>
        </w:rPr>
      </w:pPr>
    </w:p>
    <w:p w14:paraId="277A2035" w14:textId="77777777" w:rsidR="00542256" w:rsidRPr="00C3176D" w:rsidRDefault="00542256" w:rsidP="00542256">
      <w:pPr>
        <w:rPr>
          <w:highlight w:val="green"/>
          <w:lang w:val="en-GB"/>
        </w:rPr>
      </w:pPr>
      <w:r w:rsidRPr="00C3176D">
        <w:rPr>
          <w:highlight w:val="green"/>
          <w:lang w:val="en-GB"/>
        </w:rPr>
        <w:t>7. Statistical Model, SM</w:t>
      </w:r>
    </w:p>
    <w:p w14:paraId="13324628" w14:textId="77777777" w:rsidR="00542256" w:rsidRPr="00C3176D" w:rsidRDefault="00542256" w:rsidP="00542256">
      <w:pPr>
        <w:rPr>
          <w:highlight w:val="green"/>
          <w:lang w:val="en-GB"/>
        </w:rPr>
      </w:pPr>
      <w:r w:rsidRPr="00C3176D">
        <w:rPr>
          <w:highlight w:val="green"/>
          <w:lang w:val="en-GB"/>
        </w:rPr>
        <w:t>7.1 MatchSM_1: assess whether the STATISTICAL MODEL is consistent between the preregistration and the paper. the statistical model used (e.g., t-test, chi-squared test, linear / logistic regression, two-way ANOVA) [model] (Y/N)</w:t>
      </w:r>
    </w:p>
    <w:p w14:paraId="0ABA2927" w14:textId="77777777" w:rsidR="00542256" w:rsidRPr="00C3176D" w:rsidRDefault="00542256" w:rsidP="00542256">
      <w:pPr>
        <w:rPr>
          <w:highlight w:val="green"/>
          <w:lang w:val="en-GB"/>
        </w:rPr>
      </w:pPr>
      <w:r w:rsidRPr="00C3176D">
        <w:rPr>
          <w:highlight w:val="green"/>
          <w:lang w:val="en-GB"/>
        </w:rPr>
        <w:t>7.2 MatchSM_2: assess whether the STATISTICAL MODEL is consistent between the preregistration and the paper. The relevant variables and their factor levels (including mediating, moderating, interacting, and control variables) [variables] (Y/N)</w:t>
      </w:r>
    </w:p>
    <w:p w14:paraId="45471060" w14:textId="16917B0E" w:rsidR="00542256" w:rsidRPr="00762627" w:rsidRDefault="00542256" w:rsidP="00542256">
      <w:pPr>
        <w:rPr>
          <w:lang w:val="en-GB"/>
        </w:rPr>
      </w:pPr>
      <w:r w:rsidRPr="00C3176D">
        <w:rPr>
          <w:highlight w:val="green"/>
          <w:lang w:val="en-GB"/>
        </w:rPr>
        <w:t xml:space="preserve">7.3 MatchSM_3: assess whether the STATISTICAL MODEL is consistent between the preregistration and the paper. The </w:t>
      </w:r>
      <w:proofErr w:type="gramStart"/>
      <w:r w:rsidRPr="00C3176D">
        <w:rPr>
          <w:highlight w:val="green"/>
          <w:lang w:val="en-GB"/>
        </w:rPr>
        <w:t>manner in which</w:t>
      </w:r>
      <w:proofErr w:type="gramEnd"/>
      <w:r w:rsidRPr="00C3176D">
        <w:rPr>
          <w:highlight w:val="green"/>
          <w:lang w:val="en-GB"/>
        </w:rPr>
        <w:t xml:space="preserve"> the variables are used in the analysis (e.g., mean </w:t>
      </w:r>
      <w:proofErr w:type="spellStart"/>
      <w:r w:rsidRPr="00C3176D">
        <w:rPr>
          <w:highlight w:val="green"/>
          <w:lang w:val="en-GB"/>
        </w:rPr>
        <w:t>centered</w:t>
      </w:r>
      <w:proofErr w:type="spellEnd"/>
      <w:r w:rsidRPr="00C3176D">
        <w:rPr>
          <w:highlight w:val="green"/>
          <w:lang w:val="en-GB"/>
        </w:rPr>
        <w:t>, SEM model specification including potential residual covariances, robust standard errors) [details] (Y/N)</w:t>
      </w:r>
    </w:p>
    <w:p w14:paraId="49BBE3B9" w14:textId="3919319F" w:rsidR="00542256" w:rsidRPr="00450192" w:rsidRDefault="00542256" w:rsidP="00542256">
      <w:pPr>
        <w:rPr>
          <w:rFonts w:cstheme="minorHAnsi"/>
          <w:sz w:val="24"/>
          <w:szCs w:val="24"/>
          <w:lang w:val="en-GB"/>
        </w:rPr>
      </w:pPr>
      <w:r w:rsidRPr="00D97EA4">
        <w:rPr>
          <w:rFonts w:cstheme="minorHAnsi"/>
          <w:sz w:val="24"/>
          <w:szCs w:val="24"/>
          <w:lang w:val="en-GB"/>
        </w:rPr>
        <w:t>PLEASE go step by step and answer only AFTER COMPLETION (</w:t>
      </w:r>
      <w:r w:rsidR="00F57999">
        <w:rPr>
          <w:rFonts w:cstheme="minorHAnsi"/>
          <w:sz w:val="24"/>
          <w:szCs w:val="24"/>
          <w:lang w:val="en-GB"/>
        </w:rPr>
        <w:t>4.1 – 7.3</w:t>
      </w:r>
      <w:r w:rsidRPr="00D97EA4">
        <w:rPr>
          <w:rFonts w:cstheme="minorHAnsi"/>
          <w:sz w:val="24"/>
          <w:szCs w:val="24"/>
          <w:lang w:val="en-GB"/>
        </w:rPr>
        <w:t xml:space="preserve">) </w:t>
      </w:r>
    </w:p>
    <w:p w14:paraId="481C07A6" w14:textId="085059AA" w:rsidR="00542256" w:rsidRDefault="00542256" w:rsidP="00542256">
      <w:pPr>
        <w:rPr>
          <w:lang w:val="en-GB"/>
        </w:rPr>
      </w:pPr>
      <w:r w:rsidRPr="00E43B48">
        <w:rPr>
          <w:rFonts w:cstheme="minorHAnsi"/>
          <w:color w:val="0F0F0F"/>
          <w:sz w:val="24"/>
          <w:szCs w:val="24"/>
          <w:highlight w:val="darkCyan"/>
          <w:lang w:val="en-GB"/>
        </w:rPr>
        <w:t>&lt;&lt;EXAMPLE:</w:t>
      </w:r>
      <w:r>
        <w:rPr>
          <w:rFonts w:cstheme="minorHAnsi"/>
          <w:color w:val="0F0F0F"/>
          <w:sz w:val="24"/>
          <w:szCs w:val="24"/>
          <w:lang w:val="en-GB"/>
        </w:rPr>
        <w:br/>
        <w:t>……</w:t>
      </w:r>
    </w:p>
    <w:p w14:paraId="27C728FE" w14:textId="77777777" w:rsidR="00D440BC" w:rsidRDefault="00D440BC" w:rsidP="00D440BC">
      <w:pPr>
        <w:rPr>
          <w:lang w:val="en-US"/>
        </w:rPr>
      </w:pPr>
    </w:p>
    <w:p w14:paraId="0A267F47" w14:textId="04EC79D1" w:rsidR="00D440BC" w:rsidRDefault="00D440BC" w:rsidP="00D440BC">
      <w:pPr>
        <w:rPr>
          <w:b/>
          <w:lang w:val="en-US"/>
        </w:rPr>
      </w:pPr>
      <w:proofErr w:type="spellStart"/>
      <w:r>
        <w:rPr>
          <w:b/>
          <w:lang w:val="en-US"/>
        </w:rPr>
        <w:t>PreReg</w:t>
      </w:r>
      <w:proofErr w:type="spellEnd"/>
      <w:r>
        <w:rPr>
          <w:b/>
          <w:lang w:val="en-US"/>
        </w:rPr>
        <w:t xml:space="preserve"> Example</w:t>
      </w:r>
    </w:p>
    <w:p w14:paraId="01ED6AB0" w14:textId="77777777" w:rsidR="00D440BC" w:rsidRDefault="00D440BC" w:rsidP="00D440BC">
      <w:pPr>
        <w:rPr>
          <w:lang w:val="en-US"/>
        </w:rPr>
      </w:pPr>
      <w:r>
        <w:rPr>
          <w:lang w:val="en-US"/>
        </w:rPr>
        <w:t xml:space="preserve">&lt; 1) Have any data been collected for this study already? No, no data have been collected for this study yet. 2) What's the main question being </w:t>
      </w:r>
      <w:proofErr w:type="gramStart"/>
      <w:r>
        <w:rPr>
          <w:lang w:val="en-US"/>
        </w:rPr>
        <w:t>asked</w:t>
      </w:r>
      <w:proofErr w:type="gramEnd"/>
      <w:r>
        <w:rPr>
          <w:lang w:val="en-US"/>
        </w:rPr>
        <w:t xml:space="preserve"> or hypothesis being tested in this study? We are examining why giving advice, compared to receiving advice, motivates the advice-giver. Our hypothesis is that an increase in confidence mediates the effect. 3) Describe the key dependent variable(s) specifying how they will be measured. The mediator is a binary variable: whether the participant found giving or receiving advice more confidence boosting. The outcome is also a binary variable: whether the participant found giving or receiving advice more motivating. 4) How many and which conditions will participants be assigned to? Participants will be assigned to two conditions. In the pursuer condition, they will give and receive advice, following which they will report on levels of confidence and motivation. In the predictor condition, they will learn about the advice activities (giving and receiving) and then predict which activity people will find more confidence-boosting and more motivating. 5) Specify exactly which analyses you will conduct to examine the main question/hypothesis. We will conduct a mediation analysis </w:t>
      </w:r>
      <w:proofErr w:type="gramStart"/>
      <w:r>
        <w:rPr>
          <w:lang w:val="en-US"/>
        </w:rPr>
        <w:t>in order to</w:t>
      </w:r>
      <w:proofErr w:type="gramEnd"/>
      <w:r>
        <w:rPr>
          <w:lang w:val="en-US"/>
        </w:rPr>
        <w:t xml:space="preserve"> assess whether the effect on motivation is mediated by the effect on confidence. 6) Describe exactly how outliers will be defined and handled, and your precise rule(s) for excluding observations. We will include all participants who did not attrit. 7) How </w:t>
      </w:r>
      <w:r>
        <w:rPr>
          <w:lang w:val="en-US"/>
        </w:rPr>
        <w:lastRenderedPageBreak/>
        <w:t xml:space="preserve">many observations will be collected or what will determine sample size? No need to justify </w:t>
      </w:r>
      <w:proofErr w:type="gramStart"/>
      <w:r>
        <w:rPr>
          <w:lang w:val="en-US"/>
        </w:rPr>
        <w:t>decision, but</w:t>
      </w:r>
      <w:proofErr w:type="gramEnd"/>
      <w:r>
        <w:rPr>
          <w:lang w:val="en-US"/>
        </w:rPr>
        <w:t xml:space="preserve"> be precise about exactly how the number will be determined. This is a 2-condition between </w:t>
      </w:r>
      <w:proofErr w:type="gramStart"/>
      <w:r>
        <w:rPr>
          <w:lang w:val="en-US"/>
        </w:rPr>
        <w:t>subjects</w:t>
      </w:r>
      <w:proofErr w:type="gramEnd"/>
      <w:r>
        <w:rPr>
          <w:lang w:val="en-US"/>
        </w:rPr>
        <w:t xml:space="preserve"> design. We will recruit 88 participants per cell, which gives us enough power to detect a medium-size effect (d = .50). 8) Anything else you would like to pre-register? (e.g., secondary analyses, variables collected for exploratory purposes, unusual analyses planned?&gt;</w:t>
      </w:r>
    </w:p>
    <w:p w14:paraId="0C2295A4" w14:textId="742FAE0D" w:rsidR="00D440BC" w:rsidRDefault="00D440BC" w:rsidP="00D440BC">
      <w:pPr>
        <w:rPr>
          <w:b/>
          <w:lang w:val="en-US"/>
        </w:rPr>
      </w:pPr>
      <w:proofErr w:type="spellStart"/>
      <w:r>
        <w:rPr>
          <w:b/>
          <w:lang w:val="en-US"/>
        </w:rPr>
        <w:t>PubStud</w:t>
      </w:r>
      <w:proofErr w:type="spellEnd"/>
      <w:r>
        <w:rPr>
          <w:b/>
          <w:lang w:val="en-US"/>
        </w:rPr>
        <w:t xml:space="preserve"> Example</w:t>
      </w:r>
    </w:p>
    <w:p w14:paraId="25D374CC" w14:textId="77777777" w:rsidR="00D440BC" w:rsidRDefault="00D440BC" w:rsidP="00D440BC">
      <w:pPr>
        <w:autoSpaceDE w:val="0"/>
        <w:autoSpaceDN w:val="0"/>
        <w:adjustRightInd w:val="0"/>
        <w:spacing w:after="0" w:line="240" w:lineRule="auto"/>
        <w:rPr>
          <w:rFonts w:ascii="ITCGaramondStd-Lt" w:hAnsi="ITCGaramondStd-Lt" w:cs="ITCGaramondStd-Lt"/>
          <w:sz w:val="20"/>
          <w:szCs w:val="20"/>
          <w:lang w:val="en-US"/>
        </w:rPr>
      </w:pPr>
      <w:r>
        <w:rPr>
          <w:lang w:val="en-US"/>
        </w:rPr>
        <w:t xml:space="preserve">&lt; </w:t>
      </w:r>
      <w:r>
        <w:rPr>
          <w:rFonts w:ascii="ITCGaramondStd-Lt" w:hAnsi="ITCGaramondStd-Lt" w:cs="ITCGaramondStd-Lt"/>
          <w:sz w:val="20"/>
          <w:szCs w:val="20"/>
          <w:lang w:val="en-US"/>
        </w:rPr>
        <w:t xml:space="preserve">Our hypothesis was that predictors underestimate the motivational power of giving because they overlook the fact that giving advice raises confidence (Experiment 4). </w:t>
      </w:r>
    </w:p>
    <w:p w14:paraId="3C3473C4" w14:textId="77777777" w:rsidR="00D440BC" w:rsidRDefault="00D440BC" w:rsidP="00D440BC">
      <w:pPr>
        <w:autoSpaceDE w:val="0"/>
        <w:autoSpaceDN w:val="0"/>
        <w:adjustRightInd w:val="0"/>
        <w:spacing w:after="0" w:line="240" w:lineRule="auto"/>
        <w:rPr>
          <w:rFonts w:ascii="ITCGaramondStd-Bd" w:hAnsi="ITCGaramondStd-Bd" w:cs="ITCGaramondStd-Bd"/>
          <w:sz w:val="24"/>
          <w:szCs w:val="24"/>
          <w:lang w:val="en-US"/>
        </w:rPr>
      </w:pPr>
      <w:r>
        <w:rPr>
          <w:rFonts w:ascii="ITCGaramondStd-Bd" w:hAnsi="ITCGaramondStd-Bd" w:cs="ITCGaramondStd-Bd"/>
          <w:sz w:val="24"/>
          <w:szCs w:val="24"/>
          <w:lang w:val="en-US"/>
        </w:rPr>
        <w:t>Experiment 4: Giving Advice Instills</w:t>
      </w:r>
    </w:p>
    <w:p w14:paraId="434A039A" w14:textId="77777777" w:rsidR="00D440BC" w:rsidRDefault="00D440BC" w:rsidP="00D440BC">
      <w:pPr>
        <w:autoSpaceDE w:val="0"/>
        <w:autoSpaceDN w:val="0"/>
        <w:adjustRightInd w:val="0"/>
        <w:spacing w:after="0" w:line="240" w:lineRule="auto"/>
        <w:rPr>
          <w:rFonts w:ascii="ITCGaramondStd-Bd" w:hAnsi="ITCGaramondStd-Bd" w:cs="ITCGaramondStd-Bd"/>
          <w:sz w:val="24"/>
          <w:szCs w:val="24"/>
          <w:lang w:val="en-US"/>
        </w:rPr>
      </w:pPr>
      <w:r>
        <w:rPr>
          <w:rFonts w:ascii="ITCGaramondStd-Bd" w:hAnsi="ITCGaramondStd-Bd" w:cs="ITCGaramondStd-Bd"/>
          <w:sz w:val="24"/>
          <w:szCs w:val="24"/>
          <w:lang w:val="en-US"/>
        </w:rPr>
        <w:t>Confidence</w:t>
      </w:r>
    </w:p>
    <w:p w14:paraId="09790191" w14:textId="77777777" w:rsidR="00D440BC" w:rsidRDefault="00D440BC" w:rsidP="00D440BC">
      <w:pPr>
        <w:autoSpaceDE w:val="0"/>
        <w:autoSpaceDN w:val="0"/>
        <w:adjustRightInd w:val="0"/>
        <w:spacing w:after="0" w:line="240" w:lineRule="auto"/>
        <w:rPr>
          <w:rFonts w:ascii="ITCGaramondStd-Lt" w:hAnsi="ITCGaramondStd-Lt" w:cs="ITCGaramondStd-Lt"/>
          <w:sz w:val="20"/>
          <w:szCs w:val="20"/>
          <w:lang w:val="en-US"/>
        </w:rPr>
      </w:pPr>
      <w:r>
        <w:rPr>
          <w:rFonts w:ascii="ITCGaramondStd-Lt" w:hAnsi="ITCGaramondStd-Lt" w:cs="ITCGaramondStd-Lt"/>
          <w:sz w:val="20"/>
          <w:szCs w:val="20"/>
          <w:lang w:val="en-US"/>
        </w:rPr>
        <w:t xml:space="preserve">Across self-regulatory domains, people were more motivated by giving advice than receiving it (Experiments 1–3), a reality that predictors failed to anticipate (Experiments 2 and 3). In Experiment 4, we asked why predictors overlook the motivating power of giving. We hypothesized that advice giving motivated behavior by instilling confidence. That is, we expected pursuers to report that giving advice, more than receiving advice, raised both their confidence and their motivation. In contrast, we expected predictors to underestimate the degree to which </w:t>
      </w:r>
      <w:proofErr w:type="gramStart"/>
      <w:r>
        <w:rPr>
          <w:rFonts w:ascii="ITCGaramondStd-Lt" w:hAnsi="ITCGaramondStd-Lt" w:cs="ITCGaramondStd-Lt"/>
          <w:sz w:val="20"/>
          <w:szCs w:val="20"/>
          <w:lang w:val="en-US"/>
        </w:rPr>
        <w:t>advice giving</w:t>
      </w:r>
      <w:proofErr w:type="gramEnd"/>
      <w:r>
        <w:rPr>
          <w:rFonts w:ascii="ITCGaramondStd-Lt" w:hAnsi="ITCGaramondStd-Lt" w:cs="ITCGaramondStd-Lt"/>
          <w:sz w:val="20"/>
          <w:szCs w:val="20"/>
          <w:lang w:val="en-US"/>
        </w:rPr>
        <w:t xml:space="preserve"> raised confidence, and we expected this underestimate to explain why they overlooked the motivational power of giving. As in Experiment 2, we once again recruited overweight participants. We preregistered this study on </w:t>
      </w:r>
      <w:proofErr w:type="spellStart"/>
      <w:r>
        <w:rPr>
          <w:rFonts w:ascii="ITCGaramondStd-Lt" w:hAnsi="ITCGaramondStd-Lt" w:cs="ITCGaramondStd-Lt"/>
          <w:sz w:val="20"/>
          <w:szCs w:val="20"/>
          <w:lang w:val="en-US"/>
        </w:rPr>
        <w:t>AsPredicted</w:t>
      </w:r>
      <w:proofErr w:type="spellEnd"/>
      <w:r>
        <w:rPr>
          <w:rFonts w:ascii="ITCGaramondStd-Lt" w:hAnsi="ITCGaramondStd-Lt" w:cs="ITCGaramondStd-Lt"/>
          <w:sz w:val="20"/>
          <w:szCs w:val="20"/>
          <w:lang w:val="en-US"/>
        </w:rPr>
        <w:t xml:space="preserve"> (https://aspredicted.org/ni5z3.pdf).</w:t>
      </w:r>
    </w:p>
    <w:p w14:paraId="023DCA42" w14:textId="77777777" w:rsidR="00D440BC" w:rsidRDefault="00D440BC" w:rsidP="00D440BC">
      <w:pPr>
        <w:autoSpaceDE w:val="0"/>
        <w:autoSpaceDN w:val="0"/>
        <w:adjustRightInd w:val="0"/>
        <w:spacing w:after="0" w:line="240" w:lineRule="auto"/>
        <w:rPr>
          <w:rFonts w:ascii="ITCGaramondStd-BdIta" w:hAnsi="ITCGaramondStd-BdIta" w:cs="ITCGaramondStd-BdIta"/>
          <w:i/>
          <w:iCs/>
          <w:sz w:val="24"/>
          <w:szCs w:val="24"/>
          <w:lang w:val="en-US"/>
        </w:rPr>
      </w:pPr>
      <w:r>
        <w:rPr>
          <w:rFonts w:ascii="ITCGaramondStd-BdIta" w:hAnsi="ITCGaramondStd-BdIta" w:cs="ITCGaramondStd-BdIta"/>
          <w:i/>
          <w:iCs/>
          <w:sz w:val="24"/>
          <w:szCs w:val="24"/>
          <w:lang w:val="en-US"/>
        </w:rPr>
        <w:t>Method</w:t>
      </w:r>
    </w:p>
    <w:p w14:paraId="1784EA65" w14:textId="77777777" w:rsidR="00D440BC" w:rsidRDefault="00D440BC" w:rsidP="00D440BC">
      <w:pPr>
        <w:autoSpaceDE w:val="0"/>
        <w:autoSpaceDN w:val="0"/>
        <w:adjustRightInd w:val="0"/>
        <w:spacing w:after="0" w:line="240" w:lineRule="auto"/>
        <w:rPr>
          <w:rFonts w:ascii="ITCGaramondStd-Lt" w:hAnsi="ITCGaramondStd-Lt" w:cs="ITCGaramondStd-Lt"/>
          <w:sz w:val="20"/>
          <w:szCs w:val="20"/>
          <w:lang w:val="en-US"/>
        </w:rPr>
      </w:pPr>
      <w:r>
        <w:rPr>
          <w:rFonts w:ascii="ITCGaramondStd-BdIta" w:hAnsi="ITCGaramondStd-BdIta" w:cs="ITCGaramondStd-BdIta"/>
          <w:i/>
          <w:iCs/>
          <w:sz w:val="20"/>
          <w:szCs w:val="20"/>
          <w:lang w:val="en-US"/>
        </w:rPr>
        <w:t xml:space="preserve">Participants. </w:t>
      </w:r>
      <w:r>
        <w:rPr>
          <w:rFonts w:ascii="ITCGaramondStd-Lt" w:hAnsi="ITCGaramondStd-Lt" w:cs="ITCGaramondStd-Lt"/>
          <w:sz w:val="20"/>
          <w:szCs w:val="20"/>
          <w:lang w:val="en-US"/>
        </w:rPr>
        <w:t xml:space="preserve">We recruited pursuers, followed by yoked predictors, who were struggling to lose weight (health domain). We opened recruitment to 176 participants (88 per condition). </w:t>
      </w:r>
      <w:proofErr w:type="spellStart"/>
      <w:r>
        <w:rPr>
          <w:rFonts w:ascii="ITCGaramondStd-Lt" w:hAnsi="ITCGaramondStd-Lt" w:cs="ITCGaramondStd-Lt"/>
          <w:sz w:val="20"/>
          <w:szCs w:val="20"/>
          <w:lang w:val="en-US"/>
        </w:rPr>
        <w:t>MTurk</w:t>
      </w:r>
      <w:proofErr w:type="spellEnd"/>
      <w:r>
        <w:rPr>
          <w:rFonts w:ascii="ITCGaramondStd-Lt" w:hAnsi="ITCGaramondStd-Lt" w:cs="ITCGaramondStd-Lt"/>
          <w:sz w:val="20"/>
          <w:szCs w:val="20"/>
          <w:lang w:val="en-US"/>
        </w:rPr>
        <w:t xml:space="preserve"> returned 174 respondents (60.3% female; age: </w:t>
      </w:r>
      <w:r>
        <w:rPr>
          <w:rFonts w:ascii="ITCGaramondStd-LtIta" w:hAnsi="ITCGaramondStd-LtIta" w:cs="ITCGaramondStd-LtIta"/>
          <w:i/>
          <w:iCs/>
          <w:sz w:val="20"/>
          <w:szCs w:val="20"/>
          <w:lang w:val="en-US"/>
        </w:rPr>
        <w:t xml:space="preserve">M </w:t>
      </w:r>
      <w:r>
        <w:rPr>
          <w:rFonts w:ascii="SymbolMT" w:eastAsia="SymbolMT" w:hAnsi="ITCGaramondStd-Bd" w:cs="SymbolMT" w:hint="eastAsia"/>
          <w:sz w:val="20"/>
          <w:szCs w:val="20"/>
          <w:lang w:val="en-US"/>
        </w:rPr>
        <w:t xml:space="preserve">= </w:t>
      </w:r>
      <w:r>
        <w:rPr>
          <w:rFonts w:ascii="ITCGaramondStd-Lt" w:hAnsi="ITCGaramondStd-Lt" w:cs="ITCGaramondStd-Lt"/>
          <w:sz w:val="20"/>
          <w:szCs w:val="20"/>
          <w:lang w:val="en-US"/>
        </w:rPr>
        <w:t xml:space="preserve">34.34 years, </w:t>
      </w:r>
      <w:r>
        <w:rPr>
          <w:rFonts w:ascii="ITCGaramondStd-LtIta" w:hAnsi="ITCGaramondStd-LtIta" w:cs="ITCGaramondStd-LtIta"/>
          <w:i/>
          <w:iCs/>
          <w:sz w:val="20"/>
          <w:szCs w:val="20"/>
          <w:lang w:val="en-US"/>
        </w:rPr>
        <w:t xml:space="preserve">SD </w:t>
      </w:r>
      <w:r>
        <w:rPr>
          <w:rFonts w:ascii="SymbolMT" w:eastAsia="SymbolMT" w:hAnsi="ITCGaramondStd-Bd" w:cs="SymbolMT" w:hint="eastAsia"/>
          <w:sz w:val="20"/>
          <w:szCs w:val="20"/>
          <w:lang w:val="en-US"/>
        </w:rPr>
        <w:t xml:space="preserve">= </w:t>
      </w:r>
      <w:r>
        <w:rPr>
          <w:rFonts w:ascii="ITCGaramondStd-Lt" w:hAnsi="ITCGaramondStd-Lt" w:cs="ITCGaramondStd-Lt"/>
          <w:sz w:val="20"/>
          <w:szCs w:val="20"/>
          <w:lang w:val="en-US"/>
        </w:rPr>
        <w:t xml:space="preserve">11.07). Participants of any nationality were allowed to participate provided their </w:t>
      </w:r>
      <w:proofErr w:type="spellStart"/>
      <w:r>
        <w:rPr>
          <w:rFonts w:ascii="ITCGaramondStd-Lt" w:hAnsi="ITCGaramondStd-Lt" w:cs="ITCGaramondStd-Lt"/>
          <w:sz w:val="20"/>
          <w:szCs w:val="20"/>
          <w:lang w:val="en-US"/>
        </w:rPr>
        <w:t>MTurk</w:t>
      </w:r>
      <w:proofErr w:type="spellEnd"/>
      <w:r>
        <w:rPr>
          <w:rFonts w:ascii="ITCGaramondStd-Lt" w:hAnsi="ITCGaramondStd-Lt" w:cs="ITCGaramondStd-Lt"/>
          <w:sz w:val="20"/>
          <w:szCs w:val="20"/>
          <w:lang w:val="en-US"/>
        </w:rPr>
        <w:t xml:space="preserve"> approval rating was at or above 50%. Participants were compensated $0.50 for participating. </w:t>
      </w:r>
      <w:r>
        <w:rPr>
          <w:rFonts w:ascii="ITCGaramondStd-BdIta" w:hAnsi="ITCGaramondStd-BdIta" w:cs="ITCGaramondStd-BdIta"/>
          <w:i/>
          <w:iCs/>
          <w:sz w:val="20"/>
          <w:szCs w:val="20"/>
          <w:lang w:val="en-US"/>
        </w:rPr>
        <w:t xml:space="preserve">Procedure. </w:t>
      </w:r>
      <w:r>
        <w:rPr>
          <w:rFonts w:ascii="ITCGaramondStd-Lt" w:hAnsi="ITCGaramondStd-Lt" w:cs="ITCGaramondStd-Lt"/>
          <w:sz w:val="20"/>
          <w:szCs w:val="20"/>
          <w:lang w:val="en-US"/>
        </w:rPr>
        <w:t xml:space="preserve">Participants went through the procedure described in Experiment 2, with one exception: Before pursuers and predictors reported on motivation, they reported on confidence. Pursuers indicated which of the two activities (giving advice vs. receiving advice) made them feel more confident in their ability to lose weight (0 </w:t>
      </w:r>
      <w:r>
        <w:rPr>
          <w:rFonts w:ascii="SymbolMT" w:eastAsia="SymbolMT" w:hAnsi="ITCGaramondStd-Bd" w:cs="SymbolMT" w:hint="eastAsia"/>
          <w:sz w:val="20"/>
          <w:szCs w:val="20"/>
          <w:lang w:val="en-US"/>
        </w:rPr>
        <w:t xml:space="preserve">= </w:t>
      </w:r>
      <w:r>
        <w:rPr>
          <w:rFonts w:ascii="ITCGaramondStd-LtIta" w:hAnsi="ITCGaramondStd-LtIta" w:cs="ITCGaramondStd-LtIta"/>
          <w:i/>
          <w:iCs/>
          <w:sz w:val="20"/>
          <w:szCs w:val="20"/>
          <w:lang w:val="en-US"/>
        </w:rPr>
        <w:t>receiving advice</w:t>
      </w:r>
      <w:r>
        <w:rPr>
          <w:rFonts w:ascii="ITCGaramondStd-Lt" w:hAnsi="ITCGaramondStd-Lt" w:cs="ITCGaramondStd-Lt"/>
          <w:sz w:val="20"/>
          <w:szCs w:val="20"/>
          <w:lang w:val="en-US"/>
        </w:rPr>
        <w:t xml:space="preserve">, 1 </w:t>
      </w:r>
      <w:r>
        <w:rPr>
          <w:rFonts w:ascii="SymbolMT" w:eastAsia="SymbolMT" w:hAnsi="ITCGaramondStd-Bd" w:cs="SymbolMT" w:hint="eastAsia"/>
          <w:sz w:val="20"/>
          <w:szCs w:val="20"/>
          <w:lang w:val="en-US"/>
        </w:rPr>
        <w:t xml:space="preserve">= </w:t>
      </w:r>
      <w:r>
        <w:rPr>
          <w:rFonts w:ascii="ITCGaramondStd-LtIta" w:hAnsi="ITCGaramondStd-LtIta" w:cs="ITCGaramondStd-LtIta"/>
          <w:i/>
          <w:iCs/>
          <w:sz w:val="20"/>
          <w:szCs w:val="20"/>
          <w:lang w:val="en-US"/>
        </w:rPr>
        <w:t>giving advice</w:t>
      </w:r>
      <w:r>
        <w:rPr>
          <w:rFonts w:ascii="ITCGaramondStd-Lt" w:hAnsi="ITCGaramondStd-Lt" w:cs="ITCGaramondStd-Lt"/>
          <w:sz w:val="20"/>
          <w:szCs w:val="20"/>
          <w:lang w:val="en-US"/>
        </w:rPr>
        <w:t xml:space="preserve">). Yoked predictors forecasted which of the two activities would make someone else feel more confident in their ability to lose weight (0 </w:t>
      </w:r>
      <w:r>
        <w:rPr>
          <w:rFonts w:ascii="SymbolMT" w:eastAsia="SymbolMT" w:hAnsi="ITCGaramondStd-Bd" w:cs="SymbolMT" w:hint="eastAsia"/>
          <w:sz w:val="20"/>
          <w:szCs w:val="20"/>
          <w:lang w:val="en-US"/>
        </w:rPr>
        <w:t xml:space="preserve">= </w:t>
      </w:r>
      <w:r>
        <w:rPr>
          <w:rFonts w:ascii="ITCGaramondStd-LtIta" w:hAnsi="ITCGaramondStd-LtIta" w:cs="ITCGaramondStd-LtIta"/>
          <w:i/>
          <w:iCs/>
          <w:sz w:val="20"/>
          <w:szCs w:val="20"/>
          <w:lang w:val="en-US"/>
        </w:rPr>
        <w:t>receiving advice</w:t>
      </w:r>
      <w:r>
        <w:rPr>
          <w:rFonts w:ascii="ITCGaramondStd-Lt" w:hAnsi="ITCGaramondStd-Lt" w:cs="ITCGaramondStd-Lt"/>
          <w:sz w:val="20"/>
          <w:szCs w:val="20"/>
          <w:lang w:val="en-US"/>
        </w:rPr>
        <w:t xml:space="preserve">, 1 </w:t>
      </w:r>
      <w:r>
        <w:rPr>
          <w:rFonts w:ascii="SymbolMT" w:eastAsia="SymbolMT" w:hAnsi="ITCGaramondStd-Bd" w:cs="SymbolMT" w:hint="eastAsia"/>
          <w:sz w:val="20"/>
          <w:szCs w:val="20"/>
          <w:lang w:val="en-US"/>
        </w:rPr>
        <w:t xml:space="preserve">= </w:t>
      </w:r>
      <w:r>
        <w:rPr>
          <w:rFonts w:ascii="ITCGaramondStd-LtIta" w:hAnsi="ITCGaramondStd-LtIta" w:cs="ITCGaramondStd-LtIta"/>
          <w:i/>
          <w:iCs/>
          <w:sz w:val="20"/>
          <w:szCs w:val="20"/>
          <w:lang w:val="en-US"/>
        </w:rPr>
        <w:t>giving advice</w:t>
      </w:r>
      <w:r>
        <w:rPr>
          <w:rFonts w:ascii="ITCGaramondStd-Lt" w:hAnsi="ITCGaramondStd-Lt" w:cs="ITCGaramondStd-Lt"/>
          <w:sz w:val="20"/>
          <w:szCs w:val="20"/>
          <w:lang w:val="en-US"/>
        </w:rPr>
        <w:t>). Next, everyone reported on motivation using the measure from Experiment 2.</w:t>
      </w:r>
    </w:p>
    <w:p w14:paraId="6120E2CF" w14:textId="77777777" w:rsidR="00D440BC" w:rsidRDefault="00D440BC" w:rsidP="00D440BC">
      <w:pPr>
        <w:autoSpaceDE w:val="0"/>
        <w:autoSpaceDN w:val="0"/>
        <w:adjustRightInd w:val="0"/>
        <w:spacing w:after="0" w:line="240" w:lineRule="auto"/>
        <w:rPr>
          <w:rFonts w:ascii="ITCGaramondStd-BdIta" w:hAnsi="ITCGaramondStd-BdIta" w:cs="ITCGaramondStd-BdIta"/>
          <w:i/>
          <w:iCs/>
          <w:sz w:val="24"/>
          <w:szCs w:val="24"/>
          <w:lang w:val="en-US"/>
        </w:rPr>
      </w:pPr>
      <w:r>
        <w:rPr>
          <w:rFonts w:ascii="ITCGaramondStd-BdIta" w:hAnsi="ITCGaramondStd-BdIta" w:cs="ITCGaramondStd-BdIta"/>
          <w:i/>
          <w:iCs/>
          <w:sz w:val="24"/>
          <w:szCs w:val="24"/>
          <w:lang w:val="en-US"/>
        </w:rPr>
        <w:t>Results</w:t>
      </w:r>
    </w:p>
    <w:p w14:paraId="45A9FFEE" w14:textId="77777777" w:rsidR="00D440BC" w:rsidRDefault="00D440BC" w:rsidP="00D440BC">
      <w:pPr>
        <w:rPr>
          <w:rFonts w:ascii="ITCGaramondStd-Lt" w:hAnsi="ITCGaramondStd-Lt" w:cs="ITCGaramondStd-Lt"/>
          <w:sz w:val="20"/>
          <w:szCs w:val="20"/>
          <w:lang w:val="en-US"/>
        </w:rPr>
      </w:pPr>
      <w:r>
        <w:rPr>
          <w:rFonts w:ascii="ITCGaramondStd-Lt" w:hAnsi="ITCGaramondStd-Lt" w:cs="ITCGaramondStd-Lt"/>
          <w:sz w:val="20"/>
          <w:szCs w:val="20"/>
          <w:lang w:val="en-US"/>
        </w:rPr>
        <w:t xml:space="preserve">In support of the first hypothesis (from Experiments 1–3), analyses showed that 65.52% of pursuers found giving advice more motivating, which is statistically greater than the 34.48% who found receiving advice more motivating, </w:t>
      </w:r>
      <w:r>
        <w:rPr>
          <w:rFonts w:ascii="SymbolMT" w:eastAsia="SymbolMT" w:hAnsi="ITCGaramondStd-Bd" w:cs="SymbolMT" w:hint="eastAsia"/>
          <w:sz w:val="20"/>
          <w:szCs w:val="20"/>
          <w:lang w:val="en-US"/>
        </w:rPr>
        <w:t>χ</w:t>
      </w:r>
      <w:r>
        <w:rPr>
          <w:rFonts w:ascii="ITCGaramondStd-Lt" w:hAnsi="ITCGaramondStd-Lt" w:cs="ITCGaramondStd-Lt"/>
          <w:sz w:val="13"/>
          <w:szCs w:val="13"/>
          <w:lang w:val="en-US"/>
        </w:rPr>
        <w:t>2</w:t>
      </w:r>
      <w:r>
        <w:rPr>
          <w:rFonts w:ascii="ITCGaramondStd-Lt" w:hAnsi="ITCGaramondStd-Lt" w:cs="ITCGaramondStd-Lt"/>
          <w:sz w:val="20"/>
          <w:szCs w:val="20"/>
          <w:lang w:val="en-US"/>
        </w:rPr>
        <w:t xml:space="preserve">(1, </w:t>
      </w:r>
      <w:r>
        <w:rPr>
          <w:rFonts w:ascii="ITCGaramondStd-LtIta" w:hAnsi="ITCGaramondStd-LtIta" w:cs="ITCGaramondStd-LtIta"/>
          <w:i/>
          <w:iCs/>
          <w:sz w:val="20"/>
          <w:szCs w:val="20"/>
          <w:lang w:val="en-US"/>
        </w:rPr>
        <w:t xml:space="preserve">N </w:t>
      </w:r>
      <w:r>
        <w:rPr>
          <w:rFonts w:ascii="ITCGaramondStd-Lt" w:hAnsi="ITCGaramondStd-Lt" w:cs="ITCGaramondStd-Lt"/>
          <w:sz w:val="20"/>
          <w:szCs w:val="20"/>
          <w:lang w:val="en-US"/>
        </w:rPr>
        <w:t xml:space="preserve">= 87) </w:t>
      </w:r>
      <w:r>
        <w:rPr>
          <w:rFonts w:ascii="SymbolMT" w:eastAsia="SymbolMT" w:hAnsi="ITCGaramondStd-Bd" w:cs="SymbolMT" w:hint="eastAsia"/>
          <w:sz w:val="20"/>
          <w:szCs w:val="20"/>
          <w:lang w:val="en-US"/>
        </w:rPr>
        <w:t xml:space="preserve">= </w:t>
      </w:r>
      <w:r>
        <w:rPr>
          <w:rFonts w:ascii="ITCGaramondStd-Lt" w:hAnsi="ITCGaramondStd-Lt" w:cs="ITCGaramondStd-Lt"/>
          <w:sz w:val="20"/>
          <w:szCs w:val="20"/>
          <w:lang w:val="en-US"/>
        </w:rPr>
        <w:t xml:space="preserve">8.38, </w:t>
      </w:r>
      <w:r>
        <w:rPr>
          <w:rFonts w:ascii="ITCGaramondStd-LtIta" w:hAnsi="ITCGaramondStd-LtIta" w:cs="ITCGaramondStd-LtIta"/>
          <w:i/>
          <w:iCs/>
          <w:sz w:val="20"/>
          <w:szCs w:val="20"/>
          <w:lang w:val="en-US"/>
        </w:rPr>
        <w:t xml:space="preserve">p </w:t>
      </w:r>
      <w:r>
        <w:rPr>
          <w:rFonts w:ascii="SymbolMT" w:eastAsia="SymbolMT" w:hAnsi="ITCGaramondStd-Bd" w:cs="SymbolMT" w:hint="eastAsia"/>
          <w:sz w:val="20"/>
          <w:szCs w:val="20"/>
          <w:lang w:val="en-US"/>
        </w:rPr>
        <w:t xml:space="preserve">&lt; </w:t>
      </w:r>
      <w:r>
        <w:rPr>
          <w:rFonts w:ascii="ITCGaramondStd-Lt" w:hAnsi="ITCGaramondStd-Lt" w:cs="ITCGaramondStd-Lt"/>
          <w:sz w:val="20"/>
          <w:szCs w:val="20"/>
          <w:lang w:val="en-US"/>
        </w:rPr>
        <w:t xml:space="preserve">.001, </w:t>
      </w:r>
      <w:r>
        <w:rPr>
          <w:rFonts w:ascii="ITCGaramondStd-LtIta" w:hAnsi="ITCGaramondStd-LtIta" w:cs="ITCGaramondStd-LtIta"/>
          <w:i/>
          <w:iCs/>
          <w:sz w:val="20"/>
          <w:szCs w:val="20"/>
          <w:lang w:val="en-US"/>
        </w:rPr>
        <w:t xml:space="preserve">d </w:t>
      </w:r>
      <w:r>
        <w:rPr>
          <w:rFonts w:ascii="SymbolMT" w:eastAsia="SymbolMT" w:hAnsi="ITCGaramondStd-Bd" w:cs="SymbolMT" w:hint="eastAsia"/>
          <w:sz w:val="20"/>
          <w:szCs w:val="20"/>
          <w:lang w:val="en-US"/>
        </w:rPr>
        <w:t xml:space="preserve">= </w:t>
      </w:r>
      <w:r>
        <w:rPr>
          <w:rFonts w:ascii="ITCGaramondStd-Lt" w:hAnsi="ITCGaramondStd-Lt" w:cs="ITCGaramondStd-Lt"/>
          <w:sz w:val="20"/>
          <w:szCs w:val="20"/>
          <w:lang w:val="en-US"/>
        </w:rPr>
        <w:t xml:space="preserve">0.65, 95% CI </w:t>
      </w:r>
      <w:r>
        <w:rPr>
          <w:rFonts w:ascii="SymbolMT" w:eastAsia="SymbolMT" w:hAnsi="ITCGaramondStd-Bd" w:cs="SymbolMT" w:hint="eastAsia"/>
          <w:sz w:val="20"/>
          <w:szCs w:val="20"/>
          <w:lang w:val="en-US"/>
        </w:rPr>
        <w:t xml:space="preserve">= </w:t>
      </w:r>
      <w:r>
        <w:rPr>
          <w:rFonts w:ascii="ITCGaramondStd-Lt" w:hAnsi="ITCGaramondStd-Lt" w:cs="ITCGaramondStd-Lt"/>
          <w:sz w:val="20"/>
          <w:szCs w:val="20"/>
          <w:lang w:val="en-US"/>
        </w:rPr>
        <w:t xml:space="preserve">[0.21, 1.10]. We found a similar pattern on confidence: 73.56% of pursuers felt more confident after giving advice, which is statistically greater than the 26.44% of pursuers who felt more confident after receiving advice, </w:t>
      </w:r>
      <w:r>
        <w:rPr>
          <w:rFonts w:ascii="SymbolMT" w:eastAsia="SymbolMT" w:hAnsi="ITCGaramondStd-Bd" w:cs="SymbolMT" w:hint="eastAsia"/>
          <w:sz w:val="20"/>
          <w:szCs w:val="20"/>
          <w:lang w:val="en-US"/>
        </w:rPr>
        <w:t>χ</w:t>
      </w:r>
      <w:r>
        <w:rPr>
          <w:rFonts w:ascii="ITCGaramondStd-Lt" w:hAnsi="ITCGaramondStd-Lt" w:cs="ITCGaramondStd-Lt"/>
          <w:sz w:val="13"/>
          <w:szCs w:val="13"/>
          <w:lang w:val="en-US"/>
        </w:rPr>
        <w:t>2</w:t>
      </w:r>
      <w:r>
        <w:rPr>
          <w:rFonts w:ascii="ITCGaramondStd-Lt" w:hAnsi="ITCGaramondStd-Lt" w:cs="ITCGaramondStd-Lt"/>
          <w:sz w:val="20"/>
          <w:szCs w:val="20"/>
          <w:lang w:val="en-US"/>
        </w:rPr>
        <w:t xml:space="preserve">(1, </w:t>
      </w:r>
      <w:r>
        <w:rPr>
          <w:rFonts w:ascii="ITCGaramondStd-LtIta" w:hAnsi="ITCGaramondStd-LtIta" w:cs="ITCGaramondStd-LtIta"/>
          <w:i/>
          <w:iCs/>
          <w:sz w:val="20"/>
          <w:szCs w:val="20"/>
          <w:lang w:val="en-US"/>
        </w:rPr>
        <w:t xml:space="preserve">N </w:t>
      </w:r>
      <w:r>
        <w:rPr>
          <w:rFonts w:ascii="ITCGaramondStd-Lt" w:hAnsi="ITCGaramondStd-Lt" w:cs="ITCGaramondStd-Lt"/>
          <w:sz w:val="20"/>
          <w:szCs w:val="20"/>
          <w:lang w:val="en-US"/>
        </w:rPr>
        <w:t xml:space="preserve">= 87) </w:t>
      </w:r>
      <w:r>
        <w:rPr>
          <w:rFonts w:ascii="SymbolMT" w:eastAsia="SymbolMT" w:hAnsi="ITCGaramondStd-Bd" w:cs="SymbolMT" w:hint="eastAsia"/>
          <w:sz w:val="20"/>
          <w:szCs w:val="20"/>
          <w:lang w:val="en-US"/>
        </w:rPr>
        <w:t xml:space="preserve">= </w:t>
      </w:r>
      <w:r>
        <w:rPr>
          <w:rFonts w:ascii="ITCGaramondStd-Lt" w:hAnsi="ITCGaramondStd-Lt" w:cs="ITCGaramondStd-Lt"/>
          <w:sz w:val="20"/>
          <w:szCs w:val="20"/>
          <w:lang w:val="en-US"/>
        </w:rPr>
        <w:t xml:space="preserve">10.23, </w:t>
      </w:r>
      <w:r>
        <w:rPr>
          <w:rFonts w:ascii="ITCGaramondStd-LtIta" w:hAnsi="ITCGaramondStd-LtIta" w:cs="ITCGaramondStd-LtIta"/>
          <w:i/>
          <w:iCs/>
          <w:sz w:val="20"/>
          <w:szCs w:val="20"/>
          <w:lang w:val="en-US"/>
        </w:rPr>
        <w:t xml:space="preserve">p </w:t>
      </w:r>
      <w:r>
        <w:rPr>
          <w:rFonts w:ascii="SymbolMT" w:eastAsia="SymbolMT" w:hAnsi="ITCGaramondStd-Bd" w:cs="SymbolMT" w:hint="eastAsia"/>
          <w:sz w:val="20"/>
          <w:szCs w:val="20"/>
          <w:lang w:val="en-US"/>
        </w:rPr>
        <w:t xml:space="preserve">= </w:t>
      </w:r>
      <w:r>
        <w:rPr>
          <w:rFonts w:ascii="ITCGaramondStd-Lt" w:hAnsi="ITCGaramondStd-Lt" w:cs="ITCGaramondStd-Lt"/>
          <w:sz w:val="20"/>
          <w:szCs w:val="20"/>
          <w:lang w:val="en-US"/>
        </w:rPr>
        <w:t xml:space="preserve">.001, </w:t>
      </w:r>
      <w:r>
        <w:rPr>
          <w:rFonts w:ascii="ITCGaramondStd-LtIta" w:hAnsi="ITCGaramondStd-LtIta" w:cs="ITCGaramondStd-LtIta"/>
          <w:i/>
          <w:iCs/>
          <w:sz w:val="20"/>
          <w:szCs w:val="20"/>
          <w:lang w:val="en-US"/>
        </w:rPr>
        <w:t xml:space="preserve">d </w:t>
      </w:r>
      <w:r>
        <w:rPr>
          <w:rFonts w:ascii="SymbolMT" w:eastAsia="SymbolMT" w:hAnsi="ITCGaramondStd-Bd" w:cs="SymbolMT" w:hint="eastAsia"/>
          <w:sz w:val="20"/>
          <w:szCs w:val="20"/>
          <w:lang w:val="en-US"/>
        </w:rPr>
        <w:t xml:space="preserve">= </w:t>
      </w:r>
      <w:r>
        <w:rPr>
          <w:rFonts w:ascii="ITCGaramondStd-Lt" w:hAnsi="ITCGaramondStd-Lt" w:cs="ITCGaramondStd-Lt"/>
          <w:sz w:val="20"/>
          <w:szCs w:val="20"/>
          <w:lang w:val="en-US"/>
        </w:rPr>
        <w:t xml:space="preserve">0.73, 95% CI </w:t>
      </w:r>
      <w:r>
        <w:rPr>
          <w:rFonts w:ascii="SymbolMT" w:eastAsia="SymbolMT" w:hAnsi="ITCGaramondStd-Bd" w:cs="SymbolMT" w:hint="eastAsia"/>
          <w:sz w:val="20"/>
          <w:szCs w:val="20"/>
          <w:lang w:val="en-US"/>
        </w:rPr>
        <w:t xml:space="preserve">= </w:t>
      </w:r>
      <w:r>
        <w:rPr>
          <w:rFonts w:ascii="ITCGaramondStd-Lt" w:hAnsi="ITCGaramondStd-Lt" w:cs="ITCGaramondStd-Lt"/>
          <w:sz w:val="20"/>
          <w:szCs w:val="20"/>
          <w:lang w:val="en-US"/>
        </w:rPr>
        <w:t>[0.28, 1.18]. Among pursuers, confidence positively predicted motivation (</w:t>
      </w:r>
      <w:r>
        <w:rPr>
          <w:rFonts w:ascii="ITCGaramondStd-LtIta" w:hAnsi="ITCGaramondStd-LtIta" w:cs="ITCGaramondStd-LtIta"/>
          <w:i/>
          <w:iCs/>
          <w:sz w:val="20"/>
          <w:szCs w:val="20"/>
          <w:lang w:val="en-US"/>
        </w:rPr>
        <w:t xml:space="preserve">r </w:t>
      </w:r>
      <w:r>
        <w:rPr>
          <w:rFonts w:ascii="SymbolMT" w:eastAsia="SymbolMT" w:hAnsi="ITCGaramondStd-Bd" w:cs="SymbolMT" w:hint="eastAsia"/>
          <w:sz w:val="20"/>
          <w:szCs w:val="20"/>
          <w:lang w:val="en-US"/>
        </w:rPr>
        <w:t xml:space="preserve">= </w:t>
      </w:r>
      <w:r>
        <w:rPr>
          <w:rFonts w:ascii="ITCGaramondStd-Lt" w:hAnsi="ITCGaramondStd-Lt" w:cs="ITCGaramondStd-Lt"/>
          <w:sz w:val="20"/>
          <w:szCs w:val="20"/>
          <w:lang w:val="en-US"/>
        </w:rPr>
        <w:t xml:space="preserve">.33, </w:t>
      </w:r>
      <w:r>
        <w:rPr>
          <w:rFonts w:ascii="ITCGaramondStd-LtIta" w:hAnsi="ITCGaramondStd-LtIta" w:cs="ITCGaramondStd-LtIta"/>
          <w:i/>
          <w:iCs/>
          <w:sz w:val="20"/>
          <w:szCs w:val="20"/>
          <w:lang w:val="en-US"/>
        </w:rPr>
        <w:t xml:space="preserve">p </w:t>
      </w:r>
      <w:r>
        <w:rPr>
          <w:rFonts w:ascii="SymbolMT" w:eastAsia="SymbolMT" w:hAnsi="ITCGaramondStd-Bd" w:cs="SymbolMT" w:hint="eastAsia"/>
          <w:sz w:val="20"/>
          <w:szCs w:val="20"/>
          <w:lang w:val="en-US"/>
        </w:rPr>
        <w:t xml:space="preserve">= </w:t>
      </w:r>
      <w:r>
        <w:rPr>
          <w:rFonts w:ascii="ITCGaramondStd-Lt" w:hAnsi="ITCGaramondStd-Lt" w:cs="ITCGaramondStd-Lt"/>
          <w:sz w:val="20"/>
          <w:szCs w:val="20"/>
          <w:lang w:val="en-US"/>
        </w:rPr>
        <w:t xml:space="preserve">.002), which suggests that, indeed, one of the reasons that giving advice motivates is because it instills confidence. In support of the second hypothesis (from Experiments 2 and 3), participants </w:t>
      </w:r>
      <w:proofErr w:type="spellStart"/>
      <w:r>
        <w:rPr>
          <w:rFonts w:ascii="ITCGaramondStd-Lt" w:hAnsi="ITCGaramondStd-Lt" w:cs="ITCGaramondStd-Lt"/>
          <w:sz w:val="20"/>
          <w:szCs w:val="20"/>
          <w:lang w:val="en-US"/>
        </w:rPr>
        <w:t>mispredicted</w:t>
      </w:r>
      <w:proofErr w:type="spellEnd"/>
      <w:r>
        <w:rPr>
          <w:rFonts w:ascii="ITCGaramondStd-Lt" w:hAnsi="ITCGaramondStd-Lt" w:cs="ITCGaramondStd-Lt"/>
          <w:sz w:val="20"/>
          <w:szCs w:val="20"/>
          <w:lang w:val="en-US"/>
        </w:rPr>
        <w:t xml:space="preserve"> this phenomenon. Whereas 65.52% of pursuers felt more motivated to lose weight after giving advice, only 43.68% of predictors predicted that people would find giving advice more motivating, </w:t>
      </w:r>
      <w:r>
        <w:rPr>
          <w:rFonts w:ascii="SymbolMT" w:eastAsia="SymbolMT" w:hAnsi="ITCGaramondStd-Bd" w:cs="SymbolMT" w:hint="eastAsia"/>
          <w:sz w:val="20"/>
          <w:szCs w:val="20"/>
          <w:lang w:val="en-US"/>
        </w:rPr>
        <w:t>χ</w:t>
      </w:r>
      <w:r>
        <w:rPr>
          <w:rFonts w:ascii="ITCGaramondStd-Lt" w:hAnsi="ITCGaramondStd-Lt" w:cs="ITCGaramondStd-Lt"/>
          <w:sz w:val="13"/>
          <w:szCs w:val="13"/>
          <w:lang w:val="en-US"/>
        </w:rPr>
        <w:t>2</w:t>
      </w:r>
      <w:r>
        <w:rPr>
          <w:rFonts w:ascii="ITCGaramondStd-Lt" w:hAnsi="ITCGaramondStd-Lt" w:cs="ITCGaramondStd-Lt"/>
          <w:sz w:val="20"/>
          <w:szCs w:val="20"/>
          <w:lang w:val="en-US"/>
        </w:rPr>
        <w:t xml:space="preserve">(1, </w:t>
      </w:r>
      <w:r>
        <w:rPr>
          <w:rFonts w:ascii="ITCGaramondStd-LtIta" w:hAnsi="ITCGaramondStd-LtIta" w:cs="ITCGaramondStd-LtIta"/>
          <w:i/>
          <w:iCs/>
          <w:sz w:val="20"/>
          <w:szCs w:val="20"/>
          <w:lang w:val="en-US"/>
        </w:rPr>
        <w:t xml:space="preserve">N </w:t>
      </w:r>
      <w:r>
        <w:rPr>
          <w:rFonts w:ascii="ITCGaramondStd-Lt" w:hAnsi="ITCGaramondStd-Lt" w:cs="ITCGaramondStd-Lt"/>
          <w:sz w:val="20"/>
          <w:szCs w:val="20"/>
          <w:lang w:val="en-US"/>
        </w:rPr>
        <w:t xml:space="preserve">= 174) </w:t>
      </w:r>
      <w:r>
        <w:rPr>
          <w:rFonts w:ascii="SymbolMT" w:eastAsia="SymbolMT" w:hAnsi="ITCGaramondStd-Bd" w:cs="SymbolMT" w:hint="eastAsia"/>
          <w:sz w:val="20"/>
          <w:szCs w:val="20"/>
          <w:lang w:val="en-US"/>
        </w:rPr>
        <w:t xml:space="preserve">= </w:t>
      </w:r>
      <w:r>
        <w:rPr>
          <w:rFonts w:ascii="ITCGaramondStd-Lt" w:hAnsi="ITCGaramondStd-Lt" w:cs="ITCGaramondStd-Lt"/>
          <w:sz w:val="20"/>
          <w:szCs w:val="20"/>
          <w:lang w:val="en-US"/>
        </w:rPr>
        <w:t xml:space="preserve">8.37, </w:t>
      </w:r>
      <w:r>
        <w:rPr>
          <w:rFonts w:ascii="ITCGaramondStd-LtIta" w:hAnsi="ITCGaramondStd-LtIta" w:cs="ITCGaramondStd-LtIta"/>
          <w:i/>
          <w:iCs/>
          <w:sz w:val="20"/>
          <w:szCs w:val="20"/>
          <w:lang w:val="en-US"/>
        </w:rPr>
        <w:t xml:space="preserve">p </w:t>
      </w:r>
      <w:r>
        <w:rPr>
          <w:rFonts w:ascii="SymbolMT" w:eastAsia="SymbolMT" w:hAnsi="ITCGaramondStd-Bd" w:cs="SymbolMT" w:hint="eastAsia"/>
          <w:sz w:val="20"/>
          <w:szCs w:val="20"/>
          <w:lang w:val="en-US"/>
        </w:rPr>
        <w:t xml:space="preserve">= </w:t>
      </w:r>
      <w:r>
        <w:rPr>
          <w:rFonts w:ascii="ITCGaramondStd-Lt" w:hAnsi="ITCGaramondStd-Lt" w:cs="ITCGaramondStd-Lt"/>
          <w:sz w:val="20"/>
          <w:szCs w:val="20"/>
          <w:lang w:val="en-US"/>
        </w:rPr>
        <w:t xml:space="preserve">.004, </w:t>
      </w:r>
      <w:r>
        <w:rPr>
          <w:rFonts w:ascii="ITCGaramondStd-LtIta" w:hAnsi="ITCGaramondStd-LtIta" w:cs="ITCGaramondStd-LtIta"/>
          <w:i/>
          <w:iCs/>
          <w:sz w:val="20"/>
          <w:szCs w:val="20"/>
          <w:lang w:val="en-US"/>
        </w:rPr>
        <w:t xml:space="preserve">d </w:t>
      </w:r>
      <w:r>
        <w:rPr>
          <w:rFonts w:ascii="SymbolMT" w:eastAsia="SymbolMT" w:hAnsi="ITCGaramondStd-Bd" w:cs="SymbolMT" w:hint="eastAsia"/>
          <w:sz w:val="20"/>
          <w:szCs w:val="20"/>
          <w:lang w:val="en-US"/>
        </w:rPr>
        <w:t xml:space="preserve">= </w:t>
      </w:r>
      <w:r>
        <w:rPr>
          <w:rFonts w:ascii="ITCGaramondStd-Lt" w:hAnsi="ITCGaramondStd-Lt" w:cs="ITCGaramondStd-Lt"/>
          <w:sz w:val="20"/>
          <w:szCs w:val="20"/>
          <w:lang w:val="en-US"/>
        </w:rPr>
        <w:t xml:space="preserve">0.45, 95% CI </w:t>
      </w:r>
      <w:r>
        <w:rPr>
          <w:rFonts w:ascii="SymbolMT" w:eastAsia="SymbolMT" w:hAnsi="ITCGaramondStd-Bd" w:cs="SymbolMT" w:hint="eastAsia"/>
          <w:sz w:val="20"/>
          <w:szCs w:val="20"/>
          <w:lang w:val="en-US"/>
        </w:rPr>
        <w:t xml:space="preserve">= </w:t>
      </w:r>
      <w:r>
        <w:rPr>
          <w:rFonts w:ascii="ITCGaramondStd-Lt" w:hAnsi="ITCGaramondStd-Lt" w:cs="ITCGaramondStd-Lt"/>
          <w:sz w:val="20"/>
          <w:szCs w:val="20"/>
          <w:lang w:val="en-US"/>
        </w:rPr>
        <w:t xml:space="preserve">[0.15, 0.75]. We found a similar pattern on confidence: Whereas 73.56% of pursuers felt that giving advice made them more confident than receiving advice, only 52.87% of predictors predicted this, </w:t>
      </w:r>
      <w:r>
        <w:rPr>
          <w:rFonts w:ascii="SymbolMT" w:eastAsia="SymbolMT" w:hAnsi="ITCGaramondStd-Bd" w:cs="SymbolMT" w:hint="eastAsia"/>
          <w:sz w:val="20"/>
          <w:szCs w:val="20"/>
          <w:lang w:val="en-US"/>
        </w:rPr>
        <w:t>χ</w:t>
      </w:r>
      <w:r>
        <w:rPr>
          <w:rFonts w:ascii="ITCGaramondStd-Lt" w:hAnsi="ITCGaramondStd-Lt" w:cs="ITCGaramondStd-Lt"/>
          <w:sz w:val="13"/>
          <w:szCs w:val="13"/>
          <w:lang w:val="en-US"/>
        </w:rPr>
        <w:t>2</w:t>
      </w:r>
      <w:r>
        <w:rPr>
          <w:rFonts w:ascii="ITCGaramondStd-Lt" w:hAnsi="ITCGaramondStd-Lt" w:cs="ITCGaramondStd-Lt"/>
          <w:sz w:val="20"/>
          <w:szCs w:val="20"/>
          <w:lang w:val="en-US"/>
        </w:rPr>
        <w:t xml:space="preserve">(1, </w:t>
      </w:r>
      <w:r>
        <w:rPr>
          <w:rFonts w:ascii="ITCGaramondStd-LtIta" w:hAnsi="ITCGaramondStd-LtIta" w:cs="ITCGaramondStd-LtIta"/>
          <w:i/>
          <w:iCs/>
          <w:sz w:val="20"/>
          <w:szCs w:val="20"/>
          <w:lang w:val="en-US"/>
        </w:rPr>
        <w:t xml:space="preserve">N </w:t>
      </w:r>
      <w:r>
        <w:rPr>
          <w:rFonts w:ascii="ITCGaramondStd-Lt" w:hAnsi="ITCGaramondStd-Lt" w:cs="ITCGaramondStd-Lt"/>
          <w:sz w:val="20"/>
          <w:szCs w:val="20"/>
          <w:lang w:val="en-US"/>
        </w:rPr>
        <w:t xml:space="preserve">= 174) </w:t>
      </w:r>
      <w:r>
        <w:rPr>
          <w:rFonts w:ascii="SymbolMT" w:eastAsia="SymbolMT" w:hAnsi="ITCGaramondStd-Bd" w:cs="SymbolMT" w:hint="eastAsia"/>
          <w:sz w:val="20"/>
          <w:szCs w:val="20"/>
          <w:lang w:val="en-US"/>
        </w:rPr>
        <w:t xml:space="preserve">= </w:t>
      </w:r>
      <w:r>
        <w:rPr>
          <w:rFonts w:ascii="ITCGaramondStd-Lt" w:hAnsi="ITCGaramondStd-Lt" w:cs="ITCGaramondStd-Lt"/>
          <w:sz w:val="20"/>
          <w:szCs w:val="20"/>
          <w:lang w:val="en-US"/>
        </w:rPr>
        <w:t xml:space="preserve">8.01, </w:t>
      </w:r>
      <w:r>
        <w:rPr>
          <w:rFonts w:ascii="ITCGaramondStd-LtIta" w:hAnsi="ITCGaramondStd-LtIta" w:cs="ITCGaramondStd-LtIta"/>
          <w:i/>
          <w:iCs/>
          <w:sz w:val="20"/>
          <w:szCs w:val="20"/>
          <w:lang w:val="en-US"/>
        </w:rPr>
        <w:t xml:space="preserve">p </w:t>
      </w:r>
      <w:r>
        <w:rPr>
          <w:rFonts w:ascii="SymbolMT" w:eastAsia="SymbolMT" w:hAnsi="ITCGaramondStd-Bd" w:cs="SymbolMT" w:hint="eastAsia"/>
          <w:sz w:val="20"/>
          <w:szCs w:val="20"/>
          <w:lang w:val="en-US"/>
        </w:rPr>
        <w:t xml:space="preserve">&lt; </w:t>
      </w:r>
      <w:r>
        <w:rPr>
          <w:rFonts w:ascii="ITCGaramondStd-Lt" w:hAnsi="ITCGaramondStd-Lt" w:cs="ITCGaramondStd-Lt"/>
          <w:sz w:val="20"/>
          <w:szCs w:val="20"/>
          <w:lang w:val="en-US"/>
        </w:rPr>
        <w:t xml:space="preserve">.001, </w:t>
      </w:r>
      <w:r>
        <w:rPr>
          <w:rFonts w:ascii="ITCGaramondStd-LtIta" w:hAnsi="ITCGaramondStd-LtIta" w:cs="ITCGaramondStd-LtIta"/>
          <w:i/>
          <w:iCs/>
          <w:sz w:val="20"/>
          <w:szCs w:val="20"/>
          <w:lang w:val="en-US"/>
        </w:rPr>
        <w:t xml:space="preserve">d </w:t>
      </w:r>
      <w:r>
        <w:rPr>
          <w:rFonts w:ascii="SymbolMT" w:eastAsia="SymbolMT" w:hAnsi="ITCGaramondStd-Bd" w:cs="SymbolMT" w:hint="eastAsia"/>
          <w:sz w:val="20"/>
          <w:szCs w:val="20"/>
          <w:lang w:val="en-US"/>
        </w:rPr>
        <w:t xml:space="preserve">= </w:t>
      </w:r>
      <w:r>
        <w:rPr>
          <w:rFonts w:ascii="ITCGaramondStd-Lt" w:hAnsi="ITCGaramondStd-Lt" w:cs="ITCGaramondStd-Lt"/>
          <w:sz w:val="20"/>
          <w:szCs w:val="20"/>
          <w:lang w:val="en-US"/>
        </w:rPr>
        <w:t xml:space="preserve">0.44, 95% CI </w:t>
      </w:r>
      <w:r>
        <w:rPr>
          <w:rFonts w:ascii="SymbolMT" w:eastAsia="SymbolMT" w:hAnsi="ITCGaramondStd-Bd" w:cs="SymbolMT" w:hint="eastAsia"/>
          <w:sz w:val="20"/>
          <w:szCs w:val="20"/>
          <w:lang w:val="en-US"/>
        </w:rPr>
        <w:t xml:space="preserve">= </w:t>
      </w:r>
      <w:r>
        <w:rPr>
          <w:rFonts w:ascii="ITCGaramondStd-Lt" w:hAnsi="ITCGaramondStd-Lt" w:cs="ITCGaramondStd-Lt"/>
          <w:sz w:val="20"/>
          <w:szCs w:val="20"/>
          <w:lang w:val="en-US"/>
        </w:rPr>
        <w:t>[0.14, 0.74]. Next, we tested whether confidence mediated the effect of condition (pursuer vs. predictor) on motivation. Pursuers found giving advice more motivating than predictors expected them to, odds ratio (</w:t>
      </w:r>
      <w:r>
        <w:rPr>
          <w:rFonts w:ascii="ITCGaramondStd-LtIta" w:hAnsi="ITCGaramondStd-LtIta" w:cs="ITCGaramondStd-LtIta"/>
          <w:i/>
          <w:iCs/>
          <w:sz w:val="20"/>
          <w:szCs w:val="20"/>
          <w:lang w:val="en-US"/>
        </w:rPr>
        <w:t>OR</w:t>
      </w:r>
      <w:r>
        <w:rPr>
          <w:rFonts w:ascii="ITCGaramondStd-Lt" w:hAnsi="ITCGaramondStd-Lt" w:cs="ITCGaramondStd-Lt"/>
          <w:sz w:val="20"/>
          <w:szCs w:val="20"/>
          <w:lang w:val="en-US"/>
        </w:rPr>
        <w:t xml:space="preserve">) </w:t>
      </w:r>
      <w:r>
        <w:rPr>
          <w:rFonts w:ascii="SymbolMT" w:eastAsia="SymbolMT" w:hAnsi="ITCGaramondStd-Lt" w:cs="SymbolMT" w:hint="eastAsia"/>
          <w:sz w:val="20"/>
          <w:szCs w:val="20"/>
          <w:lang w:val="en-US"/>
        </w:rPr>
        <w:t xml:space="preserve">= </w:t>
      </w:r>
      <w:r>
        <w:rPr>
          <w:rFonts w:ascii="ITCGaramondStd-Lt" w:hAnsi="ITCGaramondStd-Lt" w:cs="ITCGaramondStd-Lt"/>
          <w:sz w:val="20"/>
          <w:szCs w:val="20"/>
          <w:lang w:val="en-US"/>
        </w:rPr>
        <w:t xml:space="preserve">2.45, </w:t>
      </w:r>
      <w:r>
        <w:rPr>
          <w:rFonts w:ascii="ITCGaramondStd-LtIta" w:hAnsi="ITCGaramondStd-LtIta" w:cs="ITCGaramondStd-LtIta"/>
          <w:i/>
          <w:iCs/>
          <w:sz w:val="20"/>
          <w:szCs w:val="20"/>
          <w:lang w:val="en-US"/>
        </w:rPr>
        <w:t xml:space="preserve">p </w:t>
      </w:r>
      <w:r>
        <w:rPr>
          <w:rFonts w:ascii="SymbolMT" w:eastAsia="SymbolMT" w:hAnsi="ITCGaramondStd-Lt" w:cs="SymbolMT" w:hint="eastAsia"/>
          <w:sz w:val="20"/>
          <w:szCs w:val="20"/>
          <w:lang w:val="en-US"/>
        </w:rPr>
        <w:t xml:space="preserve">= </w:t>
      </w:r>
      <w:r>
        <w:rPr>
          <w:rFonts w:ascii="ITCGaramondStd-Lt" w:hAnsi="ITCGaramondStd-Lt" w:cs="ITCGaramondStd-Lt"/>
          <w:sz w:val="20"/>
          <w:szCs w:val="20"/>
          <w:lang w:val="en-US"/>
        </w:rPr>
        <w:t xml:space="preserve">.004. Pursuers also reported that giving advice increased confidence more than predictors expected it to, </w:t>
      </w:r>
      <w:r>
        <w:rPr>
          <w:rFonts w:ascii="ITCGaramondStd-LtIta" w:hAnsi="ITCGaramondStd-LtIta" w:cs="ITCGaramondStd-LtIta"/>
          <w:i/>
          <w:iCs/>
          <w:sz w:val="20"/>
          <w:szCs w:val="20"/>
          <w:lang w:val="en-US"/>
        </w:rPr>
        <w:t xml:space="preserve">OR </w:t>
      </w:r>
      <w:r>
        <w:rPr>
          <w:rFonts w:ascii="SymbolMT" w:eastAsia="SymbolMT" w:hAnsi="ITCGaramondStd-Lt" w:cs="SymbolMT" w:hint="eastAsia"/>
          <w:sz w:val="20"/>
          <w:szCs w:val="20"/>
          <w:lang w:val="en-US"/>
        </w:rPr>
        <w:t xml:space="preserve">= </w:t>
      </w:r>
      <w:r>
        <w:rPr>
          <w:rFonts w:ascii="ITCGaramondStd-Lt" w:hAnsi="ITCGaramondStd-Lt" w:cs="ITCGaramondStd-Lt"/>
          <w:sz w:val="20"/>
          <w:szCs w:val="20"/>
          <w:lang w:val="en-US"/>
        </w:rPr>
        <w:t xml:space="preserve">2.48, </w:t>
      </w:r>
      <w:r>
        <w:rPr>
          <w:rFonts w:ascii="ITCGaramondStd-LtIta" w:hAnsi="ITCGaramondStd-LtIta" w:cs="ITCGaramondStd-LtIta"/>
          <w:i/>
          <w:iCs/>
          <w:sz w:val="20"/>
          <w:szCs w:val="20"/>
          <w:lang w:val="en-US"/>
        </w:rPr>
        <w:t xml:space="preserve">p </w:t>
      </w:r>
      <w:r>
        <w:rPr>
          <w:rFonts w:ascii="SymbolMT" w:eastAsia="SymbolMT" w:hAnsi="ITCGaramondStd-Lt" w:cs="SymbolMT" w:hint="eastAsia"/>
          <w:sz w:val="20"/>
          <w:szCs w:val="20"/>
          <w:lang w:val="en-US"/>
        </w:rPr>
        <w:t xml:space="preserve">= </w:t>
      </w:r>
      <w:r>
        <w:rPr>
          <w:rFonts w:ascii="ITCGaramondStd-Lt" w:hAnsi="ITCGaramondStd-Lt" w:cs="ITCGaramondStd-Lt"/>
          <w:sz w:val="20"/>
          <w:szCs w:val="20"/>
          <w:lang w:val="en-US"/>
        </w:rPr>
        <w:t xml:space="preserve">.005. Controlling for confidence, we found that the effect of </w:t>
      </w:r>
      <w:r>
        <w:rPr>
          <w:rFonts w:ascii="ITCGaramondStd-Lt" w:hAnsi="ITCGaramondStd-Lt" w:cs="ITCGaramondStd-Lt"/>
          <w:sz w:val="20"/>
          <w:szCs w:val="20"/>
          <w:lang w:val="en-US"/>
        </w:rPr>
        <w:lastRenderedPageBreak/>
        <w:t xml:space="preserve">condition on motivation was significantly smaller, </w:t>
      </w:r>
      <w:r>
        <w:rPr>
          <w:rFonts w:ascii="ITCGaramondStd-LtIta" w:hAnsi="ITCGaramondStd-LtIta" w:cs="ITCGaramondStd-LtIta"/>
          <w:i/>
          <w:iCs/>
          <w:sz w:val="20"/>
          <w:szCs w:val="20"/>
          <w:lang w:val="en-US"/>
        </w:rPr>
        <w:t xml:space="preserve">OR </w:t>
      </w:r>
      <w:r>
        <w:rPr>
          <w:rFonts w:ascii="SymbolMT" w:eastAsia="SymbolMT" w:hAnsi="ITCGaramondStd-Lt" w:cs="SymbolMT" w:hint="eastAsia"/>
          <w:sz w:val="20"/>
          <w:szCs w:val="20"/>
          <w:lang w:val="en-US"/>
        </w:rPr>
        <w:t xml:space="preserve">= </w:t>
      </w:r>
      <w:r>
        <w:rPr>
          <w:rFonts w:ascii="ITCGaramondStd-Lt" w:hAnsi="ITCGaramondStd-Lt" w:cs="ITCGaramondStd-Lt"/>
          <w:sz w:val="20"/>
          <w:szCs w:val="20"/>
          <w:lang w:val="en-US"/>
        </w:rPr>
        <w:t xml:space="preserve">1.93, </w:t>
      </w:r>
      <w:r>
        <w:rPr>
          <w:rFonts w:ascii="ITCGaramondStd-LtIta" w:hAnsi="ITCGaramondStd-LtIta" w:cs="ITCGaramondStd-LtIta"/>
          <w:i/>
          <w:iCs/>
          <w:sz w:val="20"/>
          <w:szCs w:val="20"/>
          <w:lang w:val="en-US"/>
        </w:rPr>
        <w:t xml:space="preserve">p </w:t>
      </w:r>
      <w:r>
        <w:rPr>
          <w:rFonts w:ascii="SymbolMT" w:eastAsia="SymbolMT" w:hAnsi="ITCGaramondStd-Lt" w:cs="SymbolMT" w:hint="eastAsia"/>
          <w:sz w:val="20"/>
          <w:szCs w:val="20"/>
          <w:lang w:val="en-US"/>
        </w:rPr>
        <w:t xml:space="preserve">= </w:t>
      </w:r>
      <w:r>
        <w:rPr>
          <w:rFonts w:ascii="ITCGaramondStd-Lt" w:hAnsi="ITCGaramondStd-Lt" w:cs="ITCGaramondStd-Lt"/>
          <w:sz w:val="20"/>
          <w:szCs w:val="20"/>
          <w:lang w:val="en-US"/>
        </w:rPr>
        <w:t xml:space="preserve">.052. Confidence mediated the effect of condition on motivation, Sobel test </w:t>
      </w:r>
      <w:r>
        <w:rPr>
          <w:rFonts w:ascii="ITCGaramondStd-LtIta" w:hAnsi="ITCGaramondStd-LtIta" w:cs="ITCGaramondStd-LtIta"/>
          <w:i/>
          <w:iCs/>
          <w:sz w:val="20"/>
          <w:szCs w:val="20"/>
          <w:lang w:val="en-US"/>
        </w:rPr>
        <w:t xml:space="preserve">z </w:t>
      </w:r>
      <w:r>
        <w:rPr>
          <w:rFonts w:ascii="SymbolMT" w:eastAsia="SymbolMT" w:hAnsi="ITCGaramondStd-Lt" w:cs="SymbolMT" w:hint="eastAsia"/>
          <w:sz w:val="20"/>
          <w:szCs w:val="20"/>
          <w:lang w:val="en-US"/>
        </w:rPr>
        <w:t xml:space="preserve">= </w:t>
      </w:r>
      <w:r>
        <w:rPr>
          <w:rFonts w:ascii="ITCGaramondStd-Lt" w:hAnsi="ITCGaramondStd-Lt" w:cs="ITCGaramondStd-Lt"/>
          <w:sz w:val="20"/>
          <w:szCs w:val="20"/>
          <w:lang w:val="en-US"/>
        </w:rPr>
        <w:t xml:space="preserve">2.45, </w:t>
      </w:r>
      <w:r>
        <w:rPr>
          <w:rFonts w:ascii="ITCGaramondStd-LtIta" w:hAnsi="ITCGaramondStd-LtIta" w:cs="ITCGaramondStd-LtIta"/>
          <w:i/>
          <w:iCs/>
          <w:sz w:val="20"/>
          <w:szCs w:val="20"/>
          <w:lang w:val="en-US"/>
        </w:rPr>
        <w:t xml:space="preserve">SE </w:t>
      </w:r>
      <w:r>
        <w:rPr>
          <w:rFonts w:ascii="SymbolMT" w:eastAsia="SymbolMT" w:hAnsi="ITCGaramondStd-Lt" w:cs="SymbolMT" w:hint="eastAsia"/>
          <w:sz w:val="20"/>
          <w:szCs w:val="20"/>
          <w:lang w:val="en-US"/>
        </w:rPr>
        <w:t xml:space="preserve">= </w:t>
      </w:r>
      <w:r>
        <w:rPr>
          <w:rFonts w:ascii="ITCGaramondStd-Lt" w:hAnsi="ITCGaramondStd-Lt" w:cs="ITCGaramondStd-Lt"/>
          <w:sz w:val="20"/>
          <w:szCs w:val="20"/>
          <w:lang w:val="en-US"/>
        </w:rPr>
        <w:t xml:space="preserve">0.62, </w:t>
      </w:r>
      <w:r>
        <w:rPr>
          <w:rFonts w:ascii="ITCGaramondStd-LtIta" w:hAnsi="ITCGaramondStd-LtIta" w:cs="ITCGaramondStd-LtIta"/>
          <w:i/>
          <w:iCs/>
          <w:sz w:val="20"/>
          <w:szCs w:val="20"/>
          <w:lang w:val="en-US"/>
        </w:rPr>
        <w:t xml:space="preserve">p </w:t>
      </w:r>
      <w:r>
        <w:rPr>
          <w:rFonts w:ascii="SymbolMT" w:eastAsia="SymbolMT" w:hAnsi="ITCGaramondStd-Lt" w:cs="SymbolMT" w:hint="eastAsia"/>
          <w:sz w:val="20"/>
          <w:szCs w:val="20"/>
          <w:lang w:val="en-US"/>
        </w:rPr>
        <w:t xml:space="preserve">= </w:t>
      </w:r>
      <w:r>
        <w:rPr>
          <w:rFonts w:ascii="ITCGaramondStd-Lt" w:hAnsi="ITCGaramondStd-Lt" w:cs="ITCGaramondStd-Lt"/>
          <w:sz w:val="20"/>
          <w:szCs w:val="20"/>
          <w:lang w:val="en-US"/>
        </w:rPr>
        <w:t>.014, supporting our hypothesis.</w:t>
      </w:r>
      <w:r>
        <w:rPr>
          <w:lang w:val="en-US"/>
        </w:rPr>
        <w:t>&gt;</w:t>
      </w:r>
    </w:p>
    <w:p w14:paraId="3E53E9A3" w14:textId="4784D1D3" w:rsidR="00450192" w:rsidRDefault="00722C03" w:rsidP="00722C03">
      <w:pPr>
        <w:spacing w:before="100" w:beforeAutospacing="1" w:after="100" w:afterAutospacing="1" w:line="240" w:lineRule="auto"/>
      </w:pPr>
      <w:r>
        <w:t>…….</w:t>
      </w:r>
    </w:p>
    <w:p w14:paraId="141B3861" w14:textId="1C38AA23" w:rsidR="00D440BC" w:rsidRDefault="00D440BC" w:rsidP="00722C03">
      <w:pPr>
        <w:spacing w:before="100" w:beforeAutospacing="1" w:after="100" w:afterAutospacing="1" w:line="240" w:lineRule="auto"/>
      </w:pPr>
      <w:proofErr w:type="spellStart"/>
      <w:r>
        <w:t>Results</w:t>
      </w:r>
      <w:proofErr w:type="spellEnd"/>
      <w:r>
        <w:t xml:space="preserve"> </w:t>
      </w:r>
      <w:proofErr w:type="spellStart"/>
      <w:r>
        <w:t>example</w:t>
      </w:r>
      <w:proofErr w:type="spellEnd"/>
      <w:r>
        <w:t>:</w:t>
      </w:r>
    </w:p>
    <w:p w14:paraId="66E0CFC0" w14:textId="77777777" w:rsidR="00D440BC" w:rsidRPr="00D440BC" w:rsidRDefault="00D440BC" w:rsidP="00D440BC">
      <w:pPr>
        <w:pStyle w:val="berschrift3"/>
        <w:rPr>
          <w:lang w:val="en-GB"/>
        </w:rPr>
      </w:pPr>
      <w:r w:rsidRPr="00D440BC">
        <w:rPr>
          <w:lang w:val="en-GB"/>
        </w:rPr>
        <w:t>Operationalization of Dependent Variable (DV)</w:t>
      </w:r>
    </w:p>
    <w:p w14:paraId="598EE578" w14:textId="453C3161" w:rsidR="00D440BC" w:rsidRPr="00D440BC" w:rsidRDefault="00D440BC" w:rsidP="00D440BC">
      <w:pPr>
        <w:pStyle w:val="StandardWeb"/>
        <w:rPr>
          <w:lang w:val="en-GB"/>
        </w:rPr>
      </w:pPr>
      <w:r w:rsidRPr="00D440BC">
        <w:rPr>
          <w:lang w:val="en-GB"/>
        </w:rPr>
        <w:t>4.1. MatchDV_0:</w:t>
      </w:r>
      <w:r w:rsidRPr="00D440BC">
        <w:rPr>
          <w:lang w:val="en-GB"/>
        </w:rPr>
        <w:t xml:space="preserve"> Y</w:t>
      </w:r>
      <w:r>
        <w:rPr>
          <w:lang w:val="en-GB"/>
        </w:rPr>
        <w:t>es.</w:t>
      </w:r>
      <w:r w:rsidRPr="00D440BC">
        <w:rPr>
          <w:lang w:val="en-GB"/>
        </w:rPr>
        <w:br/>
        <w:t>4.2. MatchDV_1:</w:t>
      </w:r>
      <w:r>
        <w:rPr>
          <w:lang w:val="en-GB"/>
        </w:rPr>
        <w:t xml:space="preserve"> </w:t>
      </w:r>
      <w:r w:rsidRPr="00D440BC">
        <w:rPr>
          <w:lang w:val="en-GB"/>
        </w:rPr>
        <w:t>Y</w:t>
      </w:r>
      <w:r>
        <w:rPr>
          <w:lang w:val="en-GB"/>
        </w:rPr>
        <w:t>es.</w:t>
      </w:r>
      <w:r w:rsidRPr="00D440BC">
        <w:rPr>
          <w:lang w:val="en-GB"/>
        </w:rPr>
        <w:br/>
        <w:t>4.3. MatchDV_2:</w:t>
      </w:r>
      <w:r>
        <w:rPr>
          <w:lang w:val="en-GB"/>
        </w:rPr>
        <w:t xml:space="preserve"> </w:t>
      </w:r>
      <w:r w:rsidRPr="00D440BC">
        <w:rPr>
          <w:lang w:val="en-GB"/>
        </w:rPr>
        <w:t>Y</w:t>
      </w:r>
      <w:r>
        <w:rPr>
          <w:lang w:val="en-GB"/>
        </w:rPr>
        <w:t>es.</w:t>
      </w:r>
      <w:r w:rsidRPr="00D440BC">
        <w:rPr>
          <w:lang w:val="en-GB"/>
        </w:rPr>
        <w:br/>
        <w:t>4.4. MatchDV_3:</w:t>
      </w:r>
      <w:r>
        <w:rPr>
          <w:lang w:val="en-GB"/>
        </w:rPr>
        <w:t xml:space="preserve"> No.</w:t>
      </w:r>
    </w:p>
    <w:p w14:paraId="5A061BF0" w14:textId="77777777" w:rsidR="00D440BC" w:rsidRPr="00D440BC" w:rsidRDefault="00D440BC" w:rsidP="00D440BC">
      <w:pPr>
        <w:pStyle w:val="berschrift3"/>
        <w:rPr>
          <w:lang w:val="en-GB"/>
        </w:rPr>
      </w:pPr>
      <w:r w:rsidRPr="00D440BC">
        <w:rPr>
          <w:lang w:val="en-GB"/>
        </w:rPr>
        <w:t>Operationalization of Data Collection Procedure (DCP)</w:t>
      </w:r>
    </w:p>
    <w:p w14:paraId="376A9CE1" w14:textId="4604AE0B" w:rsidR="00D440BC" w:rsidRPr="00D440BC" w:rsidRDefault="00D440BC" w:rsidP="00D440BC">
      <w:pPr>
        <w:pStyle w:val="StandardWeb"/>
        <w:rPr>
          <w:lang w:val="en-GB"/>
        </w:rPr>
      </w:pPr>
      <w:r w:rsidRPr="00D440BC">
        <w:rPr>
          <w:lang w:val="en-GB"/>
        </w:rPr>
        <w:t>6.1. MatchDCP_1:</w:t>
      </w:r>
      <w:r>
        <w:rPr>
          <w:lang w:val="en-GB"/>
        </w:rPr>
        <w:t xml:space="preserve"> </w:t>
      </w:r>
      <w:r>
        <w:rPr>
          <w:lang w:val="en-GB"/>
        </w:rPr>
        <w:t>No.</w:t>
      </w:r>
      <w:r w:rsidRPr="00D440BC">
        <w:rPr>
          <w:lang w:val="en-GB"/>
        </w:rPr>
        <w:br/>
        <w:t>6.2. MatchDCP_2:</w:t>
      </w:r>
      <w:r>
        <w:rPr>
          <w:lang w:val="en-GB"/>
        </w:rPr>
        <w:t xml:space="preserve"> </w:t>
      </w:r>
      <w:r>
        <w:rPr>
          <w:lang w:val="en-GB"/>
        </w:rPr>
        <w:t>No.</w:t>
      </w:r>
    </w:p>
    <w:p w14:paraId="101143A6" w14:textId="77777777" w:rsidR="00D440BC" w:rsidRPr="00D440BC" w:rsidRDefault="00D440BC" w:rsidP="00D440BC">
      <w:pPr>
        <w:pStyle w:val="berschrift3"/>
        <w:rPr>
          <w:lang w:val="en-GB"/>
        </w:rPr>
      </w:pPr>
      <w:r w:rsidRPr="00D440BC">
        <w:rPr>
          <w:lang w:val="en-GB"/>
        </w:rPr>
        <w:t>Statistical Model (SM)</w:t>
      </w:r>
    </w:p>
    <w:p w14:paraId="015CFDF7" w14:textId="71448806" w:rsidR="00D440BC" w:rsidRPr="00D440BC" w:rsidRDefault="00D440BC" w:rsidP="00D440BC">
      <w:pPr>
        <w:pStyle w:val="StandardWeb"/>
        <w:rPr>
          <w:lang w:val="en-GB"/>
        </w:rPr>
      </w:pPr>
      <w:r w:rsidRPr="00D440BC">
        <w:rPr>
          <w:lang w:val="en-GB"/>
        </w:rPr>
        <w:t>7.1. MatchSM_1:</w:t>
      </w:r>
      <w:r w:rsidRPr="00D440BC">
        <w:rPr>
          <w:lang w:val="en-GB"/>
        </w:rPr>
        <w:t xml:space="preserve"> </w:t>
      </w:r>
      <w:r w:rsidRPr="00D440BC">
        <w:rPr>
          <w:lang w:val="en-GB"/>
        </w:rPr>
        <w:t>Y</w:t>
      </w:r>
      <w:r>
        <w:rPr>
          <w:lang w:val="en-GB"/>
        </w:rPr>
        <w:t>es.</w:t>
      </w:r>
      <w:r w:rsidRPr="00D440BC">
        <w:rPr>
          <w:lang w:val="en-GB"/>
        </w:rPr>
        <w:br/>
        <w:t>7.2. MatchSM_2:</w:t>
      </w:r>
      <w:r w:rsidRPr="00D440BC">
        <w:rPr>
          <w:lang w:val="en-GB"/>
        </w:rPr>
        <w:t xml:space="preserve"> </w:t>
      </w:r>
      <w:r w:rsidRPr="00D440BC">
        <w:rPr>
          <w:lang w:val="en-GB"/>
        </w:rPr>
        <w:t>Y</w:t>
      </w:r>
      <w:r>
        <w:rPr>
          <w:lang w:val="en-GB"/>
        </w:rPr>
        <w:t>es.</w:t>
      </w:r>
      <w:r w:rsidRPr="00D440BC">
        <w:rPr>
          <w:lang w:val="en-GB"/>
        </w:rPr>
        <w:br/>
        <w:t>7.3. MatchSM_3:</w:t>
      </w:r>
      <w:r>
        <w:rPr>
          <w:lang w:val="en-GB"/>
        </w:rPr>
        <w:t xml:space="preserve"> No.</w:t>
      </w:r>
    </w:p>
    <w:p w14:paraId="68666DFE" w14:textId="77777777" w:rsidR="00D440BC" w:rsidRPr="00D440BC" w:rsidRDefault="00D440BC" w:rsidP="00722C03">
      <w:pPr>
        <w:spacing w:before="100" w:beforeAutospacing="1" w:after="100" w:afterAutospacing="1" w:line="240" w:lineRule="auto"/>
        <w:rPr>
          <w:lang w:val="en-GB"/>
        </w:rPr>
      </w:pPr>
    </w:p>
    <w:p w14:paraId="0F9C0C05" w14:textId="6FC13AED" w:rsidR="00811EDA" w:rsidRPr="00D440BC" w:rsidRDefault="00542256">
      <w:pPr>
        <w:rPr>
          <w:lang w:val="en-GB"/>
        </w:rPr>
      </w:pPr>
      <w:r>
        <w:rPr>
          <w:rFonts w:asciiTheme="majorHAnsi" w:eastAsiaTheme="majorEastAsia" w:hAnsiTheme="majorHAnsi" w:cstheme="minorHAnsi"/>
          <w:i/>
          <w:iCs/>
          <w:color w:val="0F0F0F"/>
          <w:sz w:val="24"/>
          <w:szCs w:val="24"/>
          <w:lang w:val="en-GB"/>
        </w:rPr>
        <w:t>&gt;&gt;</w:t>
      </w:r>
    </w:p>
    <w:p w14:paraId="3545F0DE" w14:textId="77777777" w:rsidR="00BD49F3" w:rsidRPr="00D440BC" w:rsidRDefault="00BD49F3">
      <w:pPr>
        <w:rPr>
          <w:lang w:val="en-GB"/>
        </w:rPr>
      </w:pPr>
    </w:p>
    <w:sectPr w:rsidR="00BD49F3" w:rsidRPr="00D440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TCGaramondStd-Lt">
    <w:altName w:val="Cambria"/>
    <w:panose1 w:val="00000000000000000000"/>
    <w:charset w:val="00"/>
    <w:family w:val="roman"/>
    <w:notTrueType/>
    <w:pitch w:val="default"/>
    <w:sig w:usb0="00000003" w:usb1="00000000" w:usb2="00000000" w:usb3="00000000" w:csb0="00000001" w:csb1="00000000"/>
  </w:font>
  <w:font w:name="ITCGaramondStd-Bd">
    <w:altName w:val="Cambria"/>
    <w:panose1 w:val="00000000000000000000"/>
    <w:charset w:val="00"/>
    <w:family w:val="roman"/>
    <w:notTrueType/>
    <w:pitch w:val="default"/>
    <w:sig w:usb0="00000003" w:usb1="00000000" w:usb2="00000000" w:usb3="00000000" w:csb0="00000001" w:csb1="00000000"/>
  </w:font>
  <w:font w:name="ITCGaramondStd-BdIta">
    <w:altName w:val="Cambria"/>
    <w:panose1 w:val="00000000000000000000"/>
    <w:charset w:val="00"/>
    <w:family w:val="roman"/>
    <w:notTrueType/>
    <w:pitch w:val="default"/>
    <w:sig w:usb0="00000003" w:usb1="00000000" w:usb2="00000000" w:usb3="00000000" w:csb0="00000001" w:csb1="00000000"/>
  </w:font>
  <w:font w:name="ITCGaramondStd-LtIta">
    <w:altName w:val="Cambria"/>
    <w:panose1 w:val="00000000000000000000"/>
    <w:charset w:val="00"/>
    <w:family w:val="roman"/>
    <w:notTrueType/>
    <w:pitch w:val="default"/>
    <w:sig w:usb0="00000003" w:usb1="00000000" w:usb2="00000000" w:usb3="00000000" w:csb0="00000001" w:csb1="00000000"/>
  </w:font>
  <w:font w:name="SymbolMT">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E29A2"/>
    <w:multiLevelType w:val="multilevel"/>
    <w:tmpl w:val="D3C25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0549B"/>
    <w:multiLevelType w:val="multilevel"/>
    <w:tmpl w:val="00FA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D6257"/>
    <w:multiLevelType w:val="multilevel"/>
    <w:tmpl w:val="7B6C630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color w:val="0F0F0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5535A"/>
    <w:multiLevelType w:val="hybridMultilevel"/>
    <w:tmpl w:val="BD3AD40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3CF3112"/>
    <w:multiLevelType w:val="multilevel"/>
    <w:tmpl w:val="7A3C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E0C26"/>
    <w:multiLevelType w:val="multilevel"/>
    <w:tmpl w:val="6DCC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E71A40"/>
    <w:multiLevelType w:val="multilevel"/>
    <w:tmpl w:val="95B0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364A1C"/>
    <w:multiLevelType w:val="multilevel"/>
    <w:tmpl w:val="9F18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540D2D"/>
    <w:multiLevelType w:val="multilevel"/>
    <w:tmpl w:val="36D0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042385"/>
    <w:multiLevelType w:val="hybridMultilevel"/>
    <w:tmpl w:val="8F3C80B4"/>
    <w:lvl w:ilvl="0" w:tplc="D05AAE20">
      <w:start w:val="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16cid:durableId="1661736611">
    <w:abstractNumId w:val="3"/>
  </w:num>
  <w:num w:numId="2" w16cid:durableId="2057587456">
    <w:abstractNumId w:val="2"/>
  </w:num>
  <w:num w:numId="3" w16cid:durableId="625505173">
    <w:abstractNumId w:val="4"/>
  </w:num>
  <w:num w:numId="4" w16cid:durableId="1076048364">
    <w:abstractNumId w:val="8"/>
  </w:num>
  <w:num w:numId="5" w16cid:durableId="427192942">
    <w:abstractNumId w:val="6"/>
  </w:num>
  <w:num w:numId="6" w16cid:durableId="816918233">
    <w:abstractNumId w:val="0"/>
  </w:num>
  <w:num w:numId="7" w16cid:durableId="1954631683">
    <w:abstractNumId w:val="5"/>
  </w:num>
  <w:num w:numId="8" w16cid:durableId="1554149824">
    <w:abstractNumId w:val="7"/>
  </w:num>
  <w:num w:numId="9" w16cid:durableId="1556351326">
    <w:abstractNumId w:val="1"/>
  </w:num>
  <w:num w:numId="10" w16cid:durableId="411509657">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256"/>
    <w:rsid w:val="00017C2F"/>
    <w:rsid w:val="000205A1"/>
    <w:rsid w:val="0002472A"/>
    <w:rsid w:val="00033A8B"/>
    <w:rsid w:val="00037070"/>
    <w:rsid w:val="00046082"/>
    <w:rsid w:val="00057A55"/>
    <w:rsid w:val="00061FBC"/>
    <w:rsid w:val="00077719"/>
    <w:rsid w:val="000825ED"/>
    <w:rsid w:val="000B5BC8"/>
    <w:rsid w:val="001403AD"/>
    <w:rsid w:val="00141DE7"/>
    <w:rsid w:val="00155A87"/>
    <w:rsid w:val="001561AB"/>
    <w:rsid w:val="00170DF9"/>
    <w:rsid w:val="00191A42"/>
    <w:rsid w:val="00197D89"/>
    <w:rsid w:val="001C40D4"/>
    <w:rsid w:val="001D032A"/>
    <w:rsid w:val="001D6938"/>
    <w:rsid w:val="001D74C4"/>
    <w:rsid w:val="001E0ECF"/>
    <w:rsid w:val="001E59FA"/>
    <w:rsid w:val="001F56C1"/>
    <w:rsid w:val="001F6CFD"/>
    <w:rsid w:val="002174E0"/>
    <w:rsid w:val="002304C6"/>
    <w:rsid w:val="002375B2"/>
    <w:rsid w:val="00240D77"/>
    <w:rsid w:val="0025490B"/>
    <w:rsid w:val="00273B37"/>
    <w:rsid w:val="00281206"/>
    <w:rsid w:val="0028324E"/>
    <w:rsid w:val="00286977"/>
    <w:rsid w:val="0029114D"/>
    <w:rsid w:val="002A2CB0"/>
    <w:rsid w:val="002B4D92"/>
    <w:rsid w:val="002D352A"/>
    <w:rsid w:val="002F1E47"/>
    <w:rsid w:val="002F4185"/>
    <w:rsid w:val="002F57FE"/>
    <w:rsid w:val="003027C1"/>
    <w:rsid w:val="0030430D"/>
    <w:rsid w:val="00306F0E"/>
    <w:rsid w:val="00311B95"/>
    <w:rsid w:val="00342D52"/>
    <w:rsid w:val="00353544"/>
    <w:rsid w:val="003904CA"/>
    <w:rsid w:val="00391045"/>
    <w:rsid w:val="003B51D8"/>
    <w:rsid w:val="003B7031"/>
    <w:rsid w:val="003B7F12"/>
    <w:rsid w:val="003D3068"/>
    <w:rsid w:val="00415046"/>
    <w:rsid w:val="00433551"/>
    <w:rsid w:val="004405E6"/>
    <w:rsid w:val="00445BBA"/>
    <w:rsid w:val="00450192"/>
    <w:rsid w:val="00453F8B"/>
    <w:rsid w:val="00455573"/>
    <w:rsid w:val="00473BB7"/>
    <w:rsid w:val="00484091"/>
    <w:rsid w:val="0048726E"/>
    <w:rsid w:val="004A77BE"/>
    <w:rsid w:val="004B6F6D"/>
    <w:rsid w:val="004C1398"/>
    <w:rsid w:val="004C3BFF"/>
    <w:rsid w:val="004D6FCF"/>
    <w:rsid w:val="004E0F29"/>
    <w:rsid w:val="004F0B65"/>
    <w:rsid w:val="00542256"/>
    <w:rsid w:val="0056657B"/>
    <w:rsid w:val="005821C7"/>
    <w:rsid w:val="00596BAE"/>
    <w:rsid w:val="005A5B50"/>
    <w:rsid w:val="005C6491"/>
    <w:rsid w:val="005D6E0F"/>
    <w:rsid w:val="005E5F14"/>
    <w:rsid w:val="005F7EB1"/>
    <w:rsid w:val="00604E9B"/>
    <w:rsid w:val="0061204A"/>
    <w:rsid w:val="00650430"/>
    <w:rsid w:val="00651DC0"/>
    <w:rsid w:val="00672B90"/>
    <w:rsid w:val="006A2C6C"/>
    <w:rsid w:val="006A780F"/>
    <w:rsid w:val="006B46A7"/>
    <w:rsid w:val="006C5884"/>
    <w:rsid w:val="006D5515"/>
    <w:rsid w:val="006D6A7A"/>
    <w:rsid w:val="006F5421"/>
    <w:rsid w:val="00707A44"/>
    <w:rsid w:val="00711741"/>
    <w:rsid w:val="00722C03"/>
    <w:rsid w:val="00733D38"/>
    <w:rsid w:val="0073728B"/>
    <w:rsid w:val="00742825"/>
    <w:rsid w:val="00751A37"/>
    <w:rsid w:val="0075467B"/>
    <w:rsid w:val="007548E5"/>
    <w:rsid w:val="00771988"/>
    <w:rsid w:val="00791FB2"/>
    <w:rsid w:val="007922BE"/>
    <w:rsid w:val="00795F59"/>
    <w:rsid w:val="007D66E1"/>
    <w:rsid w:val="00800192"/>
    <w:rsid w:val="00801340"/>
    <w:rsid w:val="008108C6"/>
    <w:rsid w:val="00811EDA"/>
    <w:rsid w:val="00851FDA"/>
    <w:rsid w:val="0085364E"/>
    <w:rsid w:val="008567EC"/>
    <w:rsid w:val="008C6C22"/>
    <w:rsid w:val="00906B25"/>
    <w:rsid w:val="00912AAD"/>
    <w:rsid w:val="00946357"/>
    <w:rsid w:val="00964F52"/>
    <w:rsid w:val="00986137"/>
    <w:rsid w:val="0099600F"/>
    <w:rsid w:val="009A3796"/>
    <w:rsid w:val="009B5B0B"/>
    <w:rsid w:val="009F75D3"/>
    <w:rsid w:val="00A106E2"/>
    <w:rsid w:val="00A236FF"/>
    <w:rsid w:val="00A30520"/>
    <w:rsid w:val="00A32D0A"/>
    <w:rsid w:val="00A545BB"/>
    <w:rsid w:val="00A56E3C"/>
    <w:rsid w:val="00A65914"/>
    <w:rsid w:val="00A805CD"/>
    <w:rsid w:val="00A81354"/>
    <w:rsid w:val="00A82DA1"/>
    <w:rsid w:val="00A95D03"/>
    <w:rsid w:val="00A97C3B"/>
    <w:rsid w:val="00AA3E21"/>
    <w:rsid w:val="00AB6373"/>
    <w:rsid w:val="00AE5B6C"/>
    <w:rsid w:val="00AF1F9A"/>
    <w:rsid w:val="00AF231D"/>
    <w:rsid w:val="00B0229E"/>
    <w:rsid w:val="00B07312"/>
    <w:rsid w:val="00B1098E"/>
    <w:rsid w:val="00B12358"/>
    <w:rsid w:val="00B146AB"/>
    <w:rsid w:val="00B16E87"/>
    <w:rsid w:val="00B31372"/>
    <w:rsid w:val="00B41E00"/>
    <w:rsid w:val="00B51E41"/>
    <w:rsid w:val="00B63D4C"/>
    <w:rsid w:val="00B63E56"/>
    <w:rsid w:val="00B76518"/>
    <w:rsid w:val="00B77C80"/>
    <w:rsid w:val="00B8585D"/>
    <w:rsid w:val="00B85A1A"/>
    <w:rsid w:val="00B87AE0"/>
    <w:rsid w:val="00B9707C"/>
    <w:rsid w:val="00BD1D8B"/>
    <w:rsid w:val="00BD49F3"/>
    <w:rsid w:val="00BD7249"/>
    <w:rsid w:val="00BF1BBD"/>
    <w:rsid w:val="00C11F06"/>
    <w:rsid w:val="00C26A30"/>
    <w:rsid w:val="00C3176D"/>
    <w:rsid w:val="00C62E04"/>
    <w:rsid w:val="00C662F5"/>
    <w:rsid w:val="00C670C1"/>
    <w:rsid w:val="00C95EAD"/>
    <w:rsid w:val="00CB7D44"/>
    <w:rsid w:val="00CC6263"/>
    <w:rsid w:val="00D440BC"/>
    <w:rsid w:val="00D47140"/>
    <w:rsid w:val="00D50817"/>
    <w:rsid w:val="00D537AB"/>
    <w:rsid w:val="00D7074B"/>
    <w:rsid w:val="00D742CF"/>
    <w:rsid w:val="00D77032"/>
    <w:rsid w:val="00DC04C5"/>
    <w:rsid w:val="00DC4252"/>
    <w:rsid w:val="00DF17F3"/>
    <w:rsid w:val="00E33373"/>
    <w:rsid w:val="00E3438B"/>
    <w:rsid w:val="00E4009D"/>
    <w:rsid w:val="00E5675D"/>
    <w:rsid w:val="00E57860"/>
    <w:rsid w:val="00E5790A"/>
    <w:rsid w:val="00E86BF4"/>
    <w:rsid w:val="00E95E85"/>
    <w:rsid w:val="00EA3F13"/>
    <w:rsid w:val="00EB26E2"/>
    <w:rsid w:val="00EC26CE"/>
    <w:rsid w:val="00EC4998"/>
    <w:rsid w:val="00EE342F"/>
    <w:rsid w:val="00F02EA7"/>
    <w:rsid w:val="00F176B1"/>
    <w:rsid w:val="00F200F8"/>
    <w:rsid w:val="00F27475"/>
    <w:rsid w:val="00F56770"/>
    <w:rsid w:val="00F57999"/>
    <w:rsid w:val="00F640F5"/>
    <w:rsid w:val="00FA1AB4"/>
    <w:rsid w:val="00FB2227"/>
    <w:rsid w:val="00FC139B"/>
    <w:rsid w:val="00FD0CB2"/>
    <w:rsid w:val="00FD2B35"/>
    <w:rsid w:val="00FD2E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C494FA"/>
  <w15:chartTrackingRefBased/>
  <w15:docId w15:val="{B06927D2-A5A1-4EAB-A3B2-CBF0B9E6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2256"/>
  </w:style>
  <w:style w:type="paragraph" w:styleId="berschrift1">
    <w:name w:val="heading 1"/>
    <w:basedOn w:val="Standard"/>
    <w:next w:val="Standard"/>
    <w:link w:val="berschrift1Zchn"/>
    <w:uiPriority w:val="9"/>
    <w:qFormat/>
    <w:rsid w:val="00542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42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4225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4225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4225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4225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4225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4225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4225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225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4225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4225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4225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4225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4225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4225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4225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42256"/>
    <w:rPr>
      <w:rFonts w:eastAsiaTheme="majorEastAsia" w:cstheme="majorBidi"/>
      <w:color w:val="272727" w:themeColor="text1" w:themeTint="D8"/>
    </w:rPr>
  </w:style>
  <w:style w:type="paragraph" w:styleId="Titel">
    <w:name w:val="Title"/>
    <w:basedOn w:val="Standard"/>
    <w:next w:val="Standard"/>
    <w:link w:val="TitelZchn"/>
    <w:uiPriority w:val="10"/>
    <w:qFormat/>
    <w:rsid w:val="00542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225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4225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4225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4225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42256"/>
    <w:rPr>
      <w:i/>
      <w:iCs/>
      <w:color w:val="404040" w:themeColor="text1" w:themeTint="BF"/>
    </w:rPr>
  </w:style>
  <w:style w:type="paragraph" w:styleId="Listenabsatz">
    <w:name w:val="List Paragraph"/>
    <w:basedOn w:val="Standard"/>
    <w:uiPriority w:val="34"/>
    <w:qFormat/>
    <w:rsid w:val="00542256"/>
    <w:pPr>
      <w:ind w:left="720"/>
      <w:contextualSpacing/>
    </w:pPr>
  </w:style>
  <w:style w:type="character" w:styleId="IntensiveHervorhebung">
    <w:name w:val="Intense Emphasis"/>
    <w:basedOn w:val="Absatz-Standardschriftart"/>
    <w:uiPriority w:val="21"/>
    <w:qFormat/>
    <w:rsid w:val="00542256"/>
    <w:rPr>
      <w:i/>
      <w:iCs/>
      <w:color w:val="0F4761" w:themeColor="accent1" w:themeShade="BF"/>
    </w:rPr>
  </w:style>
  <w:style w:type="paragraph" w:styleId="IntensivesZitat">
    <w:name w:val="Intense Quote"/>
    <w:basedOn w:val="Standard"/>
    <w:next w:val="Standard"/>
    <w:link w:val="IntensivesZitatZchn"/>
    <w:uiPriority w:val="30"/>
    <w:qFormat/>
    <w:rsid w:val="00542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42256"/>
    <w:rPr>
      <w:i/>
      <w:iCs/>
      <w:color w:val="0F4761" w:themeColor="accent1" w:themeShade="BF"/>
    </w:rPr>
  </w:style>
  <w:style w:type="character" w:styleId="IntensiverVerweis">
    <w:name w:val="Intense Reference"/>
    <w:basedOn w:val="Absatz-Standardschriftart"/>
    <w:uiPriority w:val="32"/>
    <w:qFormat/>
    <w:rsid w:val="00542256"/>
    <w:rPr>
      <w:b/>
      <w:bCs/>
      <w:smallCaps/>
      <w:color w:val="0F4761" w:themeColor="accent1" w:themeShade="BF"/>
      <w:spacing w:val="5"/>
    </w:rPr>
  </w:style>
  <w:style w:type="character" w:styleId="Kommentarzeichen">
    <w:name w:val="annotation reference"/>
    <w:basedOn w:val="Absatz-Standardschriftart"/>
    <w:uiPriority w:val="99"/>
    <w:semiHidden/>
    <w:unhideWhenUsed/>
    <w:rsid w:val="00542256"/>
    <w:rPr>
      <w:sz w:val="16"/>
      <w:szCs w:val="16"/>
    </w:rPr>
  </w:style>
  <w:style w:type="paragraph" w:styleId="Kommentartext">
    <w:name w:val="annotation text"/>
    <w:basedOn w:val="Standard"/>
    <w:link w:val="KommentartextZchn"/>
    <w:uiPriority w:val="99"/>
    <w:unhideWhenUsed/>
    <w:rsid w:val="00542256"/>
    <w:pPr>
      <w:spacing w:line="240" w:lineRule="auto"/>
    </w:pPr>
    <w:rPr>
      <w:sz w:val="20"/>
      <w:szCs w:val="20"/>
    </w:rPr>
  </w:style>
  <w:style w:type="character" w:customStyle="1" w:styleId="KommentartextZchn">
    <w:name w:val="Kommentartext Zchn"/>
    <w:basedOn w:val="Absatz-Standardschriftart"/>
    <w:link w:val="Kommentartext"/>
    <w:uiPriority w:val="99"/>
    <w:rsid w:val="00542256"/>
    <w:rPr>
      <w:sz w:val="20"/>
      <w:szCs w:val="20"/>
    </w:rPr>
  </w:style>
  <w:style w:type="paragraph" w:styleId="StandardWeb">
    <w:name w:val="Normal (Web)"/>
    <w:basedOn w:val="Standard"/>
    <w:uiPriority w:val="99"/>
    <w:semiHidden/>
    <w:unhideWhenUsed/>
    <w:rsid w:val="00542256"/>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5422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18700">
      <w:bodyDiv w:val="1"/>
      <w:marLeft w:val="0"/>
      <w:marRight w:val="0"/>
      <w:marTop w:val="0"/>
      <w:marBottom w:val="0"/>
      <w:divBdr>
        <w:top w:val="none" w:sz="0" w:space="0" w:color="auto"/>
        <w:left w:val="none" w:sz="0" w:space="0" w:color="auto"/>
        <w:bottom w:val="none" w:sz="0" w:space="0" w:color="auto"/>
        <w:right w:val="none" w:sz="0" w:space="0" w:color="auto"/>
      </w:divBdr>
    </w:div>
    <w:div w:id="99879034">
      <w:bodyDiv w:val="1"/>
      <w:marLeft w:val="0"/>
      <w:marRight w:val="0"/>
      <w:marTop w:val="0"/>
      <w:marBottom w:val="0"/>
      <w:divBdr>
        <w:top w:val="none" w:sz="0" w:space="0" w:color="auto"/>
        <w:left w:val="none" w:sz="0" w:space="0" w:color="auto"/>
        <w:bottom w:val="none" w:sz="0" w:space="0" w:color="auto"/>
        <w:right w:val="none" w:sz="0" w:space="0" w:color="auto"/>
      </w:divBdr>
    </w:div>
    <w:div w:id="101851793">
      <w:bodyDiv w:val="1"/>
      <w:marLeft w:val="0"/>
      <w:marRight w:val="0"/>
      <w:marTop w:val="0"/>
      <w:marBottom w:val="0"/>
      <w:divBdr>
        <w:top w:val="none" w:sz="0" w:space="0" w:color="auto"/>
        <w:left w:val="none" w:sz="0" w:space="0" w:color="auto"/>
        <w:bottom w:val="none" w:sz="0" w:space="0" w:color="auto"/>
        <w:right w:val="none" w:sz="0" w:space="0" w:color="auto"/>
      </w:divBdr>
    </w:div>
    <w:div w:id="212274995">
      <w:bodyDiv w:val="1"/>
      <w:marLeft w:val="0"/>
      <w:marRight w:val="0"/>
      <w:marTop w:val="0"/>
      <w:marBottom w:val="0"/>
      <w:divBdr>
        <w:top w:val="none" w:sz="0" w:space="0" w:color="auto"/>
        <w:left w:val="none" w:sz="0" w:space="0" w:color="auto"/>
        <w:bottom w:val="none" w:sz="0" w:space="0" w:color="auto"/>
        <w:right w:val="none" w:sz="0" w:space="0" w:color="auto"/>
      </w:divBdr>
    </w:div>
    <w:div w:id="222838017">
      <w:bodyDiv w:val="1"/>
      <w:marLeft w:val="0"/>
      <w:marRight w:val="0"/>
      <w:marTop w:val="0"/>
      <w:marBottom w:val="0"/>
      <w:divBdr>
        <w:top w:val="none" w:sz="0" w:space="0" w:color="auto"/>
        <w:left w:val="none" w:sz="0" w:space="0" w:color="auto"/>
        <w:bottom w:val="none" w:sz="0" w:space="0" w:color="auto"/>
        <w:right w:val="none" w:sz="0" w:space="0" w:color="auto"/>
      </w:divBdr>
    </w:div>
    <w:div w:id="275018724">
      <w:bodyDiv w:val="1"/>
      <w:marLeft w:val="0"/>
      <w:marRight w:val="0"/>
      <w:marTop w:val="0"/>
      <w:marBottom w:val="0"/>
      <w:divBdr>
        <w:top w:val="none" w:sz="0" w:space="0" w:color="auto"/>
        <w:left w:val="none" w:sz="0" w:space="0" w:color="auto"/>
        <w:bottom w:val="none" w:sz="0" w:space="0" w:color="auto"/>
        <w:right w:val="none" w:sz="0" w:space="0" w:color="auto"/>
      </w:divBdr>
    </w:div>
    <w:div w:id="343292454">
      <w:bodyDiv w:val="1"/>
      <w:marLeft w:val="0"/>
      <w:marRight w:val="0"/>
      <w:marTop w:val="0"/>
      <w:marBottom w:val="0"/>
      <w:divBdr>
        <w:top w:val="none" w:sz="0" w:space="0" w:color="auto"/>
        <w:left w:val="none" w:sz="0" w:space="0" w:color="auto"/>
        <w:bottom w:val="none" w:sz="0" w:space="0" w:color="auto"/>
        <w:right w:val="none" w:sz="0" w:space="0" w:color="auto"/>
      </w:divBdr>
    </w:div>
    <w:div w:id="347752909">
      <w:bodyDiv w:val="1"/>
      <w:marLeft w:val="0"/>
      <w:marRight w:val="0"/>
      <w:marTop w:val="0"/>
      <w:marBottom w:val="0"/>
      <w:divBdr>
        <w:top w:val="none" w:sz="0" w:space="0" w:color="auto"/>
        <w:left w:val="none" w:sz="0" w:space="0" w:color="auto"/>
        <w:bottom w:val="none" w:sz="0" w:space="0" w:color="auto"/>
        <w:right w:val="none" w:sz="0" w:space="0" w:color="auto"/>
      </w:divBdr>
    </w:div>
    <w:div w:id="533539518">
      <w:bodyDiv w:val="1"/>
      <w:marLeft w:val="0"/>
      <w:marRight w:val="0"/>
      <w:marTop w:val="0"/>
      <w:marBottom w:val="0"/>
      <w:divBdr>
        <w:top w:val="none" w:sz="0" w:space="0" w:color="auto"/>
        <w:left w:val="none" w:sz="0" w:space="0" w:color="auto"/>
        <w:bottom w:val="none" w:sz="0" w:space="0" w:color="auto"/>
        <w:right w:val="none" w:sz="0" w:space="0" w:color="auto"/>
      </w:divBdr>
    </w:div>
    <w:div w:id="587235272">
      <w:bodyDiv w:val="1"/>
      <w:marLeft w:val="0"/>
      <w:marRight w:val="0"/>
      <w:marTop w:val="0"/>
      <w:marBottom w:val="0"/>
      <w:divBdr>
        <w:top w:val="none" w:sz="0" w:space="0" w:color="auto"/>
        <w:left w:val="none" w:sz="0" w:space="0" w:color="auto"/>
        <w:bottom w:val="none" w:sz="0" w:space="0" w:color="auto"/>
        <w:right w:val="none" w:sz="0" w:space="0" w:color="auto"/>
      </w:divBdr>
    </w:div>
    <w:div w:id="721907039">
      <w:bodyDiv w:val="1"/>
      <w:marLeft w:val="0"/>
      <w:marRight w:val="0"/>
      <w:marTop w:val="0"/>
      <w:marBottom w:val="0"/>
      <w:divBdr>
        <w:top w:val="none" w:sz="0" w:space="0" w:color="auto"/>
        <w:left w:val="none" w:sz="0" w:space="0" w:color="auto"/>
        <w:bottom w:val="none" w:sz="0" w:space="0" w:color="auto"/>
        <w:right w:val="none" w:sz="0" w:space="0" w:color="auto"/>
      </w:divBdr>
    </w:div>
    <w:div w:id="740520181">
      <w:bodyDiv w:val="1"/>
      <w:marLeft w:val="0"/>
      <w:marRight w:val="0"/>
      <w:marTop w:val="0"/>
      <w:marBottom w:val="0"/>
      <w:divBdr>
        <w:top w:val="none" w:sz="0" w:space="0" w:color="auto"/>
        <w:left w:val="none" w:sz="0" w:space="0" w:color="auto"/>
        <w:bottom w:val="none" w:sz="0" w:space="0" w:color="auto"/>
        <w:right w:val="none" w:sz="0" w:space="0" w:color="auto"/>
      </w:divBdr>
    </w:div>
    <w:div w:id="757944294">
      <w:bodyDiv w:val="1"/>
      <w:marLeft w:val="0"/>
      <w:marRight w:val="0"/>
      <w:marTop w:val="0"/>
      <w:marBottom w:val="0"/>
      <w:divBdr>
        <w:top w:val="none" w:sz="0" w:space="0" w:color="auto"/>
        <w:left w:val="none" w:sz="0" w:space="0" w:color="auto"/>
        <w:bottom w:val="none" w:sz="0" w:space="0" w:color="auto"/>
        <w:right w:val="none" w:sz="0" w:space="0" w:color="auto"/>
      </w:divBdr>
    </w:div>
    <w:div w:id="910503124">
      <w:bodyDiv w:val="1"/>
      <w:marLeft w:val="0"/>
      <w:marRight w:val="0"/>
      <w:marTop w:val="0"/>
      <w:marBottom w:val="0"/>
      <w:divBdr>
        <w:top w:val="none" w:sz="0" w:space="0" w:color="auto"/>
        <w:left w:val="none" w:sz="0" w:space="0" w:color="auto"/>
        <w:bottom w:val="none" w:sz="0" w:space="0" w:color="auto"/>
        <w:right w:val="none" w:sz="0" w:space="0" w:color="auto"/>
      </w:divBdr>
    </w:div>
    <w:div w:id="928389583">
      <w:bodyDiv w:val="1"/>
      <w:marLeft w:val="0"/>
      <w:marRight w:val="0"/>
      <w:marTop w:val="0"/>
      <w:marBottom w:val="0"/>
      <w:divBdr>
        <w:top w:val="none" w:sz="0" w:space="0" w:color="auto"/>
        <w:left w:val="none" w:sz="0" w:space="0" w:color="auto"/>
        <w:bottom w:val="none" w:sz="0" w:space="0" w:color="auto"/>
        <w:right w:val="none" w:sz="0" w:space="0" w:color="auto"/>
      </w:divBdr>
    </w:div>
    <w:div w:id="983267755">
      <w:bodyDiv w:val="1"/>
      <w:marLeft w:val="0"/>
      <w:marRight w:val="0"/>
      <w:marTop w:val="0"/>
      <w:marBottom w:val="0"/>
      <w:divBdr>
        <w:top w:val="none" w:sz="0" w:space="0" w:color="auto"/>
        <w:left w:val="none" w:sz="0" w:space="0" w:color="auto"/>
        <w:bottom w:val="none" w:sz="0" w:space="0" w:color="auto"/>
        <w:right w:val="none" w:sz="0" w:space="0" w:color="auto"/>
      </w:divBdr>
    </w:div>
    <w:div w:id="1075514710">
      <w:bodyDiv w:val="1"/>
      <w:marLeft w:val="0"/>
      <w:marRight w:val="0"/>
      <w:marTop w:val="0"/>
      <w:marBottom w:val="0"/>
      <w:divBdr>
        <w:top w:val="none" w:sz="0" w:space="0" w:color="auto"/>
        <w:left w:val="none" w:sz="0" w:space="0" w:color="auto"/>
        <w:bottom w:val="none" w:sz="0" w:space="0" w:color="auto"/>
        <w:right w:val="none" w:sz="0" w:space="0" w:color="auto"/>
      </w:divBdr>
    </w:div>
    <w:div w:id="1107240836">
      <w:bodyDiv w:val="1"/>
      <w:marLeft w:val="0"/>
      <w:marRight w:val="0"/>
      <w:marTop w:val="0"/>
      <w:marBottom w:val="0"/>
      <w:divBdr>
        <w:top w:val="none" w:sz="0" w:space="0" w:color="auto"/>
        <w:left w:val="none" w:sz="0" w:space="0" w:color="auto"/>
        <w:bottom w:val="none" w:sz="0" w:space="0" w:color="auto"/>
        <w:right w:val="none" w:sz="0" w:space="0" w:color="auto"/>
      </w:divBdr>
    </w:div>
    <w:div w:id="1146163700">
      <w:bodyDiv w:val="1"/>
      <w:marLeft w:val="0"/>
      <w:marRight w:val="0"/>
      <w:marTop w:val="0"/>
      <w:marBottom w:val="0"/>
      <w:divBdr>
        <w:top w:val="none" w:sz="0" w:space="0" w:color="auto"/>
        <w:left w:val="none" w:sz="0" w:space="0" w:color="auto"/>
        <w:bottom w:val="none" w:sz="0" w:space="0" w:color="auto"/>
        <w:right w:val="none" w:sz="0" w:space="0" w:color="auto"/>
      </w:divBdr>
    </w:div>
    <w:div w:id="1155872057">
      <w:bodyDiv w:val="1"/>
      <w:marLeft w:val="0"/>
      <w:marRight w:val="0"/>
      <w:marTop w:val="0"/>
      <w:marBottom w:val="0"/>
      <w:divBdr>
        <w:top w:val="none" w:sz="0" w:space="0" w:color="auto"/>
        <w:left w:val="none" w:sz="0" w:space="0" w:color="auto"/>
        <w:bottom w:val="none" w:sz="0" w:space="0" w:color="auto"/>
        <w:right w:val="none" w:sz="0" w:space="0" w:color="auto"/>
      </w:divBdr>
    </w:div>
    <w:div w:id="1165168345">
      <w:bodyDiv w:val="1"/>
      <w:marLeft w:val="0"/>
      <w:marRight w:val="0"/>
      <w:marTop w:val="0"/>
      <w:marBottom w:val="0"/>
      <w:divBdr>
        <w:top w:val="none" w:sz="0" w:space="0" w:color="auto"/>
        <w:left w:val="none" w:sz="0" w:space="0" w:color="auto"/>
        <w:bottom w:val="none" w:sz="0" w:space="0" w:color="auto"/>
        <w:right w:val="none" w:sz="0" w:space="0" w:color="auto"/>
      </w:divBdr>
    </w:div>
    <w:div w:id="1169366608">
      <w:bodyDiv w:val="1"/>
      <w:marLeft w:val="0"/>
      <w:marRight w:val="0"/>
      <w:marTop w:val="0"/>
      <w:marBottom w:val="0"/>
      <w:divBdr>
        <w:top w:val="none" w:sz="0" w:space="0" w:color="auto"/>
        <w:left w:val="none" w:sz="0" w:space="0" w:color="auto"/>
        <w:bottom w:val="none" w:sz="0" w:space="0" w:color="auto"/>
        <w:right w:val="none" w:sz="0" w:space="0" w:color="auto"/>
      </w:divBdr>
    </w:div>
    <w:div w:id="1256743753">
      <w:bodyDiv w:val="1"/>
      <w:marLeft w:val="0"/>
      <w:marRight w:val="0"/>
      <w:marTop w:val="0"/>
      <w:marBottom w:val="0"/>
      <w:divBdr>
        <w:top w:val="none" w:sz="0" w:space="0" w:color="auto"/>
        <w:left w:val="none" w:sz="0" w:space="0" w:color="auto"/>
        <w:bottom w:val="none" w:sz="0" w:space="0" w:color="auto"/>
        <w:right w:val="none" w:sz="0" w:space="0" w:color="auto"/>
      </w:divBdr>
    </w:div>
    <w:div w:id="1265067801">
      <w:bodyDiv w:val="1"/>
      <w:marLeft w:val="0"/>
      <w:marRight w:val="0"/>
      <w:marTop w:val="0"/>
      <w:marBottom w:val="0"/>
      <w:divBdr>
        <w:top w:val="none" w:sz="0" w:space="0" w:color="auto"/>
        <w:left w:val="none" w:sz="0" w:space="0" w:color="auto"/>
        <w:bottom w:val="none" w:sz="0" w:space="0" w:color="auto"/>
        <w:right w:val="none" w:sz="0" w:space="0" w:color="auto"/>
      </w:divBdr>
    </w:div>
    <w:div w:id="1265579090">
      <w:bodyDiv w:val="1"/>
      <w:marLeft w:val="0"/>
      <w:marRight w:val="0"/>
      <w:marTop w:val="0"/>
      <w:marBottom w:val="0"/>
      <w:divBdr>
        <w:top w:val="none" w:sz="0" w:space="0" w:color="auto"/>
        <w:left w:val="none" w:sz="0" w:space="0" w:color="auto"/>
        <w:bottom w:val="none" w:sz="0" w:space="0" w:color="auto"/>
        <w:right w:val="none" w:sz="0" w:space="0" w:color="auto"/>
      </w:divBdr>
    </w:div>
    <w:div w:id="1351681335">
      <w:bodyDiv w:val="1"/>
      <w:marLeft w:val="0"/>
      <w:marRight w:val="0"/>
      <w:marTop w:val="0"/>
      <w:marBottom w:val="0"/>
      <w:divBdr>
        <w:top w:val="none" w:sz="0" w:space="0" w:color="auto"/>
        <w:left w:val="none" w:sz="0" w:space="0" w:color="auto"/>
        <w:bottom w:val="none" w:sz="0" w:space="0" w:color="auto"/>
        <w:right w:val="none" w:sz="0" w:space="0" w:color="auto"/>
      </w:divBdr>
    </w:div>
    <w:div w:id="1478495825">
      <w:bodyDiv w:val="1"/>
      <w:marLeft w:val="0"/>
      <w:marRight w:val="0"/>
      <w:marTop w:val="0"/>
      <w:marBottom w:val="0"/>
      <w:divBdr>
        <w:top w:val="none" w:sz="0" w:space="0" w:color="auto"/>
        <w:left w:val="none" w:sz="0" w:space="0" w:color="auto"/>
        <w:bottom w:val="none" w:sz="0" w:space="0" w:color="auto"/>
        <w:right w:val="none" w:sz="0" w:space="0" w:color="auto"/>
      </w:divBdr>
    </w:div>
    <w:div w:id="1505394144">
      <w:bodyDiv w:val="1"/>
      <w:marLeft w:val="0"/>
      <w:marRight w:val="0"/>
      <w:marTop w:val="0"/>
      <w:marBottom w:val="0"/>
      <w:divBdr>
        <w:top w:val="none" w:sz="0" w:space="0" w:color="auto"/>
        <w:left w:val="none" w:sz="0" w:space="0" w:color="auto"/>
        <w:bottom w:val="none" w:sz="0" w:space="0" w:color="auto"/>
        <w:right w:val="none" w:sz="0" w:space="0" w:color="auto"/>
      </w:divBdr>
    </w:div>
    <w:div w:id="1526407637">
      <w:bodyDiv w:val="1"/>
      <w:marLeft w:val="0"/>
      <w:marRight w:val="0"/>
      <w:marTop w:val="0"/>
      <w:marBottom w:val="0"/>
      <w:divBdr>
        <w:top w:val="none" w:sz="0" w:space="0" w:color="auto"/>
        <w:left w:val="none" w:sz="0" w:space="0" w:color="auto"/>
        <w:bottom w:val="none" w:sz="0" w:space="0" w:color="auto"/>
        <w:right w:val="none" w:sz="0" w:space="0" w:color="auto"/>
      </w:divBdr>
    </w:div>
    <w:div w:id="1536573786">
      <w:bodyDiv w:val="1"/>
      <w:marLeft w:val="0"/>
      <w:marRight w:val="0"/>
      <w:marTop w:val="0"/>
      <w:marBottom w:val="0"/>
      <w:divBdr>
        <w:top w:val="none" w:sz="0" w:space="0" w:color="auto"/>
        <w:left w:val="none" w:sz="0" w:space="0" w:color="auto"/>
        <w:bottom w:val="none" w:sz="0" w:space="0" w:color="auto"/>
        <w:right w:val="none" w:sz="0" w:space="0" w:color="auto"/>
      </w:divBdr>
    </w:div>
    <w:div w:id="1564215747">
      <w:bodyDiv w:val="1"/>
      <w:marLeft w:val="0"/>
      <w:marRight w:val="0"/>
      <w:marTop w:val="0"/>
      <w:marBottom w:val="0"/>
      <w:divBdr>
        <w:top w:val="none" w:sz="0" w:space="0" w:color="auto"/>
        <w:left w:val="none" w:sz="0" w:space="0" w:color="auto"/>
        <w:bottom w:val="none" w:sz="0" w:space="0" w:color="auto"/>
        <w:right w:val="none" w:sz="0" w:space="0" w:color="auto"/>
      </w:divBdr>
    </w:div>
    <w:div w:id="1601525544">
      <w:bodyDiv w:val="1"/>
      <w:marLeft w:val="0"/>
      <w:marRight w:val="0"/>
      <w:marTop w:val="0"/>
      <w:marBottom w:val="0"/>
      <w:divBdr>
        <w:top w:val="none" w:sz="0" w:space="0" w:color="auto"/>
        <w:left w:val="none" w:sz="0" w:space="0" w:color="auto"/>
        <w:bottom w:val="none" w:sz="0" w:space="0" w:color="auto"/>
        <w:right w:val="none" w:sz="0" w:space="0" w:color="auto"/>
      </w:divBdr>
    </w:div>
    <w:div w:id="1881815507">
      <w:bodyDiv w:val="1"/>
      <w:marLeft w:val="0"/>
      <w:marRight w:val="0"/>
      <w:marTop w:val="0"/>
      <w:marBottom w:val="0"/>
      <w:divBdr>
        <w:top w:val="none" w:sz="0" w:space="0" w:color="auto"/>
        <w:left w:val="none" w:sz="0" w:space="0" w:color="auto"/>
        <w:bottom w:val="none" w:sz="0" w:space="0" w:color="auto"/>
        <w:right w:val="none" w:sz="0" w:space="0" w:color="auto"/>
      </w:divBdr>
    </w:div>
    <w:div w:id="1923366388">
      <w:bodyDiv w:val="1"/>
      <w:marLeft w:val="0"/>
      <w:marRight w:val="0"/>
      <w:marTop w:val="0"/>
      <w:marBottom w:val="0"/>
      <w:divBdr>
        <w:top w:val="none" w:sz="0" w:space="0" w:color="auto"/>
        <w:left w:val="none" w:sz="0" w:space="0" w:color="auto"/>
        <w:bottom w:val="none" w:sz="0" w:space="0" w:color="auto"/>
        <w:right w:val="none" w:sz="0" w:space="0" w:color="auto"/>
      </w:divBdr>
    </w:div>
    <w:div w:id="1984500788">
      <w:bodyDiv w:val="1"/>
      <w:marLeft w:val="0"/>
      <w:marRight w:val="0"/>
      <w:marTop w:val="0"/>
      <w:marBottom w:val="0"/>
      <w:divBdr>
        <w:top w:val="none" w:sz="0" w:space="0" w:color="auto"/>
        <w:left w:val="none" w:sz="0" w:space="0" w:color="auto"/>
        <w:bottom w:val="none" w:sz="0" w:space="0" w:color="auto"/>
        <w:right w:val="none" w:sz="0" w:space="0" w:color="auto"/>
      </w:divBdr>
    </w:div>
    <w:div w:id="1984693789">
      <w:bodyDiv w:val="1"/>
      <w:marLeft w:val="0"/>
      <w:marRight w:val="0"/>
      <w:marTop w:val="0"/>
      <w:marBottom w:val="0"/>
      <w:divBdr>
        <w:top w:val="none" w:sz="0" w:space="0" w:color="auto"/>
        <w:left w:val="none" w:sz="0" w:space="0" w:color="auto"/>
        <w:bottom w:val="none" w:sz="0" w:space="0" w:color="auto"/>
        <w:right w:val="none" w:sz="0" w:space="0" w:color="auto"/>
      </w:divBdr>
    </w:div>
    <w:div w:id="204309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1391</Words>
  <Characters>8770</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Sidler, Lukas Simon (STUDENTS)</dc:creator>
  <cp:keywords/>
  <dc:description/>
  <cp:lastModifiedBy>Sidler, Lukas Simon (STUDENTS)</cp:lastModifiedBy>
  <cp:revision>16</cp:revision>
  <dcterms:created xsi:type="dcterms:W3CDTF">2024-06-29T09:55:00Z</dcterms:created>
  <dcterms:modified xsi:type="dcterms:W3CDTF">2024-10-11T13:00:00Z</dcterms:modified>
</cp:coreProperties>
</file>