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w:t>
      </w:r>
      <w:r w:rsidRPr="00547D18">
        <w:rPr>
          <w:rFonts w:cstheme="minorHAnsi"/>
        </w:rPr>
        <w:t xml:space="preserve"> </w:t>
      </w:r>
      <w:r w:rsidRPr="00547D18">
        <w:rPr>
          <w:rFonts w:cstheme="minorHAnsi"/>
        </w:rPr>
        <w:t>}</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r w:rsidRPr="0050357B">
        <w:rPr>
          <w:rFonts w:cstheme="minorHAnsi"/>
        </w:rPr>
        <w:t xml:space="preserve"> </w:t>
      </w:r>
      <w:r w:rsidRPr="0050357B">
        <w:rPr>
          <w:rFonts w:cstheme="minorHAnsi"/>
        </w:rPr>
        <w:t>}</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Pr="00486EAD" w:rsidRDefault="00716210" w:rsidP="00486EAD">
      <w:pPr>
        <w:pStyle w:val="Akapitzlist"/>
        <w:spacing w:after="0" w:line="240" w:lineRule="auto"/>
        <w:jc w:val="both"/>
        <w:rPr>
          <w:rFonts w:cstheme="minorHAnsi"/>
        </w:rPr>
      </w:pPr>
    </w:p>
    <w:p w14:paraId="52AE5175" w14:textId="4A9B1A72" w:rsidR="001931A3" w:rsidRPr="0012330A" w:rsidRDefault="00716210" w:rsidP="001931A3">
      <w:pPr>
        <w:spacing w:after="0" w:line="240" w:lineRule="auto"/>
        <w:jc w:val="both"/>
        <w:rPr>
          <w:rFonts w:cstheme="minorHAnsi"/>
          <w:b/>
          <w:bCs/>
        </w:rPr>
      </w:pPr>
      <w:r>
        <w:rPr>
          <w:rFonts w:cstheme="minorHAnsi"/>
          <w:b/>
          <w:bCs/>
        </w:rPr>
        <w:t>10</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F0B612F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D3B0B"/>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41C6"/>
    <w:rsid w:val="00547D18"/>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6145</TotalTime>
  <Pages>18</Pages>
  <Words>4247</Words>
  <Characters>25482</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798</cp:revision>
  <dcterms:created xsi:type="dcterms:W3CDTF">2023-01-12T23:26:00Z</dcterms:created>
  <dcterms:modified xsi:type="dcterms:W3CDTF">2023-11-11T13:43:00Z</dcterms:modified>
</cp:coreProperties>
</file>