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 xml:space="preserve">p { </w:t>
      </w:r>
      <w:proofErr w:type="spellStart"/>
      <w:r w:rsidR="00DD40A6" w:rsidRPr="00DD40A6">
        <w:rPr>
          <w:rFonts w:cstheme="minorHAnsi"/>
        </w:rPr>
        <w:t>color</w:t>
      </w:r>
      <w:proofErr w:type="spellEnd"/>
      <w:r w:rsidR="00DD40A6" w:rsidRPr="00DD40A6">
        <w:rPr>
          <w:rFonts w:cstheme="minorHAnsi"/>
        </w:rPr>
        <w:t xml:space="preserve">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 xml:space="preserve">p { </w:t>
      </w:r>
      <w:proofErr w:type="spellStart"/>
      <w:r w:rsidRPr="00DD40A6">
        <w:rPr>
          <w:rFonts w:cstheme="minorHAnsi"/>
        </w:rPr>
        <w:t>color</w:t>
      </w:r>
      <w:proofErr w:type="spellEnd"/>
      <w:r w:rsidRPr="00DD40A6"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link do zewnętrznego pliku </w:t>
      </w:r>
      <w:proofErr w:type="spellStart"/>
      <w:r w:rsidRPr="004B2D11">
        <w:rPr>
          <w:rFonts w:cstheme="minorHAnsi"/>
        </w:rPr>
        <w:t>css</w:t>
      </w:r>
      <w:proofErr w:type="spellEnd"/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 xml:space="preserve">&lt;link </w:t>
      </w:r>
      <w:proofErr w:type="spellStart"/>
      <w:r w:rsidRPr="004B2D11">
        <w:rPr>
          <w:rFonts w:cstheme="minorHAnsi"/>
        </w:rPr>
        <w:t>rel</w:t>
      </w:r>
      <w:proofErr w:type="spellEnd"/>
      <w:r w:rsidRPr="004B2D11">
        <w:rPr>
          <w:rFonts w:cstheme="minorHAnsi"/>
        </w:rPr>
        <w:t>="</w:t>
      </w:r>
      <w:proofErr w:type="spellStart"/>
      <w:r w:rsidRPr="004B2D11">
        <w:rPr>
          <w:rFonts w:cstheme="minorHAnsi"/>
        </w:rPr>
        <w:t>stylesheet</w:t>
      </w:r>
      <w:proofErr w:type="spellEnd"/>
      <w:r w:rsidRPr="004B2D11">
        <w:rPr>
          <w:rFonts w:cstheme="minorHAnsi"/>
        </w:rPr>
        <w:t xml:space="preserve">" </w:t>
      </w:r>
      <w:proofErr w:type="spellStart"/>
      <w:r w:rsidRPr="004B2D11">
        <w:rPr>
          <w:rFonts w:cstheme="minorHAnsi"/>
        </w:rPr>
        <w:t>href</w:t>
      </w:r>
      <w:proofErr w:type="spellEnd"/>
      <w:r w:rsidRPr="004B2D11">
        <w:rPr>
          <w:rFonts w:cstheme="minorHAnsi"/>
        </w:rPr>
        <w:t>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border</w:t>
      </w:r>
      <w:proofErr w:type="spellEnd"/>
      <w:r w:rsidRPr="004B2D11">
        <w:rPr>
          <w:rFonts w:cstheme="minorHAnsi"/>
        </w:rPr>
        <w:t xml:space="preserve">: 2px </w:t>
      </w:r>
      <w:proofErr w:type="spellStart"/>
      <w:r w:rsidRPr="004B2D11">
        <w:rPr>
          <w:rFonts w:cstheme="minorHAnsi"/>
        </w:rPr>
        <w:t>dotted</w:t>
      </w:r>
      <w:proofErr w:type="spellEnd"/>
      <w:r w:rsidRPr="004B2D11"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</w:t>
      </w:r>
      <w:proofErr w:type="spellStart"/>
      <w:r w:rsidRPr="004B2D11">
        <w:rPr>
          <w:rFonts w:cstheme="minorHAnsi"/>
        </w:rPr>
        <w:t>color</w:t>
      </w:r>
      <w:proofErr w:type="spellEnd"/>
      <w:r w:rsidRPr="004B2D11">
        <w:rPr>
          <w:rFonts w:cstheme="minorHAnsi"/>
        </w:rPr>
        <w:t xml:space="preserve">: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wskazanie konkretnego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background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black</w:t>
      </w:r>
      <w:proofErr w:type="spellEnd"/>
      <w:r>
        <w:rPr>
          <w:rFonts w:cstheme="minorHAnsi"/>
        </w:rPr>
        <w:t>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white</w:t>
      </w:r>
      <w:proofErr w:type="spellEnd"/>
      <w:r>
        <w:rPr>
          <w:rFonts w:cstheme="minorHAnsi"/>
        </w:rPr>
        <w:t>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27B87">
        <w:rPr>
          <w:rFonts w:cstheme="minorHAnsi"/>
        </w:rPr>
        <w:t>color</w:t>
      </w:r>
      <w:proofErr w:type="spellEnd"/>
      <w:r w:rsidRPr="00027B87">
        <w:rPr>
          <w:rFonts w:cstheme="minorHAnsi"/>
        </w:rPr>
        <w:t>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 xml:space="preserve">Kod </w:t>
      </w:r>
      <w:proofErr w:type="spellStart"/>
      <w:r w:rsidR="00196F74">
        <w:rPr>
          <w:rFonts w:cstheme="minorHAnsi"/>
        </w:rPr>
        <w:t>html</w:t>
      </w:r>
      <w:proofErr w:type="spellEnd"/>
      <w:r w:rsidR="00196F74">
        <w:rPr>
          <w:rFonts w:cstheme="minorHAnsi"/>
        </w:rPr>
        <w:t>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odwołanie się do wartości atrybutu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</w:t>
      </w:r>
      <w:proofErr w:type="spellStart"/>
      <w:r w:rsidR="000543E6" w:rsidRPr="000543E6">
        <w:rPr>
          <w:rFonts w:cstheme="minorHAnsi"/>
        </w:rPr>
        <w:t>chapter</w:t>
      </w:r>
      <w:proofErr w:type="spellEnd"/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>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</w:t>
      </w:r>
      <w:proofErr w:type="spellStart"/>
      <w:r w:rsidRPr="000543E6">
        <w:rPr>
          <w:rFonts w:cstheme="minorHAnsi"/>
        </w:rPr>
        <w:t>first-chapter</w:t>
      </w:r>
      <w:proofErr w:type="spellEnd"/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 xml:space="preserve">: </w:t>
      </w:r>
      <w:proofErr w:type="spellStart"/>
      <w:r w:rsidRPr="000543E6">
        <w:rPr>
          <w:rFonts w:cstheme="minorHAnsi"/>
        </w:rPr>
        <w:t>blue</w:t>
      </w:r>
      <w:proofErr w:type="spellEnd"/>
      <w:r w:rsidRPr="000543E6">
        <w:rPr>
          <w:rFonts w:cstheme="minorHAnsi"/>
        </w:rPr>
        <w:t>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</w:t>
      </w:r>
      <w:proofErr w:type="spellStart"/>
      <w:r w:rsidR="000543E6" w:rsidRPr="000543E6">
        <w:rPr>
          <w:rFonts w:cstheme="minorHAnsi"/>
        </w:rPr>
        <w:t>first-chapter</w:t>
      </w:r>
      <w:proofErr w:type="spellEnd"/>
      <w:r w:rsidR="000543E6" w:rsidRPr="000543E6">
        <w:rPr>
          <w:rFonts w:cstheme="minorHAnsi"/>
        </w:rPr>
        <w:t xml:space="preserve"> </w:t>
      </w:r>
      <w:r w:rsidR="000543E6">
        <w:rPr>
          <w:rFonts w:cstheme="minorHAnsi"/>
        </w:rPr>
        <w:t xml:space="preserve">oraz </w:t>
      </w:r>
      <w:proofErr w:type="spellStart"/>
      <w:r w:rsidR="000543E6" w:rsidRPr="000543E6">
        <w:rPr>
          <w:rFonts w:cstheme="minorHAnsi"/>
        </w:rPr>
        <w:t>chapter</w:t>
      </w:r>
      <w:proofErr w:type="spellEnd"/>
      <w:r w:rsidR="000543E6" w:rsidRPr="000543E6">
        <w:rPr>
          <w:rFonts w:cstheme="minorHAnsi"/>
        </w:rPr>
        <w:t xml:space="preserve">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first-chapter</w:t>
      </w:r>
      <w:proofErr w:type="spellEnd"/>
      <w:r w:rsidRPr="000543E6">
        <w:rPr>
          <w:rFonts w:cstheme="minorHAnsi"/>
        </w:rPr>
        <w:t xml:space="preserve">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&lt;!-- element z jedną klasą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 xml:space="preserve">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 xml:space="preserve">Liczy się kolejność </w:t>
      </w:r>
      <w:proofErr w:type="spellStart"/>
      <w:r w:rsidRPr="000543E6">
        <w:rPr>
          <w:rFonts w:cstheme="minorHAnsi"/>
        </w:rPr>
        <w:t>odwołań</w:t>
      </w:r>
      <w:proofErr w:type="spellEnd"/>
      <w:r w:rsidRPr="000543E6">
        <w:rPr>
          <w:rFonts w:cstheme="minorHAnsi"/>
        </w:rPr>
        <w:t xml:space="preserve">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 xml:space="preserve">która klasa w kodzie </w:t>
      </w:r>
      <w:proofErr w:type="spellStart"/>
      <w:r w:rsidRPr="000543E6">
        <w:rPr>
          <w:rFonts w:cstheme="minorHAnsi"/>
        </w:rPr>
        <w:t>css</w:t>
      </w:r>
      <w:proofErr w:type="spellEnd"/>
      <w:r w:rsidRPr="000543E6">
        <w:rPr>
          <w:rFonts w:cstheme="minorHAnsi"/>
        </w:rPr>
        <w:t xml:space="preserve">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B46C417" w14:textId="38C10541" w:rsidR="00503F6C" w:rsidRDefault="00503F6C" w:rsidP="00311A9B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{</w:t>
      </w:r>
      <w:r w:rsidR="00311A9B">
        <w:rPr>
          <w:rFonts w:cstheme="minorHAnsi"/>
        </w:rPr>
        <w:t xml:space="preserve"> </w:t>
      </w:r>
      <w:proofErr w:type="spellStart"/>
      <w:r w:rsidRPr="00503F6C">
        <w:rPr>
          <w:rFonts w:cstheme="minorHAnsi"/>
        </w:rPr>
        <w:t>color</w:t>
      </w:r>
      <w:proofErr w:type="spellEnd"/>
      <w:r w:rsidRPr="00503F6C">
        <w:rPr>
          <w:rFonts w:cstheme="minorHAnsi"/>
        </w:rPr>
        <w:t>: red;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</w:t>
      </w:r>
      <w:proofErr w:type="spellStart"/>
      <w:r w:rsidRPr="00503F6C">
        <w:rPr>
          <w:rFonts w:cstheme="minorHAnsi"/>
        </w:rPr>
        <w:t>class</w:t>
      </w:r>
      <w:proofErr w:type="spellEnd"/>
      <w:r w:rsidRPr="00503F6C">
        <w:rPr>
          <w:rFonts w:cstheme="minorHAnsi"/>
        </w:rPr>
        <w:t xml:space="preserve">=" </w:t>
      </w:r>
      <w:proofErr w:type="spellStart"/>
      <w:r>
        <w:rPr>
          <w:rFonts w:cstheme="minorHAnsi"/>
        </w:rPr>
        <w:t>nazwa_klasy</w:t>
      </w:r>
      <w:proofErr w:type="spellEnd"/>
      <w:r w:rsidRPr="00503F6C">
        <w:rPr>
          <w:rFonts w:cstheme="minorHAnsi"/>
        </w:rPr>
        <w:t xml:space="preserve"> " id=" </w:t>
      </w:r>
      <w:proofErr w:type="spellStart"/>
      <w:r>
        <w:rPr>
          <w:rFonts w:cstheme="minorHAnsi"/>
        </w:rPr>
        <w:t>nazwa_identyfikatora</w:t>
      </w:r>
      <w:proofErr w:type="spellEnd"/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Kombinatory</w:t>
      </w:r>
      <w:proofErr w:type="spellEnd"/>
      <w:r>
        <w:rPr>
          <w:rFonts w:cstheme="minorHAnsi"/>
        </w:rPr>
        <w:t>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1998E931" w14:textId="77777777" w:rsidR="00311A9B" w:rsidRDefault="00311A9B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42120310" w14:textId="77777777" w:rsidR="00311A9B" w:rsidRDefault="00311A9B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4F2829D4" w14:textId="1A36C436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to w powyższym kodzie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i &lt;h1&gt;</w:t>
      </w:r>
    </w:p>
    <w:p w14:paraId="1EC67AED" w14:textId="77777777" w:rsidR="00311A9B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015D9FB" w14:textId="480C6689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37B1F1A1" w14:textId="77777777" w:rsidR="00311A9B" w:rsidRPr="00C715FD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&gt;</w:t>
      </w:r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 znacznika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&gt; jest &lt;h1&gt;. Znacznik &lt;h1&gt; nie jest dzieckiem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&gt;. Selektor potomka tworzymy z użyciem znaku &gt;.</w:t>
      </w:r>
    </w:p>
    <w:p w14:paraId="03E4F8C5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5CDFC584" w14:textId="6E0539A2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następnego sąsiada:</w:t>
      </w:r>
    </w:p>
    <w:p w14:paraId="33131F2C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73D20E3A" w14:textId="09431DC8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+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C78ACD2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C8AE7E8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7EF6D2D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573C0C2C" w14:textId="462B3C07" w:rsidR="00311A9B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D26C8D0" w14:textId="102DBFFE" w:rsidR="00311A9B" w:rsidRDefault="00311A9B" w:rsidP="00311A9B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0E28B59" w14:textId="424AFCDD" w:rsidR="00311A9B" w:rsidRPr="00311A9B" w:rsidRDefault="00311A9B" w:rsidP="00311A9B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35ABCFFF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1B574594" w14:textId="77777777" w:rsidR="00311A9B" w:rsidRPr="001F3CEF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26DFD3EE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92B9F64" w14:textId="29B22A62" w:rsidR="00311A9B" w:rsidRDefault="00D74CDE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Następnym sąsiadem znacznika &lt;h1&gt; jest </w:t>
      </w:r>
      <w:r w:rsidR="00DE4726">
        <w:rPr>
          <w:rFonts w:cstheme="minorHAnsi"/>
        </w:rPr>
        <w:t>paragraf &lt;p&gt; o zawartości „</w:t>
      </w:r>
      <w:r w:rsidR="00DE4726" w:rsidRPr="00DE4726">
        <w:rPr>
          <w:rFonts w:cstheme="minorHAnsi"/>
        </w:rPr>
        <w:t>inny przykładowy tekst nr 1</w:t>
      </w:r>
      <w:r w:rsidR="00DE4726">
        <w:rPr>
          <w:rFonts w:cstheme="minorHAnsi"/>
        </w:rPr>
        <w:t>” i tylko ten paragraf dostanie styl z selektora. Dla utworzenia takiego selektora stosujemy znak +.</w:t>
      </w:r>
    </w:p>
    <w:p w14:paraId="21577967" w14:textId="77777777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FA0C260" w14:textId="5C916FB6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 </w:t>
      </w:r>
      <w:r w:rsidR="009473A5">
        <w:rPr>
          <w:rFonts w:cstheme="minorHAnsi"/>
        </w:rPr>
        <w:t>następnych sąsiadów:</w:t>
      </w:r>
    </w:p>
    <w:p w14:paraId="4E3C7340" w14:textId="77777777" w:rsidR="009473A5" w:rsidRDefault="009473A5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0AA74BAE" w14:textId="277F187F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~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F0EFCF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0D0C919D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363AF8B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F658085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4002C95" w14:textId="77777777" w:rsidR="005441C6" w:rsidRDefault="005441C6" w:rsidP="005441C6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5BB27CB" w14:textId="77777777" w:rsidR="005441C6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681F0233" w14:textId="77AAF89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3</w:t>
      </w:r>
      <w:r w:rsidRPr="00311A9B">
        <w:rPr>
          <w:rFonts w:cstheme="minorHAnsi"/>
        </w:rPr>
        <w:t xml:space="preserve"> &lt;/p&gt;</w:t>
      </w:r>
    </w:p>
    <w:p w14:paraId="600CDA49" w14:textId="7002F94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4</w:t>
      </w:r>
      <w:r w:rsidRPr="00311A9B">
        <w:rPr>
          <w:rFonts w:cstheme="minorHAnsi"/>
        </w:rPr>
        <w:t xml:space="preserve"> &lt;/p&gt;</w:t>
      </w:r>
    </w:p>
    <w:p w14:paraId="07F28485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7DD299C3" w14:textId="77777777" w:rsidR="005441C6" w:rsidRPr="001F3CEF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361B791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26CBF48B" w14:textId="1234B083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Następnymi sąsiadami znacznika &lt;h1&gt; są wszystkie paragrafy &lt;p&gt; i one wszystkie dostaną styl z selektora. Dla utworzenia takiego selektora stosujemy znak ~.</w:t>
      </w:r>
    </w:p>
    <w:p w14:paraId="2FBE11D4" w14:textId="77777777" w:rsidR="000855F9" w:rsidRDefault="000855F9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12D9B932" w14:textId="671AD54C" w:rsidR="000855F9" w:rsidRDefault="000855F9" w:rsidP="000855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uniwersalny:</w:t>
      </w:r>
    </w:p>
    <w:p w14:paraId="16DACF08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</w:p>
    <w:p w14:paraId="63452DC3" w14:textId="0A5F4928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nadający styl wszystkim elementom strony:</w:t>
      </w:r>
    </w:p>
    <w:p w14:paraId="6FF97318" w14:textId="77777777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</w:p>
    <w:p w14:paraId="473681BE" w14:textId="3B401248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616E27A" w14:textId="079428CA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Pr="003C56B7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3C56B7">
        <w:rPr>
          <w:rFonts w:cstheme="minorHAnsi"/>
        </w:rPr>
        <w:t>border</w:t>
      </w:r>
      <w:proofErr w:type="spellEnd"/>
      <w:r w:rsidRPr="003C56B7">
        <w:rPr>
          <w:rFonts w:cstheme="minorHAnsi"/>
        </w:rPr>
        <w:t>: 2px solid red;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}</w:t>
      </w:r>
    </w:p>
    <w:p w14:paraId="0F143CAF" w14:textId="05C8845F" w:rsidR="003C56B7" w:rsidRDefault="003C56B7" w:rsidP="003C56B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1668B7A1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595BDA" w14:textId="77777777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786CE142" w14:textId="19F87D05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&lt;body&gt;</w:t>
      </w:r>
      <w:r>
        <w:rPr>
          <w:rFonts w:cstheme="minorHAnsi"/>
        </w:rPr>
        <w:tab/>
      </w:r>
    </w:p>
    <w:p w14:paraId="1EC708C5" w14:textId="4B9A4599" w:rsidR="003C56B7" w:rsidRPr="003C56B7" w:rsidRDefault="003C56B7" w:rsidP="003C56B7">
      <w:pPr>
        <w:spacing w:after="0" w:line="240" w:lineRule="auto"/>
        <w:ind w:left="708" w:firstLine="708"/>
        <w:jc w:val="both"/>
        <w:rPr>
          <w:rFonts w:cstheme="minorHAnsi"/>
        </w:rPr>
      </w:pPr>
      <w:r w:rsidRPr="003C56B7">
        <w:rPr>
          <w:rFonts w:cstheme="minorHAnsi"/>
        </w:rPr>
        <w:t>&lt;ul&gt;</w:t>
      </w:r>
    </w:p>
    <w:p w14:paraId="54A83BA4" w14:textId="0D77EC7E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5504E6C2" w14:textId="4CB86195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381574B2" w14:textId="588479BA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1362EAB1" w14:textId="6CE0F730" w:rsidR="000855F9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&lt;/ul&gt;</w:t>
      </w:r>
    </w:p>
    <w:p w14:paraId="21FE1F70" w14:textId="7E213C56" w:rsidR="000855F9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8042D1B" w14:textId="77777777" w:rsidR="000855F9" w:rsidRDefault="000855F9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513E504" w14:textId="1E3E11E2" w:rsidR="003C56B7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Wszystkie elementy strony mają czerwoną ramkę czyli: </w:t>
      </w:r>
      <w:r w:rsidRPr="003C56B7">
        <w:rPr>
          <w:rFonts w:cstheme="minorHAnsi"/>
        </w:rPr>
        <w:t>&lt;body&gt;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&lt;ul&gt;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&lt;li&gt;</w:t>
      </w:r>
      <w:r w:rsidR="006B62BA">
        <w:rPr>
          <w:rFonts w:cstheme="minorHAnsi"/>
        </w:rPr>
        <w:t xml:space="preserve"> i nawet &lt;</w:t>
      </w:r>
      <w:proofErr w:type="spellStart"/>
      <w:r w:rsidR="006B62BA">
        <w:rPr>
          <w:rFonts w:cstheme="minorHAnsi"/>
        </w:rPr>
        <w:t>html</w:t>
      </w:r>
      <w:proofErr w:type="spellEnd"/>
      <w:r w:rsidR="006B62BA">
        <w:rPr>
          <w:rFonts w:cstheme="minorHAnsi"/>
        </w:rPr>
        <w:t>&gt;.</w:t>
      </w:r>
    </w:p>
    <w:p w14:paraId="041848C3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D88E521" w14:textId="174E8FE7" w:rsidR="00D27A47" w:rsidRPr="00D27A47" w:rsidRDefault="00D27A47" w:rsidP="00D27A4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27A47">
        <w:rPr>
          <w:rFonts w:cstheme="minorHAnsi"/>
        </w:rPr>
        <w:t>Selektor atrybutu:</w:t>
      </w:r>
    </w:p>
    <w:p w14:paraId="7E20AD88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26AEF18A" w14:textId="4320CE9F" w:rsidR="00D27A47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Pozwala wybrać te elementy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konkretny atrybut lub posiadają atrybut razem z wartością. Przykładowo:</w:t>
      </w:r>
    </w:p>
    <w:p w14:paraId="07BD3F77" w14:textId="77777777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4B8E3926" w14:textId="499678EB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5A3A14D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&lt;style&gt;</w:t>
      </w:r>
    </w:p>
    <w:p w14:paraId="4AF4482E" w14:textId="0DBCB9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[data-red]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>: red;}</w:t>
      </w:r>
    </w:p>
    <w:p w14:paraId="77102D3C" w14:textId="0AB36CAC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[data-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"]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 xml:space="preserve">: 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;}</w:t>
      </w:r>
    </w:p>
    <w:p w14:paraId="06B00D0E" w14:textId="7BB0DA9E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&lt;/style&gt;</w:t>
      </w:r>
    </w:p>
    <w:p w14:paraId="3E6AA343" w14:textId="77777777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2F567C04" w14:textId="6A325B54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AB58F6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624B56C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&lt;ul&gt;</w:t>
      </w:r>
    </w:p>
    <w:p w14:paraId="7F4D13DD" w14:textId="0D7474E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data-red&gt;</w:t>
      </w:r>
      <w:r>
        <w:rPr>
          <w:rFonts w:cstheme="minorHAnsi"/>
        </w:rPr>
        <w:t xml:space="preserve"> przykładowy tekst </w:t>
      </w:r>
      <w:r w:rsidRPr="001136C2">
        <w:rPr>
          <w:rFonts w:cstheme="minorHAnsi"/>
        </w:rPr>
        <w:t>&lt;/li&gt;</w:t>
      </w:r>
    </w:p>
    <w:p w14:paraId="4B0003FD" w14:textId="3D733A8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"&gt;</w:t>
      </w:r>
      <w:r w:rsidRPr="001136C2">
        <w:rPr>
          <w:rFonts w:cstheme="minorHAnsi"/>
        </w:rPr>
        <w:t xml:space="preserve"> </w:t>
      </w:r>
      <w:r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&lt;/li&gt;</w:t>
      </w:r>
    </w:p>
    <w:p w14:paraId="5AA5E0BE" w14:textId="20858605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&lt;li&gt;</w:t>
      </w:r>
      <w:r w:rsidRPr="001136C2">
        <w:rPr>
          <w:rFonts w:cstheme="minorHAnsi"/>
        </w:rPr>
        <w:t xml:space="preserve"> </w:t>
      </w:r>
      <w:r>
        <w:rPr>
          <w:rFonts w:cstheme="minorHAnsi"/>
        </w:rPr>
        <w:t>przykładowy tekst</w:t>
      </w:r>
      <w:r w:rsidRPr="001136C2">
        <w:rPr>
          <w:rFonts w:cstheme="minorHAnsi"/>
        </w:rPr>
        <w:t xml:space="preserve"> </w:t>
      </w:r>
      <w:r w:rsidRPr="001136C2">
        <w:rPr>
          <w:rFonts w:cstheme="minorHAnsi"/>
        </w:rPr>
        <w:t>&lt;/li&gt;</w:t>
      </w:r>
    </w:p>
    <w:p w14:paraId="28ABBF14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&lt;/ul&gt;</w:t>
      </w:r>
    </w:p>
    <w:p w14:paraId="32877FFE" w14:textId="5FCE24E0" w:rsidR="001136C2" w:rsidRPr="000855F9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&lt;/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4BD5EDFC" w14:textId="77777777" w:rsidR="00C715FD" w:rsidRPr="007B50B4" w:rsidRDefault="00C715FD" w:rsidP="007B50B4">
      <w:pPr>
        <w:spacing w:after="0" w:line="240" w:lineRule="auto"/>
        <w:jc w:val="both"/>
        <w:rPr>
          <w:rFonts w:cstheme="minorHAnsi"/>
        </w:rPr>
      </w:pPr>
    </w:p>
    <w:p w14:paraId="52AE5175" w14:textId="07A97F51" w:rsidR="001931A3" w:rsidRPr="0012330A" w:rsidRDefault="001931A3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C4D77">
        <w:rPr>
          <w:rFonts w:cstheme="minorHAnsi"/>
        </w:rPr>
        <w:t>Emmet</w:t>
      </w:r>
      <w:proofErr w:type="spellEnd"/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 xml:space="preserve">umowny sposób zapisu tekstu, który zostanie przekształcony przez IDE lub jakiś </w:t>
      </w:r>
      <w:proofErr w:type="spellStart"/>
      <w:r w:rsidRPr="00BC4D77">
        <w:rPr>
          <w:rFonts w:cstheme="minorHAnsi"/>
        </w:rPr>
        <w:t>plugin</w:t>
      </w:r>
      <w:proofErr w:type="spellEnd"/>
      <w:r w:rsidRPr="00BC4D77">
        <w:rPr>
          <w:rFonts w:cstheme="minorHAnsi"/>
        </w:rPr>
        <w:t xml:space="preserve"> na kod </w:t>
      </w:r>
      <w:proofErr w:type="spellStart"/>
      <w:r w:rsidRPr="00BC4D77">
        <w:rPr>
          <w:rFonts w:cstheme="minorHAnsi"/>
        </w:rPr>
        <w:t>html</w:t>
      </w:r>
      <w:proofErr w:type="spellEnd"/>
      <w:r>
        <w:rPr>
          <w:rFonts w:cstheme="minorHAnsi"/>
        </w:rPr>
        <w:t>. Stosowanie go potrafi znacznie przyspieszyć pisanie kodu.</w:t>
      </w:r>
    </w:p>
    <w:p w14:paraId="0FEA47A5" w14:textId="77777777" w:rsidR="00990D68" w:rsidRDefault="00990D68" w:rsidP="00990D68">
      <w:pPr>
        <w:spacing w:after="0" w:line="240" w:lineRule="auto"/>
        <w:jc w:val="both"/>
        <w:rPr>
          <w:rFonts w:cstheme="minorHAnsi"/>
        </w:rPr>
      </w:pPr>
    </w:p>
    <w:p w14:paraId="260CB547" w14:textId="15FD3476" w:rsidR="00990D68" w:rsidRPr="00990D68" w:rsidRDefault="00990D68" w:rsidP="00990D6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Selektory możemy wypisywać po przecinku przed blokiem deklaracji. Styl w ten sposób określony będzie działał na zawartość wewnątrz wszystkich </w:t>
      </w:r>
      <w:proofErr w:type="spellStart"/>
      <w:r>
        <w:rPr>
          <w:rFonts w:cstheme="minorHAnsi"/>
        </w:rPr>
        <w:t>tagów</w:t>
      </w:r>
      <w:proofErr w:type="spellEnd"/>
      <w:r>
        <w:rPr>
          <w:rFonts w:cstheme="minorHAnsi"/>
        </w:rPr>
        <w:t xml:space="preserve"> przywołanych jako selektory.</w:t>
      </w:r>
      <w:r w:rsidRPr="00990D68">
        <w:rPr>
          <w:rFonts w:cstheme="minorHAnsi"/>
        </w:rPr>
        <w:t xml:space="preserve"> </w:t>
      </w:r>
    </w:p>
    <w:sectPr w:rsidR="00990D68" w:rsidRPr="0099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65200C8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74153"/>
    <w:rsid w:val="0008110E"/>
    <w:rsid w:val="000855F9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0F4932"/>
    <w:rsid w:val="001061F1"/>
    <w:rsid w:val="00106779"/>
    <w:rsid w:val="00106DC8"/>
    <w:rsid w:val="001136C2"/>
    <w:rsid w:val="0012330A"/>
    <w:rsid w:val="00125C4A"/>
    <w:rsid w:val="00137E4F"/>
    <w:rsid w:val="00141C89"/>
    <w:rsid w:val="0014630C"/>
    <w:rsid w:val="001514BA"/>
    <w:rsid w:val="00155D3C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2742"/>
    <w:rsid w:val="002B4B84"/>
    <w:rsid w:val="002C034B"/>
    <w:rsid w:val="002C1C42"/>
    <w:rsid w:val="002D04A7"/>
    <w:rsid w:val="002D4DDE"/>
    <w:rsid w:val="002E65B6"/>
    <w:rsid w:val="00304158"/>
    <w:rsid w:val="003050E3"/>
    <w:rsid w:val="00311A9B"/>
    <w:rsid w:val="00311BDB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C56B7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24D54"/>
    <w:rsid w:val="00536709"/>
    <w:rsid w:val="005441C6"/>
    <w:rsid w:val="005508BC"/>
    <w:rsid w:val="00557D7F"/>
    <w:rsid w:val="0056686E"/>
    <w:rsid w:val="005676A1"/>
    <w:rsid w:val="005968AE"/>
    <w:rsid w:val="005A2048"/>
    <w:rsid w:val="005C40C0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B62BA"/>
    <w:rsid w:val="006C19CD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546D7"/>
    <w:rsid w:val="00755F0B"/>
    <w:rsid w:val="00772E2D"/>
    <w:rsid w:val="00785978"/>
    <w:rsid w:val="007944E3"/>
    <w:rsid w:val="007A5CB8"/>
    <w:rsid w:val="007B50B4"/>
    <w:rsid w:val="007C54B1"/>
    <w:rsid w:val="007D5975"/>
    <w:rsid w:val="007E3DCA"/>
    <w:rsid w:val="007F2C6E"/>
    <w:rsid w:val="007F329B"/>
    <w:rsid w:val="007F4D7C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473A5"/>
    <w:rsid w:val="00950793"/>
    <w:rsid w:val="00955400"/>
    <w:rsid w:val="00957770"/>
    <w:rsid w:val="0096205A"/>
    <w:rsid w:val="009811CA"/>
    <w:rsid w:val="00990A33"/>
    <w:rsid w:val="00990D68"/>
    <w:rsid w:val="009A2C68"/>
    <w:rsid w:val="009A403E"/>
    <w:rsid w:val="009A6BB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7E89"/>
    <w:rsid w:val="00AB3AF5"/>
    <w:rsid w:val="00AD1CE3"/>
    <w:rsid w:val="00AF6813"/>
    <w:rsid w:val="00B21499"/>
    <w:rsid w:val="00B2690B"/>
    <w:rsid w:val="00B35EEB"/>
    <w:rsid w:val="00B44D41"/>
    <w:rsid w:val="00B53E37"/>
    <w:rsid w:val="00B70CB1"/>
    <w:rsid w:val="00B70CB5"/>
    <w:rsid w:val="00B82074"/>
    <w:rsid w:val="00B91098"/>
    <w:rsid w:val="00B91618"/>
    <w:rsid w:val="00B94F94"/>
    <w:rsid w:val="00B95CE0"/>
    <w:rsid w:val="00BB470E"/>
    <w:rsid w:val="00BC2FF4"/>
    <w:rsid w:val="00BC4D77"/>
    <w:rsid w:val="00BD4448"/>
    <w:rsid w:val="00BE1E21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D25C03"/>
    <w:rsid w:val="00D269B2"/>
    <w:rsid w:val="00D27A47"/>
    <w:rsid w:val="00D32682"/>
    <w:rsid w:val="00D56FC2"/>
    <w:rsid w:val="00D621DE"/>
    <w:rsid w:val="00D624C2"/>
    <w:rsid w:val="00D74CDE"/>
    <w:rsid w:val="00D91E6D"/>
    <w:rsid w:val="00DC4C78"/>
    <w:rsid w:val="00DC6A54"/>
    <w:rsid w:val="00DD40A6"/>
    <w:rsid w:val="00DD6AA0"/>
    <w:rsid w:val="00DD7983"/>
    <w:rsid w:val="00DE4726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D0C89"/>
    <w:rsid w:val="00ED489A"/>
    <w:rsid w:val="00EE61A7"/>
    <w:rsid w:val="00F02F19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4BB2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13</Pages>
  <Words>3272</Words>
  <Characters>19635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591</cp:revision>
  <dcterms:created xsi:type="dcterms:W3CDTF">2023-01-12T23:26:00Z</dcterms:created>
  <dcterms:modified xsi:type="dcterms:W3CDTF">2023-09-27T13:15:00Z</dcterms:modified>
</cp:coreProperties>
</file>