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77777777" w:rsidR="00F4225B" w:rsidRP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 w języku</w:t>
      </w:r>
    </w:p>
    <w:p w14:paraId="75C04D42" w14:textId="535CA6D7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JAVA</w:t>
      </w:r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56405A1B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087F08" w:rsidRPr="0012330A">
        <w:rPr>
          <w:rFonts w:cstheme="minorHAnsi"/>
        </w:rPr>
        <w:t>HTML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6E038A12" w14:textId="77777777" w:rsidR="004E1E84" w:rsidRPr="0012330A" w:rsidRDefault="004E1E84" w:rsidP="0056686E">
      <w:pPr>
        <w:spacing w:after="0" w:line="240" w:lineRule="auto"/>
        <w:rPr>
          <w:rFonts w:cstheme="minorHAnsi"/>
          <w:b/>
          <w:bCs/>
        </w:rPr>
      </w:pPr>
    </w:p>
    <w:p w14:paraId="6107D272" w14:textId="6DE2DB76" w:rsidR="006B4383" w:rsidRPr="0012330A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087F08" w:rsidRPr="0012330A">
        <w:rPr>
          <w:rFonts w:cstheme="minorHAnsi"/>
          <w:b/>
          <w:bCs/>
        </w:rPr>
        <w:t>Białe znaki</w:t>
      </w:r>
      <w:r w:rsidRPr="0012330A">
        <w:rPr>
          <w:rFonts w:cstheme="minorHAnsi"/>
          <w:b/>
          <w:bCs/>
        </w:rPr>
        <w:t>:</w:t>
      </w:r>
    </w:p>
    <w:p w14:paraId="09ABD22E" w14:textId="77777777" w:rsidR="008F0938" w:rsidRPr="0012330A" w:rsidRDefault="008F0938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CEFD16" w14:textId="70FBD2F3" w:rsidR="008F0938" w:rsidRPr="0012330A" w:rsidRDefault="00087F08" w:rsidP="0056686E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12330A">
        <w:rPr>
          <w:rFonts w:cstheme="minorHAnsi"/>
        </w:rPr>
        <w:t xml:space="preserve">Białe znaki są ignorowane przez kod </w:t>
      </w:r>
      <w:proofErr w:type="spellStart"/>
      <w:r w:rsidRPr="0012330A">
        <w:rPr>
          <w:rFonts w:cstheme="minorHAnsi"/>
        </w:rPr>
        <w:t>html</w:t>
      </w:r>
      <w:proofErr w:type="spellEnd"/>
      <w:r w:rsidRPr="0012330A">
        <w:rPr>
          <w:rFonts w:cstheme="minorHAnsi"/>
        </w:rPr>
        <w:t>. Przykładowo spacja wielokrotnie użyta między wyrazami nie jest widoczna na wyświetlanej w przeglądarce stronie.</w:t>
      </w:r>
      <w:r w:rsidR="004E631B">
        <w:rPr>
          <w:rFonts w:cstheme="minorHAnsi"/>
        </w:rPr>
        <w:t xml:space="preserve"> Widać wtedy tylko pojedynczą spacje.</w:t>
      </w:r>
    </w:p>
    <w:p w14:paraId="3352FDCA" w14:textId="77777777" w:rsidR="00352502" w:rsidRPr="0012330A" w:rsidRDefault="00352502" w:rsidP="0056686E">
      <w:pPr>
        <w:pStyle w:val="Akapitzlist"/>
        <w:spacing w:after="0" w:line="240" w:lineRule="auto"/>
        <w:ind w:left="1413"/>
        <w:jc w:val="both"/>
        <w:rPr>
          <w:rFonts w:cstheme="minorHAnsi"/>
        </w:rPr>
      </w:pPr>
    </w:p>
    <w:p w14:paraId="26704ECF" w14:textId="59225FE0" w:rsidR="00087F08" w:rsidRDefault="00BB470E" w:rsidP="0056686E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BB470E">
        <w:rPr>
          <w:rFonts w:cstheme="minorHAnsi"/>
        </w:rPr>
        <w:t xml:space="preserve">Białe znaki obejmują spacje, tabulatory, </w:t>
      </w:r>
      <w:r w:rsidR="00F91285">
        <w:rPr>
          <w:rFonts w:cstheme="minorHAnsi"/>
        </w:rPr>
        <w:t xml:space="preserve">entery, </w:t>
      </w:r>
      <w:r w:rsidRPr="00BB470E">
        <w:rPr>
          <w:rFonts w:cstheme="minorHAnsi"/>
        </w:rPr>
        <w:t>znaki nowej linii i inne podobne symbole, które nie są widoczne jako drukowane znaki, ale wpływają na formatowanie i układ tekstu.</w:t>
      </w:r>
    </w:p>
    <w:p w14:paraId="48A56F1B" w14:textId="77777777" w:rsidR="00BB470E" w:rsidRPr="00BB470E" w:rsidRDefault="00BB470E" w:rsidP="0056686E">
      <w:pPr>
        <w:pStyle w:val="Akapitzlist"/>
        <w:spacing w:after="0" w:line="240" w:lineRule="auto"/>
        <w:jc w:val="both"/>
        <w:rPr>
          <w:rFonts w:cstheme="minorHAnsi"/>
        </w:rPr>
      </w:pPr>
    </w:p>
    <w:p w14:paraId="10B6FC49" w14:textId="668B3578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 xml:space="preserve">Znaczniki </w:t>
      </w:r>
      <w:proofErr w:type="spellStart"/>
      <w:r>
        <w:rPr>
          <w:rFonts w:cstheme="minorHAnsi"/>
          <w:b/>
          <w:bCs/>
        </w:rPr>
        <w:t>html</w:t>
      </w:r>
      <w:proofErr w:type="spellEnd"/>
      <w:r>
        <w:rPr>
          <w:rFonts w:cstheme="minorHAnsi"/>
          <w:b/>
          <w:bCs/>
        </w:rPr>
        <w:t xml:space="preserve"> </w:t>
      </w:r>
      <w:r w:rsidR="000E5EE5">
        <w:rPr>
          <w:rFonts w:cstheme="minorHAnsi"/>
          <w:b/>
          <w:bCs/>
        </w:rPr>
        <w:t>inaczej</w:t>
      </w:r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tagi</w:t>
      </w:r>
      <w:proofErr w:type="spellEnd"/>
      <w:r w:rsidRPr="0012330A">
        <w:rPr>
          <w:rFonts w:cstheme="minorHAnsi"/>
          <w:b/>
          <w:bCs/>
        </w:rPr>
        <w:t>:</w:t>
      </w:r>
    </w:p>
    <w:p w14:paraId="56F93E4E" w14:textId="77777777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7E148A4C" w14:textId="77777777" w:rsidR="00C12B68" w:rsidRDefault="00CA7DFD" w:rsidP="0056686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2.1</w:t>
      </w:r>
      <w:r>
        <w:rPr>
          <w:rFonts w:cstheme="minorHAnsi"/>
        </w:rPr>
        <w:tab/>
      </w:r>
      <w:r w:rsidR="000E5EE5">
        <w:rPr>
          <w:rFonts w:cstheme="minorHAnsi"/>
        </w:rPr>
        <w:t>Znaczniki dzielą się na dwie grupy:</w:t>
      </w:r>
    </w:p>
    <w:p w14:paraId="61246B1C" w14:textId="72D30CBA" w:rsidR="00C12B68" w:rsidRDefault="00C12B68" w:rsidP="0056686E">
      <w:pPr>
        <w:spacing w:after="0" w:line="240" w:lineRule="auto"/>
        <w:ind w:left="708" w:firstLine="705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0E5EE5">
        <w:rPr>
          <w:rFonts w:cstheme="minorHAnsi"/>
        </w:rPr>
        <w:t>elementy liniowe (</w:t>
      </w:r>
      <w:proofErr w:type="spellStart"/>
      <w:r w:rsidR="000E5EE5">
        <w:rPr>
          <w:rFonts w:cstheme="minorHAnsi"/>
        </w:rPr>
        <w:t>inline</w:t>
      </w:r>
      <w:proofErr w:type="spellEnd"/>
      <w:r w:rsidR="000E5EE5">
        <w:rPr>
          <w:rFonts w:cstheme="minorHAnsi"/>
        </w:rPr>
        <w:t>)</w:t>
      </w:r>
    </w:p>
    <w:p w14:paraId="32D8229C" w14:textId="259C243F" w:rsidR="00CA7DFD" w:rsidRDefault="00C12B68" w:rsidP="0056686E">
      <w:pPr>
        <w:spacing w:after="0" w:line="240" w:lineRule="auto"/>
        <w:ind w:left="708" w:firstLine="705"/>
        <w:jc w:val="both"/>
        <w:rPr>
          <w:rFonts w:cstheme="minorHAnsi"/>
        </w:rPr>
      </w:pPr>
      <w:r>
        <w:rPr>
          <w:rFonts w:cstheme="minorHAnsi"/>
        </w:rPr>
        <w:t xml:space="preserve">- elementy </w:t>
      </w:r>
      <w:r w:rsidR="00A0760C">
        <w:rPr>
          <w:rFonts w:cstheme="minorHAnsi"/>
        </w:rPr>
        <w:t>blokowe (</w:t>
      </w:r>
      <w:proofErr w:type="spellStart"/>
      <w:r w:rsidR="00A0760C">
        <w:rPr>
          <w:rFonts w:cstheme="minorHAnsi"/>
        </w:rPr>
        <w:t>block</w:t>
      </w:r>
      <w:proofErr w:type="spellEnd"/>
      <w:r w:rsidR="00A0760C">
        <w:rPr>
          <w:rFonts w:cstheme="minorHAnsi"/>
        </w:rPr>
        <w:t>)</w:t>
      </w:r>
    </w:p>
    <w:p w14:paraId="4D688C84" w14:textId="77777777" w:rsidR="0014630C" w:rsidRDefault="0014630C" w:rsidP="0056686E">
      <w:pPr>
        <w:spacing w:after="0" w:line="240" w:lineRule="auto"/>
        <w:ind w:left="708"/>
        <w:jc w:val="both"/>
        <w:rPr>
          <w:rFonts w:cstheme="minorHAnsi"/>
        </w:rPr>
      </w:pPr>
    </w:p>
    <w:p w14:paraId="63680692" w14:textId="4B634A94" w:rsidR="001716CD" w:rsidRDefault="0014630C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2.2</w:t>
      </w:r>
      <w:r>
        <w:rPr>
          <w:rFonts w:cstheme="minorHAnsi"/>
        </w:rPr>
        <w:tab/>
        <w:t>Elementy</w:t>
      </w:r>
      <w:r w:rsidR="001716CD">
        <w:rPr>
          <w:rFonts w:cstheme="minorHAnsi"/>
        </w:rPr>
        <w:t xml:space="preserve"> </w:t>
      </w:r>
      <w:r>
        <w:rPr>
          <w:rFonts w:cstheme="minorHAnsi"/>
        </w:rPr>
        <w:t>liniowe zajmują w przeglądarce tyle miejsca ile mają treści, nie więcej.</w:t>
      </w:r>
      <w:r w:rsidR="001716CD">
        <w:rPr>
          <w:rFonts w:cstheme="minorHAnsi"/>
        </w:rPr>
        <w:t xml:space="preserve"> Elementy liniowe automatycznie przechodzą do nowej linii gdy okienko przeglądarki jest na tyle zwężone, że nie mieści ich wszystkich.</w:t>
      </w:r>
    </w:p>
    <w:p w14:paraId="2336F164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5ACBDAE4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2.3</w:t>
      </w:r>
      <w:r>
        <w:rPr>
          <w:rFonts w:cstheme="minorHAnsi"/>
        </w:rPr>
        <w:tab/>
        <w:t>Przykłady elementów liniowych:</w:t>
      </w:r>
    </w:p>
    <w:p w14:paraId="434CF347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18A2D5B6" w14:textId="465A877B" w:rsidR="00C12B68" w:rsidRDefault="00C12B68" w:rsidP="0056686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&lt;b&gt;</w:t>
      </w:r>
      <w:r>
        <w:rPr>
          <w:rFonts w:cstheme="minorHAnsi"/>
        </w:rPr>
        <w:tab/>
        <w:t>&lt;/b&gt;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bold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pogrubiony tekst</w:t>
      </w:r>
    </w:p>
    <w:p w14:paraId="2A602BC6" w14:textId="43B884A3" w:rsidR="00C12B68" w:rsidRDefault="00C12B68" w:rsidP="0056686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&lt;i&gt;</w:t>
      </w:r>
      <w:r>
        <w:rPr>
          <w:rFonts w:cstheme="minorHAnsi"/>
        </w:rPr>
        <w:tab/>
        <w:t>&lt;/i&gt;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italic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pochylony tekst</w:t>
      </w:r>
    </w:p>
    <w:p w14:paraId="617D197F" w14:textId="72275548" w:rsidR="00C12B68" w:rsidRDefault="00C12B68" w:rsidP="0056686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&lt;u&gt;</w:t>
      </w:r>
      <w:r>
        <w:rPr>
          <w:rFonts w:cstheme="minorHAnsi"/>
        </w:rPr>
        <w:tab/>
        <w:t>&lt;/u&gt;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underline</w:t>
      </w:r>
      <w:proofErr w:type="spellEnd"/>
      <w:r>
        <w:rPr>
          <w:rFonts w:cstheme="minorHAnsi"/>
        </w:rPr>
        <w:tab/>
        <w:t>podkreślony tekst</w:t>
      </w:r>
    </w:p>
    <w:p w14:paraId="53E32649" w14:textId="77777777" w:rsidR="000003ED" w:rsidRDefault="000003ED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677D77EF" w14:textId="2F50DCEF" w:rsidR="000003ED" w:rsidRDefault="000003ED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2.</w:t>
      </w:r>
      <w:r w:rsidR="00FF30EA">
        <w:rPr>
          <w:rFonts w:cstheme="minorHAnsi"/>
        </w:rPr>
        <w:t>4</w:t>
      </w:r>
      <w:r>
        <w:rPr>
          <w:rFonts w:cstheme="minorHAnsi"/>
        </w:rPr>
        <w:tab/>
        <w:t>Elementy blokowe zajmujące całą dostępną szerokość strony, to takie elementy, dla których widzimy po wciśnięciu w przeglądarce F12, że zajmują całą powierzchnię wiersza lub wierszy od lewej do prawej krawędzi okna przeglądarki. Jeżeli mają one mało tekstu to i tak puste miejsce po prawej stronie od tego tekstu jest zajęte.</w:t>
      </w:r>
    </w:p>
    <w:p w14:paraId="31690FE6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0A3352C9" w14:textId="2F43A67B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2.5</w:t>
      </w:r>
      <w:r>
        <w:rPr>
          <w:rFonts w:cstheme="minorHAnsi"/>
        </w:rPr>
        <w:tab/>
        <w:t>Przykłady elementów blokowych:</w:t>
      </w:r>
    </w:p>
    <w:p w14:paraId="7E2A8EC4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312219C9" w14:textId="41C9E61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  <w:t>&lt;p&gt;</w:t>
      </w:r>
      <w:r>
        <w:rPr>
          <w:rFonts w:cstheme="minorHAnsi"/>
        </w:rPr>
        <w:tab/>
        <w:t>&lt;p&gt;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F30EA">
        <w:rPr>
          <w:rFonts w:cstheme="minorHAnsi"/>
        </w:rPr>
        <w:t>paragraph</w:t>
      </w:r>
      <w:proofErr w:type="spellEnd"/>
      <w:r>
        <w:rPr>
          <w:rFonts w:cstheme="minorHAnsi"/>
        </w:rPr>
        <w:tab/>
        <w:t>paragraf</w:t>
      </w:r>
    </w:p>
    <w:p w14:paraId="2887E546" w14:textId="176D1C64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  <w:t>&lt;div&gt;</w:t>
      </w:r>
      <w:r>
        <w:rPr>
          <w:rFonts w:cstheme="minorHAnsi"/>
        </w:rPr>
        <w:tab/>
        <w:t>&lt;div&gt;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F30EA">
        <w:rPr>
          <w:rFonts w:cstheme="minorHAnsi"/>
        </w:rPr>
        <w:t>division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podział</w:t>
      </w:r>
    </w:p>
    <w:p w14:paraId="6A2B836A" w14:textId="2DF9967A" w:rsidR="005968AE" w:rsidRDefault="003F36A8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  <w:t>&lt;</w:t>
      </w:r>
      <w:proofErr w:type="spellStart"/>
      <w:r>
        <w:rPr>
          <w:rFonts w:cstheme="minorHAnsi"/>
        </w:rPr>
        <w:t>hr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horizontal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line</w:t>
      </w:r>
      <w:proofErr w:type="spellEnd"/>
      <w:r>
        <w:rPr>
          <w:rFonts w:cstheme="minorHAnsi"/>
        </w:rPr>
        <w:tab/>
        <w:t>linia pozioma</w:t>
      </w:r>
    </w:p>
    <w:p w14:paraId="7DE01931" w14:textId="658FBCFF" w:rsidR="00611224" w:rsidRDefault="00611224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  <w:t>&lt;h1&gt;</w:t>
      </w:r>
      <w:r>
        <w:rPr>
          <w:rFonts w:cstheme="minorHAnsi"/>
        </w:rPr>
        <w:tab/>
        <w:t>&lt;h1&gt;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  <w:t>nagłówek najwyższego poziomu</w:t>
      </w:r>
    </w:p>
    <w:p w14:paraId="154C1896" w14:textId="2C1BA624" w:rsidR="003A24C9" w:rsidRDefault="003A24C9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</w:r>
      <w:r w:rsidR="005968AE">
        <w:rPr>
          <w:rFonts w:cstheme="minorHAnsi"/>
        </w:rPr>
        <w:t>&lt;h2&gt;</w:t>
      </w:r>
      <w:r w:rsidR="005968AE">
        <w:rPr>
          <w:rFonts w:cstheme="minorHAnsi"/>
        </w:rPr>
        <w:tab/>
        <w:t>&lt;h2&gt;</w:t>
      </w:r>
      <w:r w:rsidR="005968AE">
        <w:rPr>
          <w:rFonts w:cstheme="minorHAnsi"/>
        </w:rPr>
        <w:tab/>
      </w:r>
      <w:r w:rsidR="005968AE">
        <w:rPr>
          <w:rFonts w:cstheme="minorHAnsi"/>
        </w:rPr>
        <w:tab/>
      </w:r>
      <w:proofErr w:type="spellStart"/>
      <w:r w:rsidR="005968AE" w:rsidRPr="00611224">
        <w:rPr>
          <w:rFonts w:cstheme="minorHAnsi"/>
        </w:rPr>
        <w:t>heading</w:t>
      </w:r>
      <w:proofErr w:type="spellEnd"/>
      <w:r w:rsidR="005968AE">
        <w:rPr>
          <w:rFonts w:cstheme="minorHAnsi"/>
        </w:rPr>
        <w:tab/>
        <w:t>nagłówek</w:t>
      </w:r>
    </w:p>
    <w:p w14:paraId="33225496" w14:textId="7B4B4E79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&lt;h3&gt;</w:t>
      </w:r>
      <w:r>
        <w:rPr>
          <w:rFonts w:cstheme="minorHAnsi"/>
        </w:rPr>
        <w:tab/>
        <w:t>&lt;h3&gt;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  <w:t>nagłówek</w:t>
      </w:r>
    </w:p>
    <w:p w14:paraId="26F9F7D2" w14:textId="78B007E0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&lt;h4&gt;</w:t>
      </w:r>
      <w:r>
        <w:rPr>
          <w:rFonts w:cstheme="minorHAnsi"/>
        </w:rPr>
        <w:tab/>
        <w:t>&lt;h4&gt;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  <w:t>nagłówek</w:t>
      </w:r>
    </w:p>
    <w:p w14:paraId="680195DD" w14:textId="44C98971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&lt;h5&gt;</w:t>
      </w:r>
      <w:r>
        <w:rPr>
          <w:rFonts w:cstheme="minorHAnsi"/>
        </w:rPr>
        <w:tab/>
        <w:t>&lt;h5&gt;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  <w:t>nagłówek</w:t>
      </w:r>
    </w:p>
    <w:p w14:paraId="1FDF1DEC" w14:textId="464BAA64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&lt;h6&gt;</w:t>
      </w:r>
      <w:r>
        <w:rPr>
          <w:rFonts w:cstheme="minorHAnsi"/>
        </w:rPr>
        <w:tab/>
        <w:t>&lt;h6&gt;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  <w:t>nagłówek najniższego poziomu</w:t>
      </w:r>
    </w:p>
    <w:p w14:paraId="2EBD7CF7" w14:textId="77777777" w:rsidR="004D2689" w:rsidRDefault="004D2689" w:rsidP="005968AE">
      <w:pPr>
        <w:spacing w:after="0" w:line="240" w:lineRule="auto"/>
        <w:ind w:left="1413"/>
        <w:jc w:val="both"/>
        <w:rPr>
          <w:rFonts w:cstheme="minorHAnsi"/>
        </w:rPr>
      </w:pPr>
    </w:p>
    <w:p w14:paraId="20DFAAD3" w14:textId="3FA934F2" w:rsidR="004D2689" w:rsidRDefault="004D2689" w:rsidP="004D2689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3152F268" w14:textId="77777777" w:rsidR="004D2689" w:rsidRDefault="004D2689" w:rsidP="004D2689">
      <w:pPr>
        <w:spacing w:after="0" w:line="240" w:lineRule="auto"/>
        <w:ind w:left="708" w:hanging="708"/>
        <w:jc w:val="both"/>
        <w:rPr>
          <w:rFonts w:cstheme="minorHAnsi"/>
        </w:rPr>
      </w:pPr>
      <w:r>
        <w:rPr>
          <w:rFonts w:cstheme="minorHAnsi"/>
        </w:rPr>
        <w:lastRenderedPageBreak/>
        <w:tab/>
        <w:t>2.6</w:t>
      </w:r>
      <w:r>
        <w:rPr>
          <w:rFonts w:cstheme="minorHAnsi"/>
        </w:rPr>
        <w:tab/>
        <w:t>Elementy liniowe mogą być zagnieżdżone tylko wewnątrz elementów blokowych, a nie</w:t>
      </w:r>
    </w:p>
    <w:p w14:paraId="606DEC95" w14:textId="3AD8FC47" w:rsidR="004D2689" w:rsidRDefault="004D2689" w:rsidP="004D2689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na odwrót.</w:t>
      </w:r>
    </w:p>
    <w:p w14:paraId="5192F283" w14:textId="77777777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</w:p>
    <w:p w14:paraId="797640EB" w14:textId="24378FC6" w:rsidR="00BB470E" w:rsidRPr="00CA7DFD" w:rsidRDefault="00BB470E" w:rsidP="0056686E">
      <w:pPr>
        <w:spacing w:after="0" w:line="240" w:lineRule="auto"/>
        <w:jc w:val="both"/>
        <w:rPr>
          <w:rFonts w:cstheme="minorHAnsi"/>
        </w:rPr>
      </w:pPr>
    </w:p>
    <w:p w14:paraId="5438102E" w14:textId="0B738677" w:rsidR="0056686E" w:rsidRPr="0012330A" w:rsidRDefault="0056686E" w:rsidP="0056686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Przydatne funkcje</w:t>
      </w:r>
      <w:r w:rsidRPr="0012330A">
        <w:rPr>
          <w:rFonts w:cstheme="minorHAnsi"/>
          <w:b/>
          <w:bCs/>
        </w:rPr>
        <w:t>:</w:t>
      </w:r>
    </w:p>
    <w:p w14:paraId="05D198BE" w14:textId="77777777" w:rsidR="0056686E" w:rsidRPr="0012330A" w:rsidRDefault="0056686E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33577261" w14:textId="61F47272" w:rsidR="004E1E84" w:rsidRPr="0012330A" w:rsidRDefault="0056686E" w:rsidP="00936BBE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3.1</w:t>
      </w:r>
      <w:r>
        <w:rPr>
          <w:rFonts w:cstheme="minorHAnsi"/>
        </w:rPr>
        <w:tab/>
        <w:t xml:space="preserve">Wpisanie w kodzie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 polecenia </w:t>
      </w:r>
      <w:proofErr w:type="spellStart"/>
      <w:r>
        <w:rPr>
          <w:rFonts w:cstheme="minorHAnsi"/>
        </w:rPr>
        <w:t>loremLICZBA</w:t>
      </w:r>
      <w:proofErr w:type="spellEnd"/>
      <w:r>
        <w:rPr>
          <w:rFonts w:cstheme="minorHAnsi"/>
        </w:rPr>
        <w:t xml:space="preserve"> np. lorem9 powoduje wstawienie </w:t>
      </w:r>
      <w:r w:rsidR="00936BBE">
        <w:rPr>
          <w:rFonts w:cstheme="minorHAnsi"/>
        </w:rPr>
        <w:t>losowego tekstu składającego się z dziewięciu słów.</w:t>
      </w:r>
    </w:p>
    <w:sectPr w:rsidR="004E1E84" w:rsidRPr="00123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199822360">
    <w:abstractNumId w:val="2"/>
  </w:num>
  <w:num w:numId="2" w16cid:durableId="1869104309">
    <w:abstractNumId w:val="3"/>
  </w:num>
  <w:num w:numId="3" w16cid:durableId="2017072212">
    <w:abstractNumId w:val="1"/>
  </w:num>
  <w:num w:numId="4" w16cid:durableId="125987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7B6C"/>
    <w:rsid w:val="00074153"/>
    <w:rsid w:val="0008110E"/>
    <w:rsid w:val="00087F08"/>
    <w:rsid w:val="000974B2"/>
    <w:rsid w:val="000A3784"/>
    <w:rsid w:val="000E5EE5"/>
    <w:rsid w:val="000E7C5C"/>
    <w:rsid w:val="001061F1"/>
    <w:rsid w:val="00106DC8"/>
    <w:rsid w:val="0012330A"/>
    <w:rsid w:val="00141C89"/>
    <w:rsid w:val="0014630C"/>
    <w:rsid w:val="001716CD"/>
    <w:rsid w:val="001C52C1"/>
    <w:rsid w:val="002322F1"/>
    <w:rsid w:val="002478E0"/>
    <w:rsid w:val="002709C4"/>
    <w:rsid w:val="00291BF4"/>
    <w:rsid w:val="002C034B"/>
    <w:rsid w:val="002D04A7"/>
    <w:rsid w:val="002D4DDE"/>
    <w:rsid w:val="00311BDB"/>
    <w:rsid w:val="00327FEC"/>
    <w:rsid w:val="00345054"/>
    <w:rsid w:val="00352502"/>
    <w:rsid w:val="0035311D"/>
    <w:rsid w:val="003A24C9"/>
    <w:rsid w:val="003B5687"/>
    <w:rsid w:val="003C3804"/>
    <w:rsid w:val="003E1C7A"/>
    <w:rsid w:val="003E3011"/>
    <w:rsid w:val="003F36A8"/>
    <w:rsid w:val="00422FF1"/>
    <w:rsid w:val="004276D0"/>
    <w:rsid w:val="00471FB5"/>
    <w:rsid w:val="00491098"/>
    <w:rsid w:val="004B5539"/>
    <w:rsid w:val="004D2689"/>
    <w:rsid w:val="004D79EF"/>
    <w:rsid w:val="004E1E84"/>
    <w:rsid w:val="004E631B"/>
    <w:rsid w:val="005508BC"/>
    <w:rsid w:val="0056686E"/>
    <w:rsid w:val="005968AE"/>
    <w:rsid w:val="005F674B"/>
    <w:rsid w:val="00611224"/>
    <w:rsid w:val="00631EF6"/>
    <w:rsid w:val="006442F3"/>
    <w:rsid w:val="00677E2D"/>
    <w:rsid w:val="00686E56"/>
    <w:rsid w:val="006A7E56"/>
    <w:rsid w:val="006B4383"/>
    <w:rsid w:val="006F554E"/>
    <w:rsid w:val="00702AB1"/>
    <w:rsid w:val="00710BB2"/>
    <w:rsid w:val="007259C0"/>
    <w:rsid w:val="00755F0B"/>
    <w:rsid w:val="00772E2D"/>
    <w:rsid w:val="007C54B1"/>
    <w:rsid w:val="007E3DCA"/>
    <w:rsid w:val="00836D6E"/>
    <w:rsid w:val="008611DB"/>
    <w:rsid w:val="008A1DEA"/>
    <w:rsid w:val="008B5F0D"/>
    <w:rsid w:val="008C74D1"/>
    <w:rsid w:val="008E47DA"/>
    <w:rsid w:val="008F0938"/>
    <w:rsid w:val="00906EFB"/>
    <w:rsid w:val="00936BBE"/>
    <w:rsid w:val="00950793"/>
    <w:rsid w:val="009A6BBD"/>
    <w:rsid w:val="009E40B9"/>
    <w:rsid w:val="00A01B77"/>
    <w:rsid w:val="00A0760C"/>
    <w:rsid w:val="00A71EB8"/>
    <w:rsid w:val="00A81834"/>
    <w:rsid w:val="00AA3FF3"/>
    <w:rsid w:val="00AA4EC4"/>
    <w:rsid w:val="00AA7E89"/>
    <w:rsid w:val="00B21499"/>
    <w:rsid w:val="00B2690B"/>
    <w:rsid w:val="00B35EEB"/>
    <w:rsid w:val="00B53E37"/>
    <w:rsid w:val="00B82074"/>
    <w:rsid w:val="00B91098"/>
    <w:rsid w:val="00BB470E"/>
    <w:rsid w:val="00BF295B"/>
    <w:rsid w:val="00C065ED"/>
    <w:rsid w:val="00C12B68"/>
    <w:rsid w:val="00C446E1"/>
    <w:rsid w:val="00C452E2"/>
    <w:rsid w:val="00C50F4C"/>
    <w:rsid w:val="00C60757"/>
    <w:rsid w:val="00C706D6"/>
    <w:rsid w:val="00C74551"/>
    <w:rsid w:val="00C7690B"/>
    <w:rsid w:val="00CA7DFD"/>
    <w:rsid w:val="00CE1933"/>
    <w:rsid w:val="00D269B2"/>
    <w:rsid w:val="00D32682"/>
    <w:rsid w:val="00D621DE"/>
    <w:rsid w:val="00D91E6D"/>
    <w:rsid w:val="00DC6A54"/>
    <w:rsid w:val="00DD7983"/>
    <w:rsid w:val="00DF33B1"/>
    <w:rsid w:val="00F4225B"/>
    <w:rsid w:val="00F4455E"/>
    <w:rsid w:val="00F56A43"/>
    <w:rsid w:val="00F57AA3"/>
    <w:rsid w:val="00F64820"/>
    <w:rsid w:val="00F73335"/>
    <w:rsid w:val="00F84FCB"/>
    <w:rsid w:val="00F91285"/>
    <w:rsid w:val="00FB31AC"/>
    <w:rsid w:val="00FC6C9B"/>
    <w:rsid w:val="00FD0791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2</Pages>
  <Words>304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198</cp:revision>
  <dcterms:created xsi:type="dcterms:W3CDTF">2023-01-12T23:26:00Z</dcterms:created>
  <dcterms:modified xsi:type="dcterms:W3CDTF">2023-09-13T13:56:00Z</dcterms:modified>
</cp:coreProperties>
</file>