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ac7800a71c082f39dd160a1b757e86ad676a48c"/>
    <w:p>
      <w:pPr>
        <w:pStyle w:val="Heading1"/>
      </w:pPr>
      <w:r>
        <w:t xml:space="preserve">Horizontal Gene Transfer in Plants and Animals</w:t>
      </w:r>
    </w:p>
    <w:bookmarkStart w:id="27" w:name="executive-summary"/>
    <w:p>
      <w:pPr>
        <w:pStyle w:val="Heading2"/>
      </w:pPr>
      <w:r>
        <w:t xml:space="preserve">Executive summary</w:t>
      </w:r>
    </w:p>
    <w:p>
      <w:pPr>
        <w:pStyle w:val="FirstParagraph"/>
      </w:pPr>
      <w:r>
        <w:t xml:space="preserve">Horizontal gene transfer (HGT)—the heritable acquisition of DNA “by mechanisms other than reproduction”—is</w:t>
      </w:r>
      <w:r>
        <w:t xml:space="preserve"> </w:t>
      </w:r>
      <w:r>
        <w:rPr>
          <w:b/>
          <w:bCs/>
        </w:rPr>
        <w:t xml:space="preserve">rare on a per‑lineage, per‑gene basis in most multicellular eukaryotes</w:t>
      </w:r>
      <w:r>
        <w:t xml:space="preserve">, but it is</w:t>
      </w:r>
      <w:r>
        <w:t xml:space="preserve"> </w:t>
      </w:r>
      <w:r>
        <w:rPr>
          <w:b/>
          <w:bCs/>
        </w:rPr>
        <w:t xml:space="preserve">not negligible</w:t>
      </w:r>
      <w:r>
        <w:t xml:space="preserve"> </w:t>
      </w:r>
      <w:r>
        <w:t xml:space="preserve">and can be</w:t>
      </w:r>
      <w:r>
        <w:t xml:space="preserve"> </w:t>
      </w:r>
      <w:r>
        <w:rPr>
          <w:b/>
          <w:bCs/>
        </w:rPr>
        <w:t xml:space="preserve">evolutionarily consequential</w:t>
      </w:r>
      <w:r>
        <w:t xml:space="preserve"> </w:t>
      </w:r>
      <w:r>
        <w:t xml:space="preserve">in specific ecological contexts, genomic compartments, and taxa.</w:t>
      </w:r>
      <w:r>
        <w:t xml:space="preserve"> </w:t>
      </w:r>
      <w:hyperlink r:id="rId21">
        <w:r>
          <w:rPr>
            <w:rStyle w:val="Hyperlink"/>
          </w:rPr>
          <w:t xml:space="preserve">[1]</w:t>
        </w:r>
      </w:hyperlink>
    </w:p>
    <w:p>
      <w:pPr>
        <w:pStyle w:val="BodyText"/>
      </w:pPr>
      <w:r>
        <w:t xml:space="preserve">Across</w:t>
      </w:r>
      <w:r>
        <w:t xml:space="preserve"> </w:t>
      </w:r>
      <w:r>
        <w:rPr>
          <w:b/>
          <w:bCs/>
        </w:rPr>
        <w:t xml:space="preserve">plants</w:t>
      </w:r>
      <w:r>
        <w:t xml:space="preserve">, the strongest, most repeatable signal is that</w:t>
      </w:r>
      <w:r>
        <w:t xml:space="preserve"> </w:t>
      </w:r>
      <w:r>
        <w:rPr>
          <w:b/>
          <w:bCs/>
        </w:rPr>
        <w:t xml:space="preserve">mitochondrial genomes are unusually permissive</w:t>
      </w:r>
      <w:r>
        <w:t xml:space="preserve"> </w:t>
      </w:r>
      <w:r>
        <w:t xml:space="preserve">to acquiring foreign DNA from other plants (and sometimes more distant green lineages), with several systems showing</w:t>
      </w:r>
      <w:r>
        <w:t xml:space="preserve"> </w:t>
      </w:r>
      <w:r>
        <w:rPr>
          <w:i/>
          <w:iCs/>
        </w:rPr>
        <w:t xml:space="preserve">large-scale</w:t>
      </w:r>
      <w:r>
        <w:t xml:space="preserve"> </w:t>
      </w:r>
      <w:r>
        <w:t xml:space="preserve">and occasionally functional transfers.</w:t>
      </w:r>
      <w:r>
        <w:t xml:space="preserve"> </w:t>
      </w:r>
      <w:hyperlink r:id="rId22">
        <w:r>
          <w:rPr>
            <w:rStyle w:val="Hyperlink"/>
          </w:rPr>
          <w:t xml:space="preserve">[2]</w:t>
        </w:r>
      </w:hyperlink>
      <w:r>
        <w:t xml:space="preserve"> </w:t>
      </w:r>
      <w:r>
        <w:t xml:space="preserve">Among</w:t>
      </w:r>
      <w:r>
        <w:t xml:space="preserve"> </w:t>
      </w:r>
      <w:r>
        <w:rPr>
          <w:b/>
          <w:bCs/>
        </w:rPr>
        <w:t xml:space="preserve">animals</w:t>
      </w:r>
      <w:r>
        <w:t xml:space="preserve">, genome-wide surveys generally find</w:t>
      </w:r>
      <w:r>
        <w:t xml:space="preserve"> </w:t>
      </w:r>
      <w:r>
        <w:rPr>
          <w:b/>
          <w:bCs/>
        </w:rPr>
        <w:t xml:space="preserve">few high-confidence protein-coding HGT genes</w:t>
      </w:r>
      <w:r>
        <w:t xml:space="preserve"> </w:t>
      </w:r>
      <w:r>
        <w:t xml:space="preserve">in most clades, consistent with developmental barriers (especially germline sequestration), yet well-supported exceptions exist—often associated with</w:t>
      </w:r>
      <w:r>
        <w:t xml:space="preserve"> </w:t>
      </w:r>
      <w:r>
        <w:rPr>
          <w:b/>
          <w:bCs/>
        </w:rPr>
        <w:t xml:space="preserve">endosymbiosis (e.g., Wolbachia), parasitism, desiccation-tolerant life histories, or viruses/transposable elements (TEs)</w:t>
      </w:r>
      <w:r>
        <w:t xml:space="preserve">.</w:t>
      </w:r>
      <w:r>
        <w:t xml:space="preserve"> </w:t>
      </w:r>
      <w:hyperlink r:id="rId23">
        <w:r>
          <w:rPr>
            <w:rStyle w:val="Hyperlink"/>
          </w:rPr>
          <w:t xml:space="preserve">[3]</w:t>
        </w:r>
      </w:hyperlink>
    </w:p>
    <w:p>
      <w:pPr>
        <w:pStyle w:val="BodyText"/>
      </w:pPr>
      <w:r>
        <w:t xml:space="preserve">Key analytical conclusions supported by the last ~15 years of primary literature and syntheses:</w:t>
      </w:r>
    </w:p>
    <w:p>
      <w:pPr>
        <w:pStyle w:val="BodyText"/>
      </w:pPr>
      <w:r>
        <w:t xml:space="preserve">The</w:t>
      </w:r>
      <w:r>
        <w:t xml:space="preserve"> </w:t>
      </w:r>
      <w:r>
        <w:rPr>
          <w:b/>
          <w:bCs/>
        </w:rPr>
        <w:t xml:space="preserve">prevalence</w:t>
      </w:r>
      <w:r>
        <w:t xml:space="preserve"> </w:t>
      </w:r>
      <w:r>
        <w:t xml:space="preserve">of detectable HGT in eukaryotes is highly</w:t>
      </w:r>
      <w:r>
        <w:t xml:space="preserve"> </w:t>
      </w:r>
      <w:r>
        <w:rPr>
          <w:b/>
          <w:bCs/>
        </w:rPr>
        <w:t xml:space="preserve">heterogeneous</w:t>
      </w:r>
      <w:r>
        <w:t xml:space="preserve">: plant mitochondria and parasitic plant lineages show repeated HGT discoveries, while many animal genomes show much lower counts—though certain animal systems (bdelloid rotifers; plant-parasitic nematodes; insect herbivores) are notable exceptions.</w:t>
      </w:r>
      <w:r>
        <w:t xml:space="preserve"> </w:t>
      </w:r>
      <w:hyperlink r:id="rId21">
        <w:r>
          <w:rPr>
            <w:rStyle w:val="Hyperlink"/>
          </w:rPr>
          <w:t xml:space="preserve">[4]</w:t>
        </w:r>
      </w:hyperlink>
    </w:p>
    <w:p>
      <w:pPr>
        <w:pStyle w:val="BodyText"/>
      </w:pPr>
      <w:r>
        <w:t xml:space="preserve">Where</w:t>
      </w:r>
      <w:r>
        <w:t xml:space="preserve"> </w:t>
      </w:r>
      <w:r>
        <w:rPr>
          <w:b/>
          <w:bCs/>
        </w:rPr>
        <w:t xml:space="preserve">functional impact</w:t>
      </w:r>
      <w:r>
        <w:t xml:space="preserve"> </w:t>
      </w:r>
      <w:r>
        <w:t xml:space="preserve">is clearest, transferred genes can enable major trait shifts (e.g.,</w:t>
      </w:r>
      <w:r>
        <w:t xml:space="preserve"> </w:t>
      </w:r>
      <w:r>
        <w:rPr>
          <w:b/>
          <w:bCs/>
        </w:rPr>
        <w:t xml:space="preserve">C4 photosynthesis optimization</w:t>
      </w:r>
      <w:r>
        <w:t xml:space="preserve"> </w:t>
      </w:r>
      <w:r>
        <w:t xml:space="preserve">via transfers among grasses;</w:t>
      </w:r>
      <w:r>
        <w:t xml:space="preserve"> </w:t>
      </w:r>
      <w:r>
        <w:rPr>
          <w:b/>
          <w:bCs/>
        </w:rPr>
        <w:t xml:space="preserve">insect detoxification</w:t>
      </w:r>
      <w:r>
        <w:t xml:space="preserve"> </w:t>
      </w:r>
      <w:r>
        <w:t xml:space="preserve">of plant defenses;</w:t>
      </w:r>
      <w:r>
        <w:t xml:space="preserve"> </w:t>
      </w:r>
      <w:r>
        <w:rPr>
          <w:b/>
          <w:bCs/>
        </w:rPr>
        <w:t xml:space="preserve">placental cell fusion</w:t>
      </w:r>
      <w:r>
        <w:t xml:space="preserve"> </w:t>
      </w:r>
      <w:r>
        <w:t xml:space="preserve">via domesticated retroviral envelopes;</w:t>
      </w:r>
      <w:r>
        <w:t xml:space="preserve"> </w:t>
      </w:r>
      <w:r>
        <w:rPr>
          <w:b/>
          <w:bCs/>
        </w:rPr>
        <w:t xml:space="preserve">sex-determination turnover</w:t>
      </w:r>
      <w:r>
        <w:t xml:space="preserve"> </w:t>
      </w:r>
      <w:r>
        <w:t xml:space="preserve">via Wolbachia-derived DNA).</w:t>
      </w:r>
      <w:r>
        <w:t xml:space="preserve"> </w:t>
      </w:r>
      <w:hyperlink r:id="rId24">
        <w:r>
          <w:rPr>
            <w:rStyle w:val="Hyperlink"/>
          </w:rPr>
          <w:t xml:space="preserve">[5]</w:t>
        </w:r>
      </w:hyperlink>
    </w:p>
    <w:p>
      <w:pPr>
        <w:pStyle w:val="BodyText"/>
      </w:pPr>
      <w:r>
        <w:t xml:space="preserve">Many apparent HGT signals in multicellular eukaryotes are</w:t>
      </w:r>
      <w:r>
        <w:t xml:space="preserve"> </w:t>
      </w:r>
      <w:r>
        <w:rPr>
          <w:b/>
          <w:bCs/>
        </w:rPr>
        <w:t xml:space="preserve">false positives</w:t>
      </w:r>
      <w:r>
        <w:t xml:space="preserve"> </w:t>
      </w:r>
      <w:r>
        <w:t xml:space="preserve">unless contamination, assembly artifacts, unrecognized paralogy, and introgression are aggressively controlled; high-profile controversies (e.g., tardigrade and human HGT claims; photosynthetic sea slug claims) illustrate the methodological stakes.</w:t>
      </w:r>
      <w:r>
        <w:t xml:space="preserve"> </w:t>
      </w:r>
      <w:hyperlink r:id="rId25">
        <w:r>
          <w:rPr>
            <w:rStyle w:val="Hyperlink"/>
          </w:rPr>
          <w:t xml:space="preserve">[6]</w:t>
        </w:r>
      </w:hyperlink>
    </w:p>
    <w:p>
      <w:pPr>
        <w:pStyle w:val="BodyText"/>
      </w:pPr>
      <w:r>
        <w:t xml:space="preserve">Mechanistically, the best-supported “routes” into heritable compartments include</w:t>
      </w:r>
      <w:r>
        <w:t xml:space="preserve"> </w:t>
      </w:r>
      <w:r>
        <w:rPr>
          <w:b/>
          <w:bCs/>
        </w:rPr>
        <w:t xml:space="preserve">(i)</w:t>
      </w:r>
      <w:r>
        <w:t xml:space="preserve"> </w:t>
      </w:r>
      <w:r>
        <w:t xml:space="preserve">intimate physical interfaces (haustoria, graft junctions, symbiont residence in germline tissues),</w:t>
      </w:r>
      <w:r>
        <w:t xml:space="preserve"> </w:t>
      </w:r>
      <w:r>
        <w:rPr>
          <w:b/>
          <w:bCs/>
        </w:rPr>
        <w:t xml:space="preserve">(ii)</w:t>
      </w:r>
      <w:r>
        <w:t xml:space="preserve"> </w:t>
      </w:r>
      <w:r>
        <w:t xml:space="preserve">biologically DNA-delivering agents (Agrobacterium, viruses, mobile elements), and</w:t>
      </w:r>
      <w:r>
        <w:t xml:space="preserve"> </w:t>
      </w:r>
      <w:r>
        <w:rPr>
          <w:b/>
          <w:bCs/>
        </w:rPr>
        <w:t xml:space="preserve">(iii)</w:t>
      </w:r>
      <w:r>
        <w:t xml:space="preserve"> </w:t>
      </w:r>
      <w:r>
        <w:t xml:space="preserve">genome-damage/repair contexts that may permit foreign DNA integration.</w:t>
      </w:r>
      <w:r>
        <w:t xml:space="preserve"> </w:t>
      </w:r>
      <w:hyperlink r:id="rId26">
        <w:r>
          <w:rPr>
            <w:rStyle w:val="Hyperlink"/>
          </w:rPr>
          <w:t xml:space="preserve">[7]</w:t>
        </w:r>
      </w:hyperlink>
    </w:p>
    <w:p>
      <w:pPr>
        <w:pStyle w:val="BodyText"/>
      </w:pPr>
      <w:r>
        <w:t xml:space="preserve">Taxa/context not specified by the request are treated as</w:t>
      </w:r>
      <w:r>
        <w:t xml:space="preserve"> </w:t>
      </w:r>
      <w:r>
        <w:rPr>
          <w:b/>
          <w:bCs/>
        </w:rPr>
        <w:t xml:space="preserve">no specific constraint</w:t>
      </w:r>
      <w:r>
        <w:t xml:space="preserve"> </w:t>
      </w:r>
      <w:r>
        <w:t xml:space="preserve">(the review spans diverse plant and animal lineages; donors may be microbial or eukaryotic).</w:t>
      </w:r>
    </w:p>
    <w:bookmarkEnd w:id="27"/>
    <w:bookmarkStart w:id="30" w:name="Xfd930e48bfa260a37ce6c28ae2dcf53327b5034"/>
    <w:p>
      <w:pPr>
        <w:pStyle w:val="Heading2"/>
      </w:pPr>
      <w:r>
        <w:t xml:space="preserve">Scope, definitions, and what counts as evidence</w:t>
      </w:r>
    </w:p>
    <w:p>
      <w:pPr>
        <w:pStyle w:val="FirstParagraph"/>
      </w:pPr>
      <w:r>
        <w:t xml:space="preserve">This report focuses on</w:t>
      </w:r>
      <w:r>
        <w:t xml:space="preserve"> </w:t>
      </w:r>
      <w:r>
        <w:rPr>
          <w:b/>
          <w:bCs/>
        </w:rPr>
        <w:t xml:space="preserve">non-microbial eukaryotic recipients</w:t>
      </w:r>
      <w:r>
        <w:t xml:space="preserve"> </w:t>
      </w:r>
      <w:r>
        <w:t xml:space="preserve">(plants and animals). Donors may be</w:t>
      </w:r>
      <w:r>
        <w:t xml:space="preserve"> </w:t>
      </w:r>
      <w:r>
        <w:rPr>
          <w:b/>
          <w:bCs/>
        </w:rPr>
        <w:t xml:space="preserve">bacteria, fungi, viruses, protists, or other eukaryotes</w:t>
      </w:r>
      <w:r>
        <w:t xml:space="preserve">, since the question concerns recipient systems rather than donor identity.</w:t>
      </w:r>
      <w:r>
        <w:t xml:space="preserve"> </w:t>
      </w:r>
      <w:hyperlink r:id="rId21">
        <w:r>
          <w:rPr>
            <w:rStyle w:val="Hyperlink"/>
          </w:rPr>
          <w:t xml:space="preserve">[8]</w:t>
        </w:r>
      </w:hyperlink>
    </w:p>
    <w:p>
      <w:pPr>
        <w:pStyle w:val="BodyText"/>
      </w:pPr>
      <w:r>
        <w:rPr>
          <w:b/>
          <w:bCs/>
        </w:rPr>
        <w:t xml:space="preserve">Definition used (aligned with modern reviews):</w:t>
      </w:r>
      <w:r>
        <w:t xml:space="preserve"> </w:t>
      </w:r>
      <w:r>
        <w:t xml:space="preserve">HGT is the movement and genomic integration of DNA across species boundaries</w:t>
      </w:r>
      <w:r>
        <w:t xml:space="preserve"> </w:t>
      </w:r>
      <w:r>
        <w:rPr>
          <w:b/>
          <w:bCs/>
        </w:rPr>
        <w:t xml:space="preserve">by mechanisms other than reproduction</w:t>
      </w:r>
      <w:r>
        <w:t xml:space="preserve">. This explicitly separates HGT from</w:t>
      </w:r>
      <w:r>
        <w:t xml:space="preserve"> </w:t>
      </w:r>
      <w:r>
        <w:rPr>
          <w:b/>
          <w:bCs/>
        </w:rPr>
        <w:t xml:space="preserve">hybridization/introgression</w:t>
      </w:r>
      <w:r>
        <w:t xml:space="preserve">, which transfer genes via sexual reproduction and can mimic some phylogenetic patterns if mis-modeled.</w:t>
      </w:r>
      <w:r>
        <w:t xml:space="preserve"> </w:t>
      </w:r>
      <w:hyperlink r:id="rId21">
        <w:r>
          <w:rPr>
            <w:rStyle w:val="Hyperlink"/>
          </w:rPr>
          <w:t xml:space="preserve">[9]</w:t>
        </w:r>
      </w:hyperlink>
    </w:p>
    <w:bookmarkStart w:id="29" w:name="X15edee3e7983fdec94c2ada684569ad5b2f532a"/>
    <w:p>
      <w:pPr>
        <w:pStyle w:val="Heading3"/>
      </w:pPr>
      <w:r>
        <w:t xml:space="preserve">Evidence standards in multicellular eukaryotes</w:t>
      </w:r>
    </w:p>
    <w:p>
      <w:pPr>
        <w:pStyle w:val="FirstParagraph"/>
      </w:pPr>
      <w:r>
        <w:t xml:space="preserve">Because multicellular eukaryotes are contamination-prone (microbiomes; food; symbionts), high-confidence HGT typically requires</w:t>
      </w:r>
      <w:r>
        <w:t xml:space="preserve"> </w:t>
      </w:r>
      <w:r>
        <w:rPr>
          <w:b/>
          <w:bCs/>
        </w:rPr>
        <w:t xml:space="preserve">multiple, convergent lines of evidence</w:t>
      </w:r>
      <w:r>
        <w:t xml:space="preserve">, such as:</w:t>
      </w:r>
    </w:p>
    <w:p>
      <w:pPr>
        <w:pStyle w:val="BodyText"/>
      </w:pPr>
      <w:r>
        <w:rPr>
          <w:b/>
          <w:bCs/>
        </w:rPr>
        <w:t xml:space="preserve">Genomic integration and context:</w:t>
      </w:r>
      <w:r>
        <w:t xml:space="preserve"> </w:t>
      </w:r>
      <w:r>
        <w:t xml:space="preserve">the candidate locus sits within a recipient genome scaffold/chromosome that also contains unambiguous recipient genes/repeats; coverage patterns match the recipient; junctions are consistent with integration rather than contamination. (Illustrated explicitly in aphids and bdelloids.)</w:t>
      </w:r>
      <w:r>
        <w:t xml:space="preserve"> </w:t>
      </w:r>
      <w:hyperlink r:id="rId28">
        <w:r>
          <w:rPr>
            <w:rStyle w:val="Hyperlink"/>
          </w:rPr>
          <w:t xml:space="preserve">[10]</w:t>
        </w:r>
      </w:hyperlink>
    </w:p>
    <w:p>
      <w:pPr>
        <w:pStyle w:val="BodyText"/>
      </w:pPr>
      <w:r>
        <w:rPr>
          <w:b/>
          <w:bCs/>
        </w:rPr>
        <w:t xml:space="preserve">Phylogenetic discordance:</w:t>
      </w:r>
      <w:r>
        <w:t xml:space="preserve"> </w:t>
      </w:r>
      <w:r>
        <w:t xml:space="preserve">gene trees place recipient sequences</w:t>
      </w:r>
      <w:r>
        <w:t xml:space="preserve"> </w:t>
      </w:r>
      <w:r>
        <w:rPr>
          <w:b/>
          <w:bCs/>
        </w:rPr>
        <w:t xml:space="preserve">within</w:t>
      </w:r>
      <w:r>
        <w:t xml:space="preserve"> </w:t>
      </w:r>
      <w:r>
        <w:t xml:space="preserve">donor clades with strong support, inconsistent with the recipient species tree.</w:t>
      </w:r>
      <w:r>
        <w:t xml:space="preserve"> </w:t>
      </w:r>
      <w:hyperlink r:id="rId28">
        <w:r>
          <w:rPr>
            <w:rStyle w:val="Hyperlink"/>
          </w:rPr>
          <w:t xml:space="preserve">[11]</w:t>
        </w:r>
      </w:hyperlink>
    </w:p>
    <w:p>
      <w:pPr>
        <w:pStyle w:val="BodyText"/>
      </w:pPr>
      <w:r>
        <w:rPr>
          <w:b/>
          <w:bCs/>
        </w:rPr>
        <w:t xml:space="preserve">Eukaryotic gene features and expression:</w:t>
      </w:r>
      <w:r>
        <w:t xml:space="preserve"> </w:t>
      </w:r>
      <w:r>
        <w:t xml:space="preserve">presence of spliceosomal introns, host-like regulatory features, RNA-seq/EST support, and—ideally—protein/phenotype assays.</w:t>
      </w:r>
      <w:r>
        <w:t xml:space="preserve"> </w:t>
      </w:r>
      <w:hyperlink r:id="rId23">
        <w:r>
          <w:rPr>
            <w:rStyle w:val="Hyperlink"/>
          </w:rPr>
          <w:t xml:space="preserve">[12]</w:t>
        </w:r>
      </w:hyperlink>
    </w:p>
    <w:p>
      <w:pPr>
        <w:pStyle w:val="BodyText"/>
      </w:pPr>
      <w:r>
        <w:rPr>
          <w:b/>
          <w:bCs/>
        </w:rPr>
        <w:t xml:space="preserve">Independent replication:</w:t>
      </w:r>
      <w:r>
        <w:t xml:space="preserve"> </w:t>
      </w:r>
      <w:r>
        <w:t xml:space="preserve">presence across multiple individuals/populations or related species (reducing the chance of lab-specific contamination).</w:t>
      </w:r>
      <w:r>
        <w:t xml:space="preserve"> </w:t>
      </w:r>
      <w:hyperlink r:id="rId28">
        <w:r>
          <w:rPr>
            <w:rStyle w:val="Hyperlink"/>
          </w:rPr>
          <w:t xml:space="preserve">[13]</w:t>
        </w:r>
      </w:hyperlink>
    </w:p>
    <w:bookmarkEnd w:id="29"/>
    <w:bookmarkEnd w:id="30"/>
    <w:bookmarkStart w:id="41" w:name="prevalence-across-taxa-and-rates"/>
    <w:p>
      <w:pPr>
        <w:pStyle w:val="Heading2"/>
      </w:pPr>
      <w:r>
        <w:t xml:space="preserve">Prevalence across taxa and rates</w:t>
      </w:r>
    </w:p>
    <w:bookmarkStart w:id="32" w:name="broad-patterns"/>
    <w:p>
      <w:pPr>
        <w:pStyle w:val="Heading3"/>
      </w:pPr>
      <w:r>
        <w:t xml:space="preserve">Broad patterns</w:t>
      </w:r>
    </w:p>
    <w:p>
      <w:pPr>
        <w:pStyle w:val="FirstParagraph"/>
      </w:pPr>
      <w:r>
        <w:rPr>
          <w:b/>
          <w:bCs/>
        </w:rPr>
        <w:t xml:space="preserve">Plants:</w:t>
      </w:r>
      <w:r>
        <w:t xml:space="preserve"> </w:t>
      </w:r>
      <w:r>
        <w:t xml:space="preserve">Multiple syntheses emphasize that HGT is “more common than previously assumed” in plants, and genome-scale sampling across the green lineage now yields</w:t>
      </w:r>
      <w:r>
        <w:t xml:space="preserve"> </w:t>
      </w:r>
      <w:r>
        <w:rPr>
          <w:b/>
          <w:bCs/>
        </w:rPr>
        <w:t xml:space="preserve">hundreds of reported plant HGTs</w:t>
      </w:r>
      <w:r>
        <w:t xml:space="preserve">, spanning plant–plant and microbe–plant transfers, with strong enrichment in certain ecological settings (parasitism, intimate symbioses).</w:t>
      </w:r>
      <w:r>
        <w:t xml:space="preserve"> </w:t>
      </w:r>
      <w:hyperlink r:id="rId21">
        <w:r>
          <w:rPr>
            <w:rStyle w:val="Hyperlink"/>
          </w:rPr>
          <w:t xml:space="preserve">[14]</w:t>
        </w:r>
      </w:hyperlink>
    </w:p>
    <w:p>
      <w:pPr>
        <w:pStyle w:val="BodyText"/>
      </w:pPr>
      <w:r>
        <w:t xml:space="preserve">A particularly consistent compartmental pattern is that</w:t>
      </w:r>
      <w:r>
        <w:t xml:space="preserve"> </w:t>
      </w:r>
      <w:r>
        <w:rPr>
          <w:b/>
          <w:bCs/>
        </w:rPr>
        <w:t xml:space="preserve">plant mitochondrial genomes</w:t>
      </w:r>
      <w:r>
        <w:t xml:space="preserve"> </w:t>
      </w:r>
      <w:r>
        <w:t xml:space="preserve">frequently incorporate foreign DNA and genes, while plastid HGT is rarer and often manifests as</w:t>
      </w:r>
      <w:r>
        <w:t xml:space="preserve"> </w:t>
      </w:r>
      <w:r>
        <w:rPr>
          <w:b/>
          <w:bCs/>
        </w:rPr>
        <w:t xml:space="preserve">whole-plastome replacement (“chloroplast capture”)</w:t>
      </w:r>
      <w:r>
        <w:t xml:space="preserve"> </w:t>
      </w:r>
      <w:r>
        <w:t xml:space="preserve">rather than gene-by-gene transfer (because plastids generally do not fuse/recombine the way mitochondria do).</w:t>
      </w:r>
      <w:r>
        <w:t xml:space="preserve"> </w:t>
      </w:r>
      <w:hyperlink r:id="rId31">
        <w:r>
          <w:rPr>
            <w:rStyle w:val="Hyperlink"/>
          </w:rPr>
          <w:t xml:space="preserve">[15]</w:t>
        </w:r>
      </w:hyperlink>
    </w:p>
    <w:p>
      <w:pPr>
        <w:pStyle w:val="BodyText"/>
      </w:pPr>
      <w:r>
        <w:rPr>
          <w:b/>
          <w:bCs/>
        </w:rPr>
        <w:t xml:space="preserve">Animals:</w:t>
      </w:r>
      <w:r>
        <w:t xml:space="preserve"> </w:t>
      </w:r>
      <w:r>
        <w:t xml:space="preserve">In classic framing, documented HGT in metazoans is “rare,” attributed in part to</w:t>
      </w:r>
      <w:r>
        <w:t xml:space="preserve"> </w:t>
      </w:r>
      <w:r>
        <w:rPr>
          <w:b/>
          <w:bCs/>
        </w:rPr>
        <w:t xml:space="preserve">germline sequestration</w:t>
      </w:r>
      <w:r>
        <w:t xml:space="preserve">, but exceptions exist where ecology or genome biology plausibly increases opportunities for integration.</w:t>
      </w:r>
      <w:r>
        <w:t xml:space="preserve"> </w:t>
      </w:r>
      <w:hyperlink r:id="rId23">
        <w:r>
          <w:rPr>
            <w:rStyle w:val="Hyperlink"/>
          </w:rPr>
          <w:t xml:space="preserve">[16]</w:t>
        </w:r>
      </w:hyperlink>
    </w:p>
    <w:bookmarkEnd w:id="32"/>
    <w:bookmarkStart w:id="40" w:name="Xcf1ed3aab9d9f8923831424ad88c79b148b5568"/>
    <w:p>
      <w:pPr>
        <w:pStyle w:val="Heading3"/>
      </w:pPr>
      <w:r>
        <w:t xml:space="preserve">Quantitative snapshots and rate estimates</w:t>
      </w:r>
    </w:p>
    <w:p>
      <w:pPr>
        <w:pStyle w:val="FirstParagraph"/>
      </w:pPr>
      <w:r>
        <w:t xml:space="preserve">Direct, comparable “rates” of HGT across multicellular eukaryotes are difficult because detectability depends on divergence, database sampling, assembly quality, and filtering. Still, several systems provide useful quantitative anchors:</w:t>
      </w:r>
    </w:p>
    <w:p>
      <w:pPr>
        <w:pStyle w:val="BodyText"/>
      </w:pPr>
      <w:r>
        <w:rPr>
          <w:b/>
          <w:bCs/>
        </w:rPr>
        <w:t xml:space="preserve">Bdelloid rotifers (animals):</w:t>
      </w:r>
      <w:r>
        <w:t xml:space="preserve"> </w:t>
      </w:r>
      <w:r>
        <w:t xml:space="preserve">A multi-species analysis inferred an average of</w:t>
      </w:r>
      <w:r>
        <w:t xml:space="preserve"> </w:t>
      </w:r>
      <w:r>
        <w:rPr>
          <w:b/>
          <w:bCs/>
        </w:rPr>
        <w:t xml:space="preserve">~12.8 gains vs ~2.0 losses of foreign genes per million years</w:t>
      </w:r>
      <w:r>
        <w:t xml:space="preserve">, and concluded that HGT is ongoing within bdelloids, with higher levels in desiccation-associated lineages.</w:t>
      </w:r>
      <w:r>
        <w:t xml:space="preserve"> </w:t>
      </w:r>
      <w:hyperlink r:id="rId33">
        <w:r>
          <w:rPr>
            <w:rStyle w:val="Hyperlink"/>
          </w:rPr>
          <w:t xml:space="preserve">[17]</w:t>
        </w:r>
      </w:hyperlink>
      <w:r>
        <w:t xml:space="preserve"> </w:t>
      </w:r>
      <w:r>
        <w:t xml:space="preserve">The same study concluded that</w:t>
      </w:r>
      <w:r>
        <w:t xml:space="preserve"> </w:t>
      </w:r>
      <w:r>
        <w:rPr>
          <w:b/>
          <w:bCs/>
        </w:rPr>
        <w:t xml:space="preserve">nearly half</w:t>
      </w:r>
      <w:r>
        <w:t xml:space="preserve"> </w:t>
      </w:r>
      <w:r>
        <w:t xml:space="preserve">of sampled foreign genes predate the divergence of major bdelloid families</w:t>
      </w:r>
      <w:r>
        <w:t xml:space="preserve"> </w:t>
      </w:r>
      <w:r>
        <w:rPr>
          <w:b/>
          <w:bCs/>
        </w:rPr>
        <w:t xml:space="preserve">&gt;60 million years ago</w:t>
      </w:r>
      <w:r>
        <w:t xml:space="preserve">, indicating long-term retention across speciation.</w:t>
      </w:r>
      <w:r>
        <w:t xml:space="preserve"> </w:t>
      </w:r>
      <w:hyperlink r:id="rId33">
        <w:r>
          <w:rPr>
            <w:rStyle w:val="Hyperlink"/>
          </w:rPr>
          <w:t xml:space="preserve">[18]</w:t>
        </w:r>
      </w:hyperlink>
    </w:p>
    <w:p>
      <w:pPr>
        <w:pStyle w:val="BodyText"/>
      </w:pPr>
      <w:r>
        <w:rPr>
          <w:b/>
          <w:bCs/>
        </w:rPr>
        <w:t xml:space="preserve">Parasitic plants (plants):</w:t>
      </w:r>
      <w:r>
        <w:t xml:space="preserve"> </w:t>
      </w:r>
      <w:r>
        <w:t xml:space="preserve">A genome study across Orobanchaceae reported</w:t>
      </w:r>
      <w:r>
        <w:t xml:space="preserve"> </w:t>
      </w:r>
      <w:r>
        <w:rPr>
          <w:b/>
          <w:bCs/>
        </w:rPr>
        <w:t xml:space="preserve">106</w:t>
      </w:r>
      <w:r>
        <w:t xml:space="preserve"> </w:t>
      </w:r>
      <w:r>
        <w:t xml:space="preserve">horizontally transferred genes (HGT genes) detected</w:t>
      </w:r>
      <w:r>
        <w:t xml:space="preserve"> </w:t>
      </w:r>
      <w:r>
        <w:rPr>
          <w:b/>
          <w:bCs/>
        </w:rPr>
        <w:t xml:space="preserve">only</w:t>
      </w:r>
      <w:r>
        <w:t xml:space="preserve"> </w:t>
      </w:r>
      <w:r>
        <w:t xml:space="preserve">in the two obligate parasites (vs none detected in facultative parasites in that screen), reinforcing the idea that parasitic intimacy is a major predictor of detectable nuclear HGT in plants.</w:t>
      </w:r>
      <w:r>
        <w:t xml:space="preserve"> </w:t>
      </w:r>
      <w:hyperlink r:id="rId34">
        <w:r>
          <w:rPr>
            <w:rStyle w:val="Hyperlink"/>
          </w:rPr>
          <w:t xml:space="preserve">[19]</w:t>
        </w:r>
      </w:hyperlink>
    </w:p>
    <w:p>
      <w:pPr>
        <w:pStyle w:val="BodyText"/>
      </w:pPr>
      <w:r>
        <w:rPr>
          <w:b/>
          <w:bCs/>
        </w:rPr>
        <w:t xml:space="preserve">Rafflesiaceae mitochondria (plants):</w:t>
      </w:r>
      <w:r>
        <w:t xml:space="preserve"> </w:t>
      </w:r>
      <w:r>
        <w:t xml:space="preserve">Phylogenomic analysis reported that up to</w:t>
      </w:r>
      <w:r>
        <w:t xml:space="preserve"> </w:t>
      </w:r>
      <w:r>
        <w:rPr>
          <w:b/>
          <w:bCs/>
        </w:rPr>
        <w:t xml:space="preserve">~40%</w:t>
      </w:r>
      <w:r>
        <w:t xml:space="preserve"> </w:t>
      </w:r>
      <w:r>
        <w:t xml:space="preserve">of mitochondrial genes in the parasitic Rafflesiaceae were acquired from hosts via HGT and likely functional.</w:t>
      </w:r>
      <w:r>
        <w:t xml:space="preserve"> </w:t>
      </w:r>
      <w:hyperlink r:id="rId35">
        <w:r>
          <w:rPr>
            <w:rStyle w:val="Hyperlink"/>
          </w:rPr>
          <w:t xml:space="preserve">[20]</w:t>
        </w:r>
      </w:hyperlink>
    </w:p>
    <w:p>
      <w:pPr>
        <w:pStyle w:val="BodyText"/>
      </w:pPr>
      <w:r>
        <w:rPr>
          <w:b/>
          <w:bCs/>
        </w:rPr>
        <w:t xml:space="preserve">Amborella mitochondria (plants):</w:t>
      </w:r>
      <w:r>
        <w:t xml:space="preserve"> </w:t>
      </w:r>
      <w:r>
        <w:t xml:space="preserve">A large synthesis notes Amborella’s mitochondrial genome is</w:t>
      </w:r>
      <w:r>
        <w:t xml:space="preserve"> </w:t>
      </w:r>
      <w:r>
        <w:rPr>
          <w:b/>
          <w:bCs/>
        </w:rPr>
        <w:t xml:space="preserve">3.9 Mb</w:t>
      </w:r>
      <w:r>
        <w:t xml:space="preserve"> </w:t>
      </w:r>
      <w:r>
        <w:t xml:space="preserve">and contains</w:t>
      </w:r>
      <w:r>
        <w:t xml:space="preserve"> </w:t>
      </w:r>
      <w:r>
        <w:rPr>
          <w:b/>
          <w:bCs/>
        </w:rPr>
        <w:t xml:space="preserve">six “equivalents”</w:t>
      </w:r>
      <w:r>
        <w:t xml:space="preserve"> </w:t>
      </w:r>
      <w:r>
        <w:t xml:space="preserve">of foreign mitochondrial genomes, including</w:t>
      </w:r>
      <w:r>
        <w:t xml:space="preserve"> </w:t>
      </w:r>
      <w:r>
        <w:rPr>
          <w:b/>
          <w:bCs/>
        </w:rPr>
        <w:t xml:space="preserve">four whole-genome transfers</w:t>
      </w:r>
      <w:r>
        <w:t xml:space="preserve">, implying unusually extensive organellar HGT in an angiosperm.</w:t>
      </w:r>
      <w:r>
        <w:t xml:space="preserve"> </w:t>
      </w:r>
      <w:hyperlink r:id="rId36">
        <w:r>
          <w:rPr>
            <w:rStyle w:val="Hyperlink"/>
          </w:rPr>
          <w:t xml:space="preserve">[21]</w:t>
        </w:r>
      </w:hyperlink>
    </w:p>
    <w:p>
      <w:pPr>
        <w:pStyle w:val="BodyText"/>
      </w:pPr>
      <w:r>
        <w:rPr>
          <w:b/>
          <w:bCs/>
        </w:rPr>
        <w:t xml:space="preserve">Transposable elements (plants and animals):</w:t>
      </w:r>
      <w:r>
        <w:t xml:space="preserve"> </w:t>
      </w:r>
      <w:r>
        <w:t xml:space="preserve">HGT of TEs (“horizontal transposon transfer,” HTT) appears far more frequent than transfer of ordinary host genes. A plant-focused Genome Research study argued HTT in plants is</w:t>
      </w:r>
      <w:r>
        <w:t xml:space="preserve"> </w:t>
      </w:r>
      <w:r>
        <w:rPr>
          <w:b/>
          <w:bCs/>
        </w:rPr>
        <w:t xml:space="preserve">widespread and frequent</w:t>
      </w:r>
      <w:r>
        <w:t xml:space="preserve">.</w:t>
      </w:r>
      <w:r>
        <w:t xml:space="preserve"> </w:t>
      </w:r>
      <w:hyperlink r:id="rId37">
        <w:r>
          <w:rPr>
            <w:rStyle w:val="Hyperlink"/>
          </w:rPr>
          <w:t xml:space="preserve">[22]</w:t>
        </w:r>
      </w:hyperlink>
      <w:r>
        <w:t xml:space="preserve"> </w:t>
      </w:r>
      <w:r>
        <w:t xml:space="preserve">A vertebrate-focused Nature Communications study inferred</w:t>
      </w:r>
      <w:r>
        <w:t xml:space="preserve"> </w:t>
      </w:r>
      <w:r>
        <w:rPr>
          <w:b/>
          <w:bCs/>
        </w:rPr>
        <w:t xml:space="preserve">≥975</w:t>
      </w:r>
      <w:r>
        <w:t xml:space="preserve"> </w:t>
      </w:r>
      <w:r>
        <w:t xml:space="preserve">independent HTT events across vertebrate evolutionary history (concentrated in some clades, rarer in birds/mammals).</w:t>
      </w:r>
      <w:r>
        <w:t xml:space="preserve"> </w:t>
      </w:r>
      <w:hyperlink r:id="rId38">
        <w:r>
          <w:rPr>
            <w:rStyle w:val="Hyperlink"/>
          </w:rPr>
          <w:t xml:space="preserve">[23]</w:t>
        </w:r>
      </w:hyperlink>
    </w:p>
    <w:p>
      <w:pPr>
        <w:pStyle w:val="BodyText"/>
      </w:pPr>
      <w:r>
        <w:rPr>
          <w:b/>
          <w:bCs/>
        </w:rPr>
        <w:t xml:space="preserve">Short-timescale spread example (animals, TE):</w:t>
      </w:r>
      <w:r>
        <w:t xml:space="preserve"> </w:t>
      </w:r>
      <w:r>
        <w:t xml:space="preserve">The P-element (DNA transposon) is a canonical case of HTT in animals; syntheses note it spread through wild</w:t>
      </w:r>
      <w:r>
        <w:t xml:space="preserve"> </w:t>
      </w:r>
      <w:r>
        <w:rPr>
          <w:i/>
          <w:iCs/>
        </w:rPr>
        <w:t xml:space="preserve">Drosophila melanogaster</w:t>
      </w:r>
      <w:r>
        <w:t xml:space="preserve"> </w:t>
      </w:r>
      <w:r>
        <w:t xml:space="preserve">populations between</w:t>
      </w:r>
      <w:r>
        <w:t xml:space="preserve"> </w:t>
      </w:r>
      <w:r>
        <w:rPr>
          <w:b/>
          <w:bCs/>
        </w:rPr>
        <w:t xml:space="preserve">~1950 and 1980</w:t>
      </w:r>
      <w:r>
        <w:t xml:space="preserve">, demonstrating that once a mobile element horizontally enters a lineage, it can rapidly proliferate genome-wide.</w:t>
      </w:r>
      <w:r>
        <w:t xml:space="preserve"> </w:t>
      </w:r>
      <w:hyperlink r:id="rId39">
        <w:r>
          <w:rPr>
            <w:rStyle w:val="Hyperlink"/>
          </w:rPr>
          <w:t xml:space="preserve">[24]</w:t>
        </w:r>
      </w:hyperlink>
    </w:p>
    <w:bookmarkEnd w:id="40"/>
    <w:bookmarkEnd w:id="41"/>
    <w:bookmarkStart w:id="50" w:name="Xc12868ea32731f38ea844a3efb8eaacb2bc0a4d"/>
    <w:p>
      <w:pPr>
        <w:pStyle w:val="Heading2"/>
      </w:pPr>
      <w:r>
        <w:t xml:space="preserve">Well-documented plant case studies with genomic evidence</w:t>
      </w:r>
    </w:p>
    <w:p>
      <w:pPr>
        <w:pStyle w:val="FirstParagraph"/>
      </w:pPr>
      <w:r>
        <w:t xml:space="preserve">The table below emphasizes cases with strong genomic integration evidence plus phylogenetic support and, where available, expression/functional inference.</w:t>
      </w:r>
    </w:p>
    <w:bookmarkStart w:id="48" w:name="X84399a0cc1c97d930c35d9e4556d3574ae34b78"/>
    <w:p>
      <w:pPr>
        <w:pStyle w:val="Heading3"/>
      </w:pPr>
      <w:r>
        <w:t xml:space="preserve">Comparative table of plant HGT case studies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Recipient (system)</w:t>
            </w:r>
          </w:p>
        </w:tc>
        <w:tc>
          <w:tcPr/>
          <w:p>
            <w:pPr>
              <w:pStyle w:val="Compact"/>
            </w:pPr>
            <w:r>
              <w:t xml:space="preserve">Donor (likely)</w:t>
            </w:r>
          </w:p>
        </w:tc>
        <w:tc>
          <w:tcPr/>
          <w:p>
            <w:pPr>
              <w:pStyle w:val="Compact"/>
            </w:pPr>
            <w:r>
              <w:t xml:space="preserve">Gene(s)/DNA transferred</w:t>
            </w:r>
          </w:p>
        </w:tc>
        <w:tc>
          <w:tcPr/>
          <w:p>
            <w:pPr>
              <w:pStyle w:val="Compact"/>
            </w:pPr>
            <w:r>
              <w:t xml:space="preserve">Genomic evidence &amp; detection methods</w:t>
            </w:r>
          </w:p>
        </w:tc>
        <w:tc>
          <w:tcPr/>
          <w:p>
            <w:pPr>
              <w:pStyle w:val="Compact"/>
            </w:pPr>
            <w:r>
              <w:t xml:space="preserve">Proposed function / phenotype</w:t>
            </w:r>
          </w:p>
        </w:tc>
        <w:tc>
          <w:tcPr/>
          <w:p>
            <w:pPr>
              <w:pStyle w:val="Compact"/>
            </w:pPr>
            <w:r>
              <w:t xml:space="preserve">Adaptive inference</w:t>
            </w:r>
          </w:p>
        </w:tc>
        <w:tc>
          <w:tcPr/>
          <w:p>
            <w:pPr>
              <w:pStyle w:val="Compact"/>
            </w:pPr>
            <w:r>
              <w:t xml:space="preserve">Key references</w:t>
            </w:r>
          </w:p>
        </w:tc>
      </w:tr>
      <w:tr>
        <w:tc>
          <w:tcPr/>
          <w:p>
            <w:pPr>
              <w:pStyle w:val="Compact"/>
            </w:pPr>
            <w:r>
              <w:rPr>
                <w:i/>
                <w:iCs/>
              </w:rPr>
              <w:t xml:space="preserve">Amborella trichopoda</w:t>
            </w:r>
            <w:r>
              <w:t xml:space="preserve"> </w:t>
            </w:r>
            <w:r>
              <w:t xml:space="preserve">(mitochondrion)</w:t>
            </w:r>
          </w:p>
        </w:tc>
        <w:tc>
          <w:tcPr/>
          <w:p>
            <w:pPr>
              <w:pStyle w:val="Compact"/>
            </w:pPr>
            <w:r>
              <w:t xml:space="preserve">Green algae, mosses, other angiosperms</w:t>
            </w:r>
          </w:p>
        </w:tc>
        <w:tc>
          <w:tcPr/>
          <w:p>
            <w:pPr>
              <w:pStyle w:val="Compact"/>
            </w:pPr>
            <w:r>
              <w:t xml:space="preserve">Large foreign mitochondrial DNA blocks; includes whole mitochondrial genomes</w:t>
            </w:r>
          </w:p>
        </w:tc>
        <w:tc>
          <w:tcPr/>
          <w:p>
            <w:pPr>
              <w:pStyle w:val="Compact"/>
            </w:pPr>
            <w:r>
              <w:t xml:space="preserve">Complete mt genome shows massive foreign mtDNA; model proposes capture of whole mitochondria followed by mitochondrial fusion/recombination; genome size 3.9 Mb; “six genome equivalents” of foreign mt genomes noted</w:t>
            </w:r>
          </w:p>
        </w:tc>
        <w:tc>
          <w:tcPr/>
          <w:p>
            <w:pPr>
              <w:pStyle w:val="Compact"/>
            </w:pPr>
            <w:r>
              <w:t xml:space="preserve">Primarily genome evolution insight; functional status varies by locus</w:t>
            </w:r>
          </w:p>
        </w:tc>
        <w:tc>
          <w:tcPr/>
          <w:p>
            <w:pPr>
              <w:pStyle w:val="Compact"/>
            </w:pPr>
            <w:r>
              <w:t xml:space="preserve">Mostly interpreted as genome-architecture significance; not necessarily adaptive per transferred locus</w:t>
            </w:r>
          </w:p>
        </w:tc>
        <w:tc>
          <w:tcPr/>
          <w:p>
            <w:pPr>
              <w:pStyle w:val="Compact"/>
            </w:pPr>
            <w:r>
              <w:t xml:space="preserve">Rice et al. 2013 (summarized)</w:t>
            </w:r>
            <w:r>
              <w:t xml:space="preserve"> </w:t>
            </w:r>
            <w:hyperlink r:id="rId36">
              <w:r>
                <w:rPr>
                  <w:rStyle w:val="Hyperlink"/>
                </w:rPr>
                <w:t xml:space="preserve">[21]</w:t>
              </w:r>
            </w:hyperlink>
          </w:p>
        </w:tc>
      </w:tr>
      <w:tr>
        <w:tc>
          <w:tcPr/>
          <w:p>
            <w:pPr>
              <w:pStyle w:val="Compact"/>
            </w:pPr>
            <w:r>
              <w:t xml:space="preserve">Rafflesiaceae (mitochondrion; parasitic plants)</w:t>
            </w:r>
          </w:p>
        </w:tc>
        <w:tc>
          <w:tcPr/>
          <w:p>
            <w:pPr>
              <w:pStyle w:val="Compact"/>
            </w:pPr>
            <w:r>
              <w:t xml:space="preserve">Host plants</w:t>
            </w:r>
          </w:p>
        </w:tc>
        <w:tc>
          <w:tcPr/>
          <w:p>
            <w:pPr>
              <w:pStyle w:val="Compact"/>
            </w:pPr>
            <w:r>
              <w:t xml:space="preserve">Many mitochondrial genes</w:t>
            </w:r>
          </w:p>
        </w:tc>
        <w:tc>
          <w:tcPr/>
          <w:p>
            <w:pPr>
              <w:pStyle w:val="Compact"/>
            </w:pPr>
            <w:r>
              <w:t xml:space="preserve">Phylogenomics suggests up to ~40% of mitochondrial genes acquired from hosts; likely functional transgenes</w:t>
            </w:r>
          </w:p>
        </w:tc>
        <w:tc>
          <w:tcPr/>
          <w:p>
            <w:pPr>
              <w:pStyle w:val="Compact"/>
            </w:pPr>
            <w:r>
              <w:t xml:space="preserve">Maintenance of mitochondrial function despite parasitism</w:t>
            </w:r>
          </w:p>
        </w:tc>
        <w:tc>
          <w:tcPr/>
          <w:p>
            <w:pPr>
              <w:pStyle w:val="Compact"/>
            </w:pPr>
            <w:r>
              <w:t xml:space="preserve">Functional replacement plausibly beneficial/necessary</w:t>
            </w:r>
          </w:p>
        </w:tc>
        <w:tc>
          <w:tcPr/>
          <w:p>
            <w:pPr>
              <w:pStyle w:val="Compact"/>
            </w:pPr>
            <w:r>
              <w:t xml:space="preserve">Xi et al. 2012</w:t>
            </w:r>
            <w:r>
              <w:t xml:space="preserve"> </w:t>
            </w:r>
            <w:hyperlink r:id="rId35">
              <w:r>
                <w:rPr>
                  <w:rStyle w:val="Hyperlink"/>
                </w:rPr>
                <w:t xml:space="preserve">[20]</w:t>
              </w:r>
            </w:hyperlink>
          </w:p>
        </w:tc>
      </w:tr>
      <w:tr>
        <w:tc>
          <w:tcPr/>
          <w:p>
            <w:pPr>
              <w:pStyle w:val="Compact"/>
            </w:pPr>
            <w:r>
              <w:rPr>
                <w:i/>
                <w:iCs/>
              </w:rPr>
              <w:t xml:space="preserve">Lophophytum mirabile</w:t>
            </w:r>
            <w:r>
              <w:t xml:space="preserve"> </w:t>
            </w:r>
            <w:r>
              <w:t xml:space="preserve">(mitochondrion; holoparasite)</w:t>
            </w:r>
          </w:p>
        </w:tc>
        <w:tc>
          <w:tcPr/>
          <w:p>
            <w:pPr>
              <w:pStyle w:val="Compact"/>
            </w:pPr>
            <w:r>
              <w:t xml:space="preserve">Legume hosts</w:t>
            </w:r>
          </w:p>
        </w:tc>
        <w:tc>
          <w:tcPr/>
          <w:p>
            <w:pPr>
              <w:pStyle w:val="Compact"/>
            </w:pPr>
            <w:r>
              <w:t xml:space="preserve">Host-derived mitochondrial xenologs replacing native genes</w:t>
            </w:r>
          </w:p>
        </w:tc>
        <w:tc>
          <w:tcPr/>
          <w:p>
            <w:pPr>
              <w:pStyle w:val="Compact"/>
            </w:pPr>
            <w:r>
              <w:t xml:space="preserve">mtDNA lost many native genes but contains intact foreign homologs; study reports foreign mt genes highly transcribed and properly processed (splicing/editing emphasized)</w:t>
            </w:r>
          </w:p>
        </w:tc>
        <w:tc>
          <w:tcPr/>
          <w:p>
            <w:pPr>
              <w:pStyle w:val="Compact"/>
            </w:pPr>
            <w:r>
              <w:t xml:space="preserve">Functional replacement of mitochondrial gene set</w:t>
            </w:r>
          </w:p>
        </w:tc>
        <w:tc>
          <w:tcPr/>
          <w:p>
            <w:pPr>
              <w:pStyle w:val="Compact"/>
            </w:pPr>
            <w:r>
              <w:t xml:space="preserve">Stronger-than-average functional inference (expression/processing), but adaptive story still partly indirect</w:t>
            </w:r>
          </w:p>
        </w:tc>
        <w:tc>
          <w:tcPr/>
          <w:p>
            <w:pPr>
              <w:pStyle w:val="Compact"/>
            </w:pPr>
            <w:r>
              <w:t xml:space="preserve">Sánchez-Puerta 2021</w:t>
            </w:r>
            <w:r>
              <w:t xml:space="preserve"> </w:t>
            </w:r>
            <w:hyperlink r:id="rId42">
              <w:r>
                <w:rPr>
                  <w:rStyle w:val="Hyperlink"/>
                </w:rPr>
                <w:t xml:space="preserve">[25]</w:t>
              </w:r>
            </w:hyperlink>
          </w:p>
        </w:tc>
      </w:tr>
      <w:tr>
        <w:tc>
          <w:tcPr/>
          <w:p>
            <w:pPr>
              <w:pStyle w:val="Compact"/>
            </w:pPr>
            <w:r>
              <w:rPr>
                <w:i/>
                <w:iCs/>
              </w:rPr>
              <w:t xml:space="preserve">Cuscuta campestris</w:t>
            </w:r>
            <w:r>
              <w:t xml:space="preserve"> </w:t>
            </w:r>
            <w:r>
              <w:t xml:space="preserve">(nuclear genome; parasitic vine)</w:t>
            </w:r>
          </w:p>
        </w:tc>
        <w:tc>
          <w:tcPr/>
          <w:p>
            <w:pPr>
              <w:pStyle w:val="Compact"/>
            </w:pPr>
            <w:r>
              <w:t xml:space="preserve">Multiple host plants</w:t>
            </w:r>
          </w:p>
        </w:tc>
        <w:tc>
          <w:tcPr/>
          <w:p>
            <w:pPr>
              <w:pStyle w:val="Compact"/>
            </w:pPr>
            <w:r>
              <w:t xml:space="preserve">Dozens to &gt;100 HGT loci/regions across genomes</w:t>
            </w:r>
          </w:p>
        </w:tc>
        <w:tc>
          <w:tcPr/>
          <w:p>
            <w:pPr>
              <w:pStyle w:val="Compact"/>
            </w:pPr>
            <w:r>
              <w:t xml:space="preserve">Dodder genome study identified</w:t>
            </w:r>
            <w:r>
              <w:t xml:space="preserve"> </w:t>
            </w:r>
            <w:r>
              <w:rPr>
                <w:b/>
                <w:bCs/>
              </w:rPr>
              <w:t xml:space="preserve">64</w:t>
            </w:r>
            <w:r>
              <w:t xml:space="preserve"> </w:t>
            </w:r>
            <w:r>
              <w:t xml:space="preserve">high-confidence HGT candidates; many transcribed and upregulated at host interface; subsequent work reports extensive host↔parasite nucleic acid traffic and</w:t>
            </w:r>
            <w:r>
              <w:t xml:space="preserve"> </w:t>
            </w:r>
            <w:r>
              <w:rPr>
                <w:b/>
                <w:bCs/>
              </w:rPr>
              <w:t xml:space="preserve">108 functional HGT</w:t>
            </w:r>
            <w:r>
              <w:t xml:space="preserve"> </w:t>
            </w:r>
            <w:r>
              <w:t xml:space="preserve">events across parasitic plants</w:t>
            </w:r>
          </w:p>
        </w:tc>
        <w:tc>
          <w:tcPr/>
          <w:p>
            <w:pPr>
              <w:pStyle w:val="Compact"/>
            </w:pPr>
            <w:r>
              <w:t xml:space="preserve">Expanded metabolic capacity; parasitic ability; infection-interface functions</w:t>
            </w:r>
          </w:p>
        </w:tc>
        <w:tc>
          <w:tcPr/>
          <w:p>
            <w:pPr>
              <w:pStyle w:val="Compact"/>
            </w:pPr>
            <w:r>
              <w:t xml:space="preserve">Plausible adaptive contributions (interface expression), but locus-by-locus fitness effects often untested</w:t>
            </w:r>
          </w:p>
        </w:tc>
        <w:tc>
          <w:tcPr/>
          <w:p>
            <w:pPr>
              <w:pStyle w:val="Compact"/>
            </w:pPr>
            <w:r>
              <w:t xml:space="preserve">Vogel et al. 2018; Yang et al. 2019</w:t>
            </w:r>
            <w:r>
              <w:t xml:space="preserve"> </w:t>
            </w:r>
            <w:hyperlink r:id="rId43">
              <w:r>
                <w:rPr>
                  <w:rStyle w:val="Hyperlink"/>
                </w:rPr>
                <w:t xml:space="preserve">[26]</w:t>
              </w:r>
            </w:hyperlink>
          </w:p>
        </w:tc>
      </w:tr>
      <w:tr>
        <w:tc>
          <w:tcPr/>
          <w:p>
            <w:pPr>
              <w:pStyle w:val="Compact"/>
            </w:pPr>
            <w:r>
              <w:t xml:space="preserve">Orobanchaceae obligate parasites (</w:t>
            </w:r>
            <w:r>
              <w:rPr>
                <w:i/>
                <w:iCs/>
              </w:rPr>
              <w:t xml:space="preserve">Orobanche minor</w:t>
            </w:r>
            <w:r>
              <w:t xml:space="preserve">,</w:t>
            </w:r>
            <w:r>
              <w:t xml:space="preserve"> </w:t>
            </w:r>
            <w:r>
              <w:rPr>
                <w:i/>
                <w:iCs/>
              </w:rPr>
              <w:t xml:space="preserve">Aeginetia indica</w:t>
            </w:r>
            <w:r>
              <w:t xml:space="preserve">)</w:t>
            </w:r>
          </w:p>
        </w:tc>
        <w:tc>
          <w:tcPr/>
          <w:p>
            <w:pPr>
              <w:pStyle w:val="Compact"/>
            </w:pPr>
            <w:r>
              <w:t xml:space="preserve">Host plants (Fabaceae/Poaceae sampled)</w:t>
            </w:r>
          </w:p>
        </w:tc>
        <w:tc>
          <w:tcPr/>
          <w:p>
            <w:pPr>
              <w:pStyle w:val="Compact"/>
            </w:pPr>
            <w:r>
              <w:rPr>
                <w:b/>
                <w:bCs/>
              </w:rPr>
              <w:t xml:space="preserve">106</w:t>
            </w:r>
            <w:r>
              <w:t xml:space="preserve"> </w:t>
            </w:r>
            <w:r>
              <w:t xml:space="preserve">HGT genes detected (22 + 84)</w:t>
            </w:r>
          </w:p>
        </w:tc>
        <w:tc>
          <w:tcPr/>
          <w:p>
            <w:pPr>
              <w:pStyle w:val="Compact"/>
            </w:pPr>
            <w:r>
              <w:t xml:space="preserve">Comparative parasite genome sequencing; reference-based identification against major hosts; HGT detected only in obligate parasites in that dataset</w:t>
            </w:r>
          </w:p>
        </w:tc>
        <w:tc>
          <w:tcPr/>
          <w:p>
            <w:pPr>
              <w:pStyle w:val="Compact"/>
            </w:pPr>
            <w:r>
              <w:t xml:space="preserve">Not always specified; generally parasite biology/metabolism</w:t>
            </w:r>
          </w:p>
        </w:tc>
        <w:tc>
          <w:tcPr/>
          <w:p>
            <w:pPr>
              <w:pStyle w:val="Compact"/>
            </w:pPr>
            <w:r>
              <w:t xml:space="preserve">Enrichment in obligate parasites supports ecological causality; adaptive effects remain gene-specific</w:t>
            </w:r>
          </w:p>
        </w:tc>
        <w:tc>
          <w:tcPr/>
          <w:p>
            <w:pPr>
              <w:pStyle w:val="Compact"/>
            </w:pPr>
            <w:r>
              <w:t xml:space="preserve">Yang et al. 2018 (GBE)</w:t>
            </w:r>
            <w:r>
              <w:t xml:space="preserve"> </w:t>
            </w:r>
            <w:hyperlink r:id="rId34">
              <w:r>
                <w:rPr>
                  <w:rStyle w:val="Hyperlink"/>
                </w:rPr>
                <w:t xml:space="preserve">[19]</w:t>
              </w:r>
            </w:hyperlink>
          </w:p>
        </w:tc>
      </w:tr>
      <w:tr>
        <w:tc>
          <w:tcPr/>
          <w:p>
            <w:pPr>
              <w:pStyle w:val="Compact"/>
            </w:pPr>
            <w:r>
              <w:rPr>
                <w:i/>
                <w:iCs/>
              </w:rPr>
              <w:t xml:space="preserve">Striga hermonthica</w:t>
            </w:r>
            <w:r>
              <w:t xml:space="preserve"> </w:t>
            </w:r>
            <w:r>
              <w:t xml:space="preserve">(nuclear gene; parasitic plant)</w:t>
            </w:r>
          </w:p>
        </w:tc>
        <w:tc>
          <w:tcPr/>
          <w:p>
            <w:pPr>
              <w:pStyle w:val="Compact"/>
            </w:pPr>
            <w:r>
              <w:t xml:space="preserve">Host grasses (e.g., sorghum/related monocots)</w:t>
            </w:r>
          </w:p>
        </w:tc>
        <w:tc>
          <w:tcPr/>
          <w:p>
            <w:pPr>
              <w:pStyle w:val="Compact"/>
            </w:pPr>
            <w:r>
              <w:t xml:space="preserve">A nuclear monocot gene identified in eudicot parasite</w:t>
            </w:r>
          </w:p>
        </w:tc>
        <w:tc>
          <w:tcPr/>
          <w:p>
            <w:pPr>
              <w:pStyle w:val="Compact"/>
            </w:pPr>
            <w:r>
              <w:t xml:space="preserve">Reported as nuclear gene transfer across major plant clades; later synthesis highlights intron patterns consistent with RNA intermediate in some host–parasite transfers</w:t>
            </w:r>
          </w:p>
        </w:tc>
        <w:tc>
          <w:tcPr/>
          <w:p>
            <w:pPr>
              <w:pStyle w:val="Compact"/>
            </w:pPr>
            <w:r>
              <w:t xml:space="preserve">Likely tied to parasitic lifestyle; function unclear</w:t>
            </w:r>
          </w:p>
        </w:tc>
        <w:tc>
          <w:tcPr/>
          <w:p>
            <w:pPr>
              <w:pStyle w:val="Compact"/>
            </w:pPr>
            <w:r>
              <w:t xml:space="preserve">Often framed as parasitism-facilitated; limited direct fitness evidence</w:t>
            </w:r>
          </w:p>
        </w:tc>
        <w:tc>
          <w:tcPr/>
          <w:p>
            <w:pPr>
              <w:pStyle w:val="Compact"/>
            </w:pPr>
            <w:r>
              <w:t xml:space="preserve">Yoshida et al. 2010; plant review synthesis</w:t>
            </w:r>
            <w:r>
              <w:t xml:space="preserve"> </w:t>
            </w:r>
            <w:hyperlink r:id="rId44">
              <w:r>
                <w:rPr>
                  <w:rStyle w:val="Hyperlink"/>
                </w:rPr>
                <w:t xml:space="preserve">[27]</w:t>
              </w:r>
            </w:hyperlink>
          </w:p>
        </w:tc>
      </w:tr>
      <w:tr>
        <w:tc>
          <w:tcPr/>
          <w:p>
            <w:pPr>
              <w:pStyle w:val="Compact"/>
            </w:pPr>
            <w:r>
              <w:rPr>
                <w:i/>
                <w:iCs/>
              </w:rPr>
              <w:t xml:space="preserve">Alloteropsis</w:t>
            </w:r>
            <w:r>
              <w:t xml:space="preserve"> </w:t>
            </w:r>
            <w:r>
              <w:t xml:space="preserve">grasses (nuclear genes; photosynthesis)</w:t>
            </w:r>
          </w:p>
        </w:tc>
        <w:tc>
          <w:tcPr/>
          <w:p>
            <w:pPr>
              <w:pStyle w:val="Compact"/>
            </w:pPr>
            <w:r>
              <w:t xml:space="preserve">Other C4 grass lineages</w:t>
            </w:r>
          </w:p>
        </w:tc>
        <w:tc>
          <w:tcPr/>
          <w:p>
            <w:pPr>
              <w:pStyle w:val="Compact"/>
            </w:pPr>
            <w:r>
              <w:t xml:space="preserve">Key C4 pathway components (e.g., PEPC/PEPCK-related transfers in pathway optimization context)</w:t>
            </w:r>
          </w:p>
        </w:tc>
        <w:tc>
          <w:tcPr/>
          <w:p>
            <w:pPr>
              <w:pStyle w:val="Compact"/>
            </w:pPr>
            <w:r>
              <w:t xml:space="preserve">Phylogenetic analyses of nuclear genes and transcriptomes show ≥4 independent lateral transfers from C4 taxa diverged &gt;20 My; interpreted as recurrent acquisition of already C4-adapted gene variants</w:t>
            </w:r>
          </w:p>
        </w:tc>
        <w:tc>
          <w:tcPr/>
          <w:p>
            <w:pPr>
              <w:pStyle w:val="Compact"/>
            </w:pPr>
            <w:r>
              <w:t xml:space="preserve">Improved photosynthetic efficiency (C4 optimization)</w:t>
            </w:r>
          </w:p>
        </w:tc>
        <w:tc>
          <w:tcPr/>
          <w:p>
            <w:pPr>
              <w:pStyle w:val="Compact"/>
            </w:pPr>
            <w:r>
              <w:t xml:space="preserve">Strong adaptive plausibility (trait relevance; repeated transfers) though experimental functional swap tests are limited</w:t>
            </w:r>
          </w:p>
        </w:tc>
        <w:tc>
          <w:tcPr/>
          <w:p>
            <w:pPr>
              <w:pStyle w:val="Compact"/>
            </w:pPr>
            <w:r>
              <w:t xml:space="preserve">Christin et al. 2012</w:t>
            </w:r>
            <w:r>
              <w:t xml:space="preserve"> </w:t>
            </w:r>
            <w:hyperlink r:id="rId24">
              <w:r>
                <w:rPr>
                  <w:rStyle w:val="Hyperlink"/>
                </w:rPr>
                <w:t xml:space="preserve">[28]</w:t>
              </w:r>
            </w:hyperlink>
          </w:p>
        </w:tc>
      </w:tr>
      <w:tr>
        <w:tc>
          <w:tcPr/>
          <w:p>
            <w:pPr>
              <w:pStyle w:val="Compact"/>
            </w:pPr>
            <w:r>
              <w:t xml:space="preserve">Cultivated sweet potato (</w:t>
            </w:r>
            <w:r>
              <w:rPr>
                <w:i/>
                <w:iCs/>
              </w:rPr>
              <w:t xml:space="preserve">Ipomoea batatas</w:t>
            </w:r>
            <w:r>
              <w:t xml:space="preserve">)</w:t>
            </w:r>
          </w:p>
        </w:tc>
        <w:tc>
          <w:tcPr/>
          <w:p>
            <w:pPr>
              <w:pStyle w:val="Compact"/>
            </w:pPr>
            <w:r>
              <w:rPr>
                <w:i/>
                <w:iCs/>
              </w:rPr>
              <w:t xml:space="preserve">Agrobacterium</w:t>
            </w:r>
            <w:r>
              <w:t xml:space="preserve"> </w:t>
            </w:r>
            <w:r>
              <w:t xml:space="preserve">(T-DNA)</w:t>
            </w:r>
          </w:p>
        </w:tc>
        <w:tc>
          <w:tcPr/>
          <w:p>
            <w:pPr>
              <w:pStyle w:val="Compact"/>
            </w:pPr>
            <w:r>
              <w:t xml:space="preserve">Integrated T-DNA sequences</w:t>
            </w:r>
          </w:p>
        </w:tc>
        <w:tc>
          <w:tcPr/>
          <w:p>
            <w:pPr>
              <w:pStyle w:val="Compact"/>
            </w:pPr>
            <w:r>
              <w:t xml:space="preserve">Among 291 tested cultivated accessions, all contain one or more T-DNA sequences; expression observed in a cultivated clone; patterns suggest acquisition predating domestication and possible selection</w:t>
            </w:r>
          </w:p>
        </w:tc>
        <w:tc>
          <w:tcPr/>
          <w:p>
            <w:pPr>
              <w:pStyle w:val="Compact"/>
            </w:pPr>
            <w:r>
              <w:t xml:space="preserve">Unclear; possibly selected traits during domestication</w:t>
            </w:r>
          </w:p>
        </w:tc>
        <w:tc>
          <w:tcPr/>
          <w:p>
            <w:pPr>
              <w:pStyle w:val="Compact"/>
            </w:pPr>
            <w:r>
              <w:t xml:space="preserve">Suggested (not proven) selection during domestication</w:t>
            </w:r>
          </w:p>
        </w:tc>
        <w:tc>
          <w:tcPr/>
          <w:p>
            <w:pPr>
              <w:pStyle w:val="Compact"/>
            </w:pPr>
            <w:r>
              <w:t xml:space="preserve">Kyndt et al. 2015</w:t>
            </w:r>
            <w:r>
              <w:t xml:space="preserve"> </w:t>
            </w:r>
            <w:hyperlink r:id="rId45">
              <w:r>
                <w:rPr>
                  <w:rStyle w:val="Hyperlink"/>
                </w:rPr>
                <w:t xml:space="preserve">[29]</w:t>
              </w:r>
            </w:hyperlink>
          </w:p>
        </w:tc>
      </w:tr>
      <w:tr>
        <w:tc>
          <w:tcPr/>
          <w:p>
            <w:pPr>
              <w:pStyle w:val="Compact"/>
            </w:pPr>
            <w:r>
              <w:t xml:space="preserve">Nicotiana graft hybrids (“Nicotiana tabauca”)</w:t>
            </w:r>
          </w:p>
        </w:tc>
        <w:tc>
          <w:tcPr/>
          <w:p>
            <w:pPr>
              <w:pStyle w:val="Compact"/>
            </w:pPr>
            <w:r>
              <w:t xml:space="preserve">Another Nicotiana species (graft partner)</w:t>
            </w:r>
          </w:p>
        </w:tc>
        <w:tc>
          <w:tcPr/>
          <w:p>
            <w:pPr>
              <w:pStyle w:val="Compact"/>
            </w:pPr>
            <w:r>
              <w:t xml:space="preserve">Entire nuclear genomes transferred across graft junction</w:t>
            </w:r>
          </w:p>
        </w:tc>
        <w:tc>
          <w:tcPr/>
          <w:p>
            <w:pPr>
              <w:pStyle w:val="Compact"/>
            </w:pPr>
            <w:r>
              <w:t xml:space="preserve">Nature study reports</w:t>
            </w:r>
            <w:r>
              <w:t xml:space="preserve"> </w:t>
            </w:r>
            <w:r>
              <w:rPr>
                <w:b/>
                <w:bCs/>
              </w:rPr>
              <w:t xml:space="preserve">entire nuclear genomes</w:t>
            </w:r>
            <w:r>
              <w:t xml:space="preserve"> </w:t>
            </w:r>
            <w:r>
              <w:t xml:space="preserve">can transfer across graft junction; horizontal nuclear-genome transfer produced new polyploid species, framed as an asexual path to allopolyploid speciation</w:t>
            </w:r>
          </w:p>
        </w:tc>
        <w:tc>
          <w:tcPr/>
          <w:p>
            <w:pPr>
              <w:pStyle w:val="Compact"/>
            </w:pPr>
            <w:r>
              <w:t xml:space="preserve">Formation of a new polyploid lineage</w:t>
            </w:r>
          </w:p>
        </w:tc>
        <w:tc>
          <w:tcPr/>
          <w:p>
            <w:pPr>
              <w:pStyle w:val="Compact"/>
            </w:pPr>
            <w:r>
              <w:t xml:space="preserve">Very strong macroevolutionary significance claim (speciation mechanism)</w:t>
            </w:r>
          </w:p>
        </w:tc>
        <w:tc>
          <w:tcPr/>
          <w:p>
            <w:pPr>
              <w:pStyle w:val="Compact"/>
            </w:pPr>
            <w:r>
              <w:t xml:space="preserve">Fuentes et al. 2014</w:t>
            </w:r>
            <w:r>
              <w:t xml:space="preserve"> </w:t>
            </w:r>
            <w:hyperlink r:id="rId46">
              <w:r>
                <w:rPr>
                  <w:rStyle w:val="Hyperlink"/>
                </w:rPr>
                <w:t xml:space="preserve">[30]</w:t>
              </w:r>
            </w:hyperlink>
          </w:p>
        </w:tc>
      </w:tr>
      <w:tr>
        <w:tc>
          <w:tcPr/>
          <w:p>
            <w:pPr>
              <w:pStyle w:val="Compact"/>
            </w:pPr>
            <w:r>
              <w:t xml:space="preserve">Tobacco grafting (plastid genomes)</w:t>
            </w:r>
          </w:p>
        </w:tc>
        <w:tc>
          <w:tcPr/>
          <w:p>
            <w:pPr>
              <w:pStyle w:val="Compact"/>
            </w:pPr>
            <w:r>
              <w:t xml:space="preserve">Graft partner</w:t>
            </w:r>
          </w:p>
        </w:tc>
        <w:tc>
          <w:tcPr/>
          <w:p>
            <w:pPr>
              <w:pStyle w:val="Compact"/>
            </w:pPr>
            <w:r>
              <w:t xml:space="preserve">Whole chloroplast genomes</w:t>
            </w:r>
          </w:p>
        </w:tc>
        <w:tc>
          <w:tcPr/>
          <w:p>
            <w:pPr>
              <w:pStyle w:val="Compact"/>
            </w:pPr>
            <w:r>
              <w:t xml:space="preserve">PNAS study: complete chloroplast genomes can travel across graft junction and replace resident plastid genome; proposed as mechanism for “chloroplast capture” without sexual hybridization</w:t>
            </w:r>
          </w:p>
        </w:tc>
        <w:tc>
          <w:tcPr/>
          <w:p>
            <w:pPr>
              <w:pStyle w:val="Compact"/>
            </w:pPr>
            <w:r>
              <w:t xml:space="preserve">Organelle replacement; phylogenetic discordance resolution</w:t>
            </w:r>
          </w:p>
        </w:tc>
        <w:tc>
          <w:tcPr/>
          <w:p>
            <w:pPr>
              <w:pStyle w:val="Compact"/>
            </w:pPr>
            <w:r>
              <w:t xml:space="preserve">Mostly mechanistic; adaptive implication depends on plastid–nuclear interactions</w:t>
            </w:r>
          </w:p>
        </w:tc>
        <w:tc>
          <w:tcPr/>
          <w:p>
            <w:pPr>
              <w:pStyle w:val="Compact"/>
            </w:pPr>
            <w:r>
              <w:t xml:space="preserve">Stegemann et al. 2012</w:t>
            </w:r>
            <w:r>
              <w:t xml:space="preserve"> </w:t>
            </w:r>
            <w:hyperlink r:id="rId47">
              <w:r>
                <w:rPr>
                  <w:rStyle w:val="Hyperlink"/>
                </w:rPr>
                <w:t xml:space="preserve">[31]</w:t>
              </w:r>
            </w:hyperlink>
          </w:p>
        </w:tc>
      </w:tr>
    </w:tbl>
    <w:bookmarkEnd w:id="48"/>
    <w:bookmarkStart w:id="49" w:name="X194d31feb012be3348bd5994c6e416fd5c328d7"/>
    <w:p>
      <w:pPr>
        <w:pStyle w:val="Heading3"/>
      </w:pPr>
      <w:r>
        <w:t xml:space="preserve">What these plant cases imply about prevalence and mechanisms</w:t>
      </w:r>
    </w:p>
    <w:p>
      <w:pPr>
        <w:pStyle w:val="FirstParagraph"/>
      </w:pPr>
      <w:r>
        <w:t xml:space="preserve">Plant HGT is not “uniform”; it clusters in</w:t>
      </w:r>
      <w:r>
        <w:t xml:space="preserve"> </w:t>
      </w:r>
      <w:r>
        <w:rPr>
          <w:b/>
          <w:bCs/>
        </w:rPr>
        <w:t xml:space="preserve">(i) mitochondria</w:t>
      </w:r>
      <w:r>
        <w:t xml:space="preserve">,</w:t>
      </w:r>
      <w:r>
        <w:t xml:space="preserve"> </w:t>
      </w:r>
      <w:r>
        <w:rPr>
          <w:b/>
          <w:bCs/>
        </w:rPr>
        <w:t xml:space="preserve">(ii) parasite–host vascular interfaces</w:t>
      </w:r>
      <w:r>
        <w:t xml:space="preserve">, and</w:t>
      </w:r>
      <w:r>
        <w:t xml:space="preserve"> </w:t>
      </w:r>
      <w:r>
        <w:rPr>
          <w:b/>
          <w:bCs/>
        </w:rPr>
        <w:t xml:space="preserve">(iii) graft junctions</w:t>
      </w:r>
      <w:r>
        <w:t xml:space="preserve">—all settings that plausibly enable DNA movement and/or organelle mixing.</w:t>
      </w:r>
      <w:r>
        <w:t xml:space="preserve"> </w:t>
      </w:r>
      <w:hyperlink r:id="rId36">
        <w:r>
          <w:rPr>
            <w:rStyle w:val="Hyperlink"/>
          </w:rPr>
          <w:t xml:space="preserve">[32]</w:t>
        </w:r>
      </w:hyperlink>
    </w:p>
    <w:p>
      <w:pPr>
        <w:pStyle w:val="BodyText"/>
      </w:pPr>
      <w:r>
        <w:t xml:space="preserve">Mechanistically, plants have several features that may lower barriers relative to animals: (a) the absence of a permanently segregated germline (many germline cells arise from somatic lineages late in development), and (b) organellar dynamics (mitochondrial fusion/recombination) that permit incorporation of foreign DNA once it enters. These themes recur explicitly in interpretations of mitochondrial HGT and graft-mediated genome transfers.</w:t>
      </w:r>
      <w:r>
        <w:t xml:space="preserve"> </w:t>
      </w:r>
      <w:hyperlink r:id="rId36">
        <w:r>
          <w:rPr>
            <w:rStyle w:val="Hyperlink"/>
          </w:rPr>
          <w:t xml:space="preserve">[33]</w:t>
        </w:r>
      </w:hyperlink>
    </w:p>
    <w:bookmarkEnd w:id="49"/>
    <w:bookmarkEnd w:id="50"/>
    <w:bookmarkStart w:id="59" w:name="Xfd09d32694ae48221fa46a8ff089820d3e029f8"/>
    <w:p>
      <w:pPr>
        <w:pStyle w:val="Heading2"/>
      </w:pPr>
      <w:r>
        <w:t xml:space="preserve">Well-documented animal case studies with genomic evidence</w:t>
      </w:r>
    </w:p>
    <w:p>
      <w:pPr>
        <w:pStyle w:val="FirstParagraph"/>
      </w:pPr>
      <w:r>
        <w:t xml:space="preserve">Animal HGT literature spans three partially overlapping categories: (1)</w:t>
      </w:r>
      <w:r>
        <w:t xml:space="preserve"> </w:t>
      </w:r>
      <w:r>
        <w:rPr>
          <w:b/>
          <w:bCs/>
        </w:rPr>
        <w:t xml:space="preserve">rare but functionally striking gene transfers</w:t>
      </w:r>
      <w:r>
        <w:t xml:space="preserve"> </w:t>
      </w:r>
      <w:r>
        <w:t xml:space="preserve">(often from eukaryotes or bacteria), (2)</w:t>
      </w:r>
      <w:r>
        <w:t xml:space="preserve"> </w:t>
      </w:r>
      <w:r>
        <w:rPr>
          <w:b/>
          <w:bCs/>
        </w:rPr>
        <w:t xml:space="preserve">symbiont-to-host DNA integration</w:t>
      </w:r>
      <w:r>
        <w:t xml:space="preserve"> </w:t>
      </w:r>
      <w:r>
        <w:t xml:space="preserve">(often abundant but frequently nonfunctional), and (3)</w:t>
      </w:r>
      <w:r>
        <w:t xml:space="preserve"> </w:t>
      </w:r>
      <w:r>
        <w:rPr>
          <w:b/>
          <w:bCs/>
        </w:rPr>
        <w:t xml:space="preserve">mobile element transfers</w:t>
      </w:r>
      <w:r>
        <w:t xml:space="preserve"> </w:t>
      </w:r>
      <w:r>
        <w:t xml:space="preserve">(TEs/viruses), which can be common and genome-shaping.</w:t>
      </w:r>
    </w:p>
    <w:bookmarkStart w:id="57" w:name="X87fe0b25a12077599f0cacf6cf1385e940d8eff"/>
    <w:p>
      <w:pPr>
        <w:pStyle w:val="Heading3"/>
      </w:pPr>
      <w:r>
        <w:t xml:space="preserve">Comparative table of animal HGT case studies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Recipient (animal)</w:t>
            </w:r>
          </w:p>
        </w:tc>
        <w:tc>
          <w:tcPr/>
          <w:p>
            <w:pPr>
              <w:pStyle w:val="Compact"/>
            </w:pPr>
            <w:r>
              <w:t xml:space="preserve">Donor (likely)</w:t>
            </w:r>
          </w:p>
        </w:tc>
        <w:tc>
          <w:tcPr/>
          <w:p>
            <w:pPr>
              <w:pStyle w:val="Compact"/>
            </w:pPr>
            <w:r>
              <w:t xml:space="preserve">Gene(s)/DNA transferred</w:t>
            </w:r>
          </w:p>
        </w:tc>
        <w:tc>
          <w:tcPr/>
          <w:p>
            <w:pPr>
              <w:pStyle w:val="Compact"/>
            </w:pPr>
            <w:r>
              <w:t xml:space="preserve">Genomic evidence &amp; detection methods</w:t>
            </w:r>
          </w:p>
        </w:tc>
        <w:tc>
          <w:tcPr/>
          <w:p>
            <w:pPr>
              <w:pStyle w:val="Compact"/>
            </w:pPr>
            <w:r>
              <w:t xml:space="preserve">Proposed function / phenotype</w:t>
            </w:r>
          </w:p>
        </w:tc>
        <w:tc>
          <w:tcPr/>
          <w:p>
            <w:pPr>
              <w:pStyle w:val="Compact"/>
            </w:pPr>
            <w:r>
              <w:t xml:space="preserve">Adaptive inference</w:t>
            </w:r>
          </w:p>
        </w:tc>
        <w:tc>
          <w:tcPr/>
          <w:p>
            <w:pPr>
              <w:pStyle w:val="Compact"/>
            </w:pPr>
            <w:r>
              <w:t xml:space="preserve">Key references</w:t>
            </w:r>
          </w:p>
        </w:tc>
      </w:tr>
      <w:tr>
        <w:tc>
          <w:tcPr/>
          <w:p>
            <w:pPr>
              <w:pStyle w:val="Compact"/>
            </w:pPr>
            <w:r>
              <w:t xml:space="preserve">Bdelloid rotifer (</w:t>
            </w:r>
            <w:r>
              <w:rPr>
                <w:i/>
                <w:iCs/>
              </w:rPr>
              <w:t xml:space="preserve">Adineta vaga</w:t>
            </w:r>
            <w:r>
              <w:t xml:space="preserve">)</w:t>
            </w:r>
          </w:p>
        </w:tc>
        <w:tc>
          <w:tcPr/>
          <w:p>
            <w:pPr>
              <w:pStyle w:val="Compact"/>
            </w:pPr>
            <w:r>
              <w:t xml:space="preserve">Bacteria, fungi, plants</w:t>
            </w:r>
          </w:p>
        </w:tc>
        <w:tc>
          <w:tcPr/>
          <w:p>
            <w:pPr>
              <w:pStyle w:val="Compact"/>
            </w:pPr>
            <w:r>
              <w:t xml:space="preserve">Multiple foreign genes (e.g.,</w:t>
            </w:r>
            <w:r>
              <w:t xml:space="preserve"> </w:t>
            </w:r>
            <w:r>
              <w:rPr>
                <w:i/>
                <w:iCs/>
              </w:rPr>
              <w:t xml:space="preserve">alr</w:t>
            </w:r>
            <w:r>
              <w:t xml:space="preserve">,</w:t>
            </w:r>
            <w:r>
              <w:t xml:space="preserve"> </w:t>
            </w:r>
            <w:r>
              <w:rPr>
                <w:i/>
                <w:iCs/>
              </w:rPr>
              <w:t xml:space="preserve">ddl</w:t>
            </w:r>
            <w:r>
              <w:t xml:space="preserve">; plant UDP-glycosyltransferase) clustered near telomeres</w:t>
            </w:r>
          </w:p>
        </w:tc>
        <w:tc>
          <w:tcPr/>
          <w:p>
            <w:pPr>
              <w:pStyle w:val="Compact"/>
            </w:pPr>
            <w:r>
              <w:t xml:space="preserve">Foreign genes found on fosmid contigs; some include spliceosomal introns; RT-PCR shows correct splicing; FISH confirms genomic location; one bacterial-origin enzyme shown active when expressed in</w:t>
            </w:r>
            <w:r>
              <w:t xml:space="preserve"> </w:t>
            </w:r>
            <w:r>
              <w:rPr>
                <w:i/>
                <w:iCs/>
              </w:rPr>
              <w:t xml:space="preserve">E. coli</w:t>
            </w:r>
          </w:p>
        </w:tc>
        <w:tc>
          <w:tcPr/>
          <w:p>
            <w:pPr>
              <w:pStyle w:val="Compact"/>
            </w:pPr>
            <w:r>
              <w:t xml:space="preserve">Putative metabolic novelty; potential stress-related functions</w:t>
            </w:r>
          </w:p>
        </w:tc>
        <w:tc>
          <w:tcPr/>
          <w:p>
            <w:pPr>
              <w:pStyle w:val="Compact"/>
            </w:pPr>
            <w:r>
              <w:t xml:space="preserve">Suggested as “important force” in bdelloid evolution, but many locus effects still unquantified</w:t>
            </w:r>
          </w:p>
        </w:tc>
        <w:tc>
          <w:tcPr/>
          <w:p>
            <w:pPr>
              <w:pStyle w:val="Compact"/>
            </w:pPr>
            <w:r>
              <w:t xml:space="preserve">Gladyshev et al. 2008</w:t>
            </w:r>
            <w:r>
              <w:t xml:space="preserve"> </w:t>
            </w:r>
            <w:hyperlink r:id="rId23">
              <w:r>
                <w:rPr>
                  <w:rStyle w:val="Hyperlink"/>
                </w:rPr>
                <w:t xml:space="preserve">[34]</w:t>
              </w:r>
            </w:hyperlink>
          </w:p>
        </w:tc>
      </w:tr>
      <w:tr>
        <w:tc>
          <w:tcPr/>
          <w:p>
            <w:pPr>
              <w:pStyle w:val="Compact"/>
            </w:pPr>
            <w:r>
              <w:t xml:space="preserve">Bdelloid rotifers (multiple</w:t>
            </w:r>
            <w:r>
              <w:t xml:space="preserve"> </w:t>
            </w:r>
            <w:r>
              <w:rPr>
                <w:i/>
                <w:iCs/>
              </w:rPr>
              <w:t xml:space="preserve">Rotaria</w:t>
            </w:r>
            <w:r>
              <w:t xml:space="preserve"> </w:t>
            </w:r>
            <w:r>
              <w:t xml:space="preserve">spp. +</w:t>
            </w:r>
            <w:r>
              <w:t xml:space="preserve"> </w:t>
            </w:r>
            <w:r>
              <w:rPr>
                <w:i/>
                <w:iCs/>
              </w:rPr>
              <w:t xml:space="preserve">Adineta ricciae</w:t>
            </w:r>
            <w:r>
              <w:t xml:space="preserve">)</w:t>
            </w:r>
          </w:p>
        </w:tc>
        <w:tc>
          <w:tcPr/>
          <w:p>
            <w:pPr>
              <w:pStyle w:val="Compact"/>
            </w:pPr>
            <w:r>
              <w:t xml:space="preserve">Diverse non-metazoans</w:t>
            </w:r>
          </w:p>
        </w:tc>
        <w:tc>
          <w:tcPr/>
          <w:p>
            <w:pPr>
              <w:pStyle w:val="Compact"/>
            </w:pPr>
            <w:r>
              <w:t xml:space="preserve">Hundreds of foreign genes; gains/losses over time</w:t>
            </w:r>
          </w:p>
        </w:tc>
        <w:tc>
          <w:tcPr/>
          <w:p>
            <w:pPr>
              <w:pStyle w:val="Compact"/>
            </w:pPr>
            <w:r>
              <w:t xml:space="preserve">Comparative transcriptomes + draft genome validation; inferred ~12.8 foreign gene gains vs ~2.0 losses per My; nearly half of foreign genes predating &gt;60 Mya; higher HGT in desiccation habitats</w:t>
            </w:r>
          </w:p>
        </w:tc>
        <w:tc>
          <w:tcPr/>
          <w:p>
            <w:pPr>
              <w:pStyle w:val="Compact"/>
            </w:pPr>
            <w:r>
              <w:t xml:space="preserve">Enzymes incl. polysaccharide catabolism, stress responses</w:t>
            </w:r>
          </w:p>
        </w:tc>
        <w:tc>
          <w:tcPr/>
          <w:p>
            <w:pPr>
              <w:pStyle w:val="Compact"/>
            </w:pPr>
            <w:r>
              <w:t xml:space="preserve">Supports ongoing HGT and contribution to species differences; adaptive claims partly indirect</w:t>
            </w:r>
          </w:p>
        </w:tc>
        <w:tc>
          <w:tcPr/>
          <w:p>
            <w:pPr>
              <w:pStyle w:val="Compact"/>
            </w:pPr>
            <w:r>
              <w:t xml:space="preserve">Eyres et al. 2015</w:t>
            </w:r>
            <w:r>
              <w:t xml:space="preserve"> </w:t>
            </w:r>
            <w:hyperlink r:id="rId33">
              <w:r>
                <w:rPr>
                  <w:rStyle w:val="Hyperlink"/>
                </w:rPr>
                <w:t xml:space="preserve">[17]</w:t>
              </w:r>
            </w:hyperlink>
          </w:p>
        </w:tc>
      </w:tr>
      <w:tr>
        <w:tc>
          <w:tcPr/>
          <w:p>
            <w:pPr>
              <w:pStyle w:val="Compact"/>
            </w:pPr>
            <w:r>
              <w:t xml:space="preserve">Pea aphid (</w:t>
            </w:r>
            <w:r>
              <w:rPr>
                <w:i/>
                <w:iCs/>
              </w:rPr>
              <w:t xml:space="preserve">Acyrthosiphon pisum</w:t>
            </w:r>
            <w:r>
              <w:t xml:space="preserve">)</w:t>
            </w:r>
          </w:p>
        </w:tc>
        <w:tc>
          <w:tcPr/>
          <w:p>
            <w:pPr>
              <w:pStyle w:val="Compact"/>
            </w:pPr>
            <w:r>
              <w:t xml:space="preserve">Fungi</w:t>
            </w:r>
          </w:p>
        </w:tc>
        <w:tc>
          <w:tcPr/>
          <w:p>
            <w:pPr>
              <w:pStyle w:val="Compact"/>
            </w:pPr>
            <w:r>
              <w:t xml:space="preserve">Carotenoid biosynthesis genes (cyclase–synthase fusion; desaturases; “tor” locus)</w:t>
            </w:r>
          </w:p>
        </w:tc>
        <w:tc>
          <w:tcPr/>
          <w:p>
            <w:pPr>
              <w:pStyle w:val="Compact"/>
            </w:pPr>
            <w:r>
              <w:t xml:space="preserve">Phylogenetics: aphid genes nested within fungal clade; antifungal contamination arguments (scaffolds contain aphid genes/TEs; typical coverage; clone inserts) + expression (ESTs, PCR)</w:t>
            </w:r>
          </w:p>
        </w:tc>
        <w:tc>
          <w:tcPr/>
          <w:p>
            <w:pPr>
              <w:pStyle w:val="Compact"/>
            </w:pPr>
            <w:r>
              <w:t xml:space="preserve">Endogenous carotenoid production; color polymorphism linked to ecological interactions</w:t>
            </w:r>
          </w:p>
        </w:tc>
        <w:tc>
          <w:tcPr/>
          <w:p>
            <w:pPr>
              <w:pStyle w:val="Compact"/>
            </w:pPr>
            <w:r>
              <w:t xml:space="preserve">Strong functional link to phenotype; selection plausible (color affects enemies; repeated duplicates)</w:t>
            </w:r>
          </w:p>
        </w:tc>
        <w:tc>
          <w:tcPr/>
          <w:p>
            <w:pPr>
              <w:pStyle w:val="Compact"/>
            </w:pPr>
            <w:r>
              <w:t xml:space="preserve">Moran &amp; Jarvik 2010</w:t>
            </w:r>
            <w:r>
              <w:t xml:space="preserve"> </w:t>
            </w:r>
            <w:hyperlink r:id="rId28">
              <w:r>
                <w:rPr>
                  <w:rStyle w:val="Hyperlink"/>
                </w:rPr>
                <w:t xml:space="preserve">[35]</w:t>
              </w:r>
            </w:hyperlink>
          </w:p>
        </w:tc>
      </w:tr>
      <w:tr>
        <w:tc>
          <w:tcPr/>
          <w:p>
            <w:pPr>
              <w:pStyle w:val="Compact"/>
            </w:pPr>
            <w:r>
              <w:t xml:space="preserve">Whitefly (</w:t>
            </w:r>
            <w:r>
              <w:rPr>
                <w:i/>
                <w:iCs/>
              </w:rPr>
              <w:t xml:space="preserve">Bemisia tabaci</w:t>
            </w:r>
            <w:r>
              <w:t xml:space="preserve">)</w:t>
            </w:r>
          </w:p>
        </w:tc>
        <w:tc>
          <w:tcPr/>
          <w:p>
            <w:pPr>
              <w:pStyle w:val="Compact"/>
            </w:pPr>
            <w:r>
              <w:t xml:space="preserve">Plants</w:t>
            </w:r>
          </w:p>
        </w:tc>
        <w:tc>
          <w:tcPr/>
          <w:p>
            <w:pPr>
              <w:pStyle w:val="Compact"/>
            </w:pPr>
            <w:r>
              <w:t xml:space="preserve">Plant-derived phenolic glucoside malonyltransferase</w:t>
            </w:r>
            <w:r>
              <w:t xml:space="preserve"> </w:t>
            </w:r>
            <w:r>
              <w:rPr>
                <w:b/>
                <w:bCs/>
              </w:rPr>
              <w:t xml:space="preserve">BtPMaT1</w:t>
            </w:r>
          </w:p>
        </w:tc>
        <w:tc>
          <w:tcPr/>
          <w:p>
            <w:pPr>
              <w:pStyle w:val="Compact"/>
            </w:pPr>
            <w:r>
              <w:t xml:space="preserve">Article reports “exceptional” HGT; gene enables detoxification; plant-mediated RNAi silencing of BtPMaT1 impairs detox and confers tomato resistance</w:t>
            </w:r>
          </w:p>
        </w:tc>
        <w:tc>
          <w:tcPr/>
          <w:p>
            <w:pPr>
              <w:pStyle w:val="Compact"/>
            </w:pPr>
            <w:r>
              <w:t xml:space="preserve">Neutralizes host phenolic glycosides; pest success factor</w:t>
            </w:r>
          </w:p>
        </w:tc>
        <w:tc>
          <w:tcPr/>
          <w:p>
            <w:pPr>
              <w:pStyle w:val="Compact"/>
            </w:pPr>
            <w:r>
              <w:t xml:space="preserve">Strong: mechanistic phenotype and knockdown-based causal test</w:t>
            </w:r>
          </w:p>
        </w:tc>
        <w:tc>
          <w:tcPr/>
          <w:p>
            <w:pPr>
              <w:pStyle w:val="Compact"/>
            </w:pPr>
            <w:r>
              <w:t xml:space="preserve">Xia et al. 2021</w:t>
            </w:r>
            <w:r>
              <w:t xml:space="preserve"> </w:t>
            </w:r>
            <w:hyperlink r:id="rId51">
              <w:r>
                <w:rPr>
                  <w:rStyle w:val="Hyperlink"/>
                </w:rPr>
                <w:t xml:space="preserve">[36]</w:t>
              </w:r>
            </w:hyperlink>
          </w:p>
        </w:tc>
      </w:tr>
      <w:tr>
        <w:tc>
          <w:tcPr/>
          <w:p>
            <w:pPr>
              <w:pStyle w:val="Compact"/>
            </w:pPr>
            <w:r>
              <w:t xml:space="preserve">Citrus mealybug (</w:t>
            </w:r>
            <w:r>
              <w:rPr>
                <w:i/>
                <w:iCs/>
              </w:rPr>
              <w:t xml:space="preserve">Planococcus citri</w:t>
            </w:r>
            <w:r>
              <w:t xml:space="preserve">)</w:t>
            </w:r>
          </w:p>
        </w:tc>
        <w:tc>
          <w:tcPr/>
          <w:p>
            <w:pPr>
              <w:pStyle w:val="Compact"/>
            </w:pPr>
            <w:r>
              <w:t xml:space="preserve">Diverse bacteria (not the main endosymbiont)</w:t>
            </w:r>
          </w:p>
        </w:tc>
        <w:tc>
          <w:tcPr/>
          <w:p>
            <w:pPr>
              <w:pStyle w:val="Compact"/>
            </w:pPr>
            <w:r>
              <w:t xml:space="preserve">≥22 expressed HGT genes complementing symbiont losses</w:t>
            </w:r>
          </w:p>
        </w:tc>
        <w:tc>
          <w:tcPr/>
          <w:p>
            <w:pPr>
              <w:pStyle w:val="Compact"/>
            </w:pPr>
            <w:r>
              <w:t xml:space="preserve">Genome+transcriptome sequencing of nested symbiosis; identified expressed bacterial genes in host genome; none from</w:t>
            </w:r>
            <w:r>
              <w:t xml:space="preserve"> </w:t>
            </w:r>
            <w:r>
              <w:rPr>
                <w:i/>
                <w:iCs/>
              </w:rPr>
              <w:t xml:space="preserve">Tremblaya</w:t>
            </w:r>
          </w:p>
        </w:tc>
        <w:tc>
          <w:tcPr/>
          <w:p>
            <w:pPr>
              <w:pStyle w:val="Compact"/>
            </w:pPr>
            <w:r>
              <w:t xml:space="preserve">Supports tripartite symbiosis metabolism across compartments</w:t>
            </w:r>
          </w:p>
        </w:tc>
        <w:tc>
          <w:tcPr/>
          <w:p>
            <w:pPr>
              <w:pStyle w:val="Compact"/>
            </w:pPr>
            <w:r>
              <w:t xml:space="preserve">Functional plausibility high; adaptive role inferred by pathway complementarity</w:t>
            </w:r>
          </w:p>
        </w:tc>
        <w:tc>
          <w:tcPr/>
          <w:p>
            <w:pPr>
              <w:pStyle w:val="Compact"/>
            </w:pPr>
            <w:r>
              <w:t xml:space="preserve">Husnik et al. 2013</w:t>
            </w:r>
            <w:r>
              <w:t xml:space="preserve"> </w:t>
            </w:r>
            <w:hyperlink r:id="rId52">
              <w:r>
                <w:rPr>
                  <w:rStyle w:val="Hyperlink"/>
                </w:rPr>
                <w:t xml:space="preserve">[37]</w:t>
              </w:r>
            </w:hyperlink>
          </w:p>
        </w:tc>
      </w:tr>
      <w:tr>
        <w:tc>
          <w:tcPr/>
          <w:p>
            <w:pPr>
              <w:pStyle w:val="Compact"/>
            </w:pPr>
            <w:r>
              <w:t xml:space="preserve">Plant-parasitic nematodes (clade IV; e.g., cyst/root-knot lineages)</w:t>
            </w:r>
          </w:p>
        </w:tc>
        <w:tc>
          <w:tcPr/>
          <w:p>
            <w:pPr>
              <w:pStyle w:val="Compact"/>
            </w:pPr>
            <w:r>
              <w:t xml:space="preserve">Multiple bacteria (and some fungi)</w:t>
            </w:r>
          </w:p>
        </w:tc>
        <w:tc>
          <w:tcPr/>
          <w:p>
            <w:pPr>
              <w:pStyle w:val="Compact"/>
            </w:pPr>
            <w:r>
              <w:t xml:space="preserve">Cell wall–degrading/modifying families (cellulases, pectate lyases, expansin-like, etc.)</w:t>
            </w:r>
          </w:p>
        </w:tc>
        <w:tc>
          <w:tcPr/>
          <w:p>
            <w:pPr>
              <w:pStyle w:val="Compact"/>
            </w:pPr>
            <w:r>
              <w:t xml:space="preserve">Systematic phylogenies of CWDE families indicate multiple independent LGT events + extensive duplications after acquisition; effectors implicated in parasitism</w:t>
            </w:r>
          </w:p>
        </w:tc>
        <w:tc>
          <w:tcPr/>
          <w:p>
            <w:pPr>
              <w:pStyle w:val="Compact"/>
            </w:pPr>
            <w:r>
              <w:t xml:space="preserve">Enables plant parasitism by degrading/modifying plant cell walls</w:t>
            </w:r>
          </w:p>
        </w:tc>
        <w:tc>
          <w:tcPr/>
          <w:p>
            <w:pPr>
              <w:pStyle w:val="Compact"/>
            </w:pPr>
            <w:r>
              <w:t xml:space="preserve">Strong ecological plausibility; some gene knockdowns reduce parasitism in broader literature; donor puzzles remain</w:t>
            </w:r>
          </w:p>
        </w:tc>
        <w:tc>
          <w:tcPr/>
          <w:p>
            <w:pPr>
              <w:pStyle w:val="Compact"/>
            </w:pPr>
            <w:r>
              <w:t xml:space="preserve">Danchin et al. 2010; review/critique</w:t>
            </w:r>
            <w:r>
              <w:t xml:space="preserve"> </w:t>
            </w:r>
            <w:hyperlink r:id="rId53">
              <w:r>
                <w:rPr>
                  <w:rStyle w:val="Hyperlink"/>
                </w:rPr>
                <w:t xml:space="preserve">[38]</w:t>
              </w:r>
            </w:hyperlink>
          </w:p>
        </w:tc>
      </w:tr>
      <w:tr>
        <w:tc>
          <w:tcPr/>
          <w:p>
            <w:pPr>
              <w:pStyle w:val="Compact"/>
            </w:pPr>
            <w:r>
              <w:t xml:space="preserve">Many insects &amp; nematodes with</w:t>
            </w:r>
            <w:r>
              <w:t xml:space="preserve"> </w:t>
            </w:r>
            <w:r>
              <w:rPr>
                <w:i/>
                <w:iCs/>
              </w:rPr>
              <w:t xml:space="preserve">Wolbachia</w:t>
            </w:r>
          </w:p>
        </w:tc>
        <w:tc>
          <w:tcPr/>
          <w:p>
            <w:pPr>
              <w:pStyle w:val="Compact"/>
            </w:pPr>
            <w:r>
              <w:rPr>
                <w:i/>
                <w:iCs/>
              </w:rPr>
              <w:t xml:space="preserve">Wolbachia</w:t>
            </w:r>
            <w:r>
              <w:t xml:space="preserve"> </w:t>
            </w:r>
            <w:r>
              <w:t xml:space="preserve">(intracellular symbiont)</w:t>
            </w:r>
          </w:p>
        </w:tc>
        <w:tc>
          <w:tcPr/>
          <w:p>
            <w:pPr>
              <w:pStyle w:val="Compact"/>
            </w:pPr>
            <w:r>
              <w:t xml:space="preserve">Large inserts ranging from &gt;1 Mb to short fragments</w:t>
            </w:r>
          </w:p>
        </w:tc>
        <w:tc>
          <w:tcPr/>
          <w:p>
            <w:pPr>
              <w:pStyle w:val="Compact"/>
            </w:pPr>
            <w:r>
              <w:t xml:space="preserve">Survey found transfers into 4 insects + 4 nematodes; some inserts nearly whole Wolbachia genome; some inserted genes transcribed even without endosymbionts</w:t>
            </w:r>
          </w:p>
        </w:tc>
        <w:tc>
          <w:tcPr/>
          <w:p>
            <w:pPr>
              <w:pStyle w:val="Compact"/>
            </w:pPr>
            <w:r>
              <w:t xml:space="preserve">Mostly genomic “fossils”; occasionally co-opted</w:t>
            </w:r>
          </w:p>
        </w:tc>
        <w:tc>
          <w:tcPr/>
          <w:p>
            <w:pPr>
              <w:pStyle w:val="Compact"/>
            </w:pPr>
            <w:r>
              <w:t xml:space="preserve">Mostly neutral by default; some functional instances exist</w:t>
            </w:r>
          </w:p>
        </w:tc>
        <w:tc>
          <w:tcPr/>
          <w:p>
            <w:pPr>
              <w:pStyle w:val="Compact"/>
            </w:pPr>
            <w:r>
              <w:t xml:space="preserve">Dunning Hotopp et al. 2007 (JCVI summary)</w:t>
            </w:r>
            <w:r>
              <w:t xml:space="preserve"> </w:t>
            </w:r>
            <w:hyperlink r:id="rId54">
              <w:r>
                <w:rPr>
                  <w:rStyle w:val="Hyperlink"/>
                </w:rPr>
                <w:t xml:space="preserve">[39]</w:t>
              </w:r>
            </w:hyperlink>
          </w:p>
        </w:tc>
      </w:tr>
      <w:tr>
        <w:tc>
          <w:tcPr/>
          <w:p>
            <w:pPr>
              <w:pStyle w:val="Compact"/>
            </w:pPr>
            <w:r>
              <w:t xml:space="preserve">Pillbug (</w:t>
            </w:r>
            <w:r>
              <w:rPr>
                <w:i/>
                <w:iCs/>
              </w:rPr>
              <w:t xml:space="preserve">Armadillidium vulgare</w:t>
            </w:r>
            <w:r>
              <w:t xml:space="preserve">)</w:t>
            </w:r>
          </w:p>
        </w:tc>
        <w:tc>
          <w:tcPr/>
          <w:p>
            <w:pPr>
              <w:pStyle w:val="Compact"/>
            </w:pPr>
            <w:r>
              <w:t xml:space="preserve">Feminizing</w:t>
            </w:r>
            <w:r>
              <w:t xml:space="preserve"> </w:t>
            </w:r>
            <w:r>
              <w:rPr>
                <w:i/>
                <w:iCs/>
              </w:rPr>
              <w:t xml:space="preserve">Wolbachia</w:t>
            </w:r>
          </w:p>
        </w:tc>
        <w:tc>
          <w:tcPr/>
          <w:p>
            <w:pPr>
              <w:pStyle w:val="Compact"/>
            </w:pPr>
            <w:r>
              <w:t xml:space="preserve">Large Wolbachia-derived nuclear insert (“f element”; ~Mb-scale)</w:t>
            </w:r>
          </w:p>
        </w:tc>
        <w:tc>
          <w:tcPr/>
          <w:p>
            <w:pPr>
              <w:pStyle w:val="Compact"/>
            </w:pPr>
            <w:r>
              <w:t xml:space="preserve">Review highlights f element as clear evolutionary-significance case; PNAS summary reports a</w:t>
            </w:r>
            <w:r>
              <w:t xml:space="preserve"> </w:t>
            </w:r>
            <w:r>
              <w:rPr>
                <w:b/>
                <w:bCs/>
              </w:rPr>
              <w:t xml:space="preserve">3‑Mb</w:t>
            </w:r>
            <w:r>
              <w:t xml:space="preserve"> </w:t>
            </w:r>
            <w:r>
              <w:t xml:space="preserve">Wolbachia insert linked to female sex and acting as new W-like region</w:t>
            </w:r>
          </w:p>
        </w:tc>
        <w:tc>
          <w:tcPr/>
          <w:p>
            <w:pPr>
              <w:pStyle w:val="Compact"/>
            </w:pPr>
            <w:r>
              <w:t xml:space="preserve">Female sex determination; sex chromosome turnover</w:t>
            </w:r>
          </w:p>
        </w:tc>
        <w:tc>
          <w:tcPr/>
          <w:p>
            <w:pPr>
              <w:pStyle w:val="Compact"/>
            </w:pPr>
            <w:r>
              <w:t xml:space="preserve">Strong: sex determination link and chromosome evolution implications</w:t>
            </w:r>
          </w:p>
        </w:tc>
        <w:tc>
          <w:tcPr/>
          <w:p>
            <w:pPr>
              <w:pStyle w:val="Compact"/>
            </w:pPr>
            <w:r>
              <w:t xml:space="preserve">Cordaux &amp; Gilbert 2017; PNAS summary snippet</w:t>
            </w:r>
            <w:r>
              <w:t xml:space="preserve"> </w:t>
            </w:r>
            <w:hyperlink r:id="rId55">
              <w:r>
                <w:rPr>
                  <w:rStyle w:val="Hyperlink"/>
                </w:rPr>
                <w:t xml:space="preserve">[40]</w:t>
              </w:r>
            </w:hyperlink>
          </w:p>
        </w:tc>
      </w:tr>
      <w:tr>
        <w:tc>
          <w:tcPr/>
          <w:p>
            <w:pPr>
              <w:pStyle w:val="Compact"/>
            </w:pPr>
            <w:r>
              <w:t xml:space="preserve">Mammals (e.g., humans; rodents)</w:t>
            </w:r>
          </w:p>
        </w:tc>
        <w:tc>
          <w:tcPr/>
          <w:p>
            <w:pPr>
              <w:pStyle w:val="Compact"/>
            </w:pPr>
            <w:r>
              <w:t xml:space="preserve">Retroviruses (endogenized env genes)</w:t>
            </w:r>
          </w:p>
        </w:tc>
        <w:tc>
          <w:tcPr/>
          <w:p>
            <w:pPr>
              <w:pStyle w:val="Compact"/>
            </w:pPr>
            <w:r>
              <w:rPr>
                <w:b/>
                <w:bCs/>
              </w:rPr>
              <w:t xml:space="preserve">Syncytin</w:t>
            </w:r>
            <w:r>
              <w:t xml:space="preserve"> </w:t>
            </w:r>
            <w:r>
              <w:t xml:space="preserve">genes (env-derived fusogens)</w:t>
            </w:r>
          </w:p>
        </w:tc>
        <w:tc>
          <w:tcPr/>
          <w:p>
            <w:pPr>
              <w:pStyle w:val="Compact"/>
            </w:pPr>
            <w:r>
              <w:t xml:space="preserve">Primary discovery shows placenta-specific expression and fusogenic role; multiple lineages show independent captures over ~10–85 My in mammals (review) and conserved murine syncytins</w:t>
            </w:r>
          </w:p>
        </w:tc>
        <w:tc>
          <w:tcPr/>
          <w:p>
            <w:pPr>
              <w:pStyle w:val="Compact"/>
            </w:pPr>
            <w:r>
              <w:t xml:space="preserve">Placental syncytiotrophoblast formation; immune modulation</w:t>
            </w:r>
          </w:p>
        </w:tc>
        <w:tc>
          <w:tcPr/>
          <w:p>
            <w:pPr>
              <w:pStyle w:val="Compact"/>
            </w:pPr>
            <w:r>
              <w:t xml:space="preserve">Strong: repeated convergence + developmental necessity experiments in some systems</w:t>
            </w:r>
          </w:p>
        </w:tc>
        <w:tc>
          <w:tcPr/>
          <w:p>
            <w:pPr>
              <w:pStyle w:val="Compact"/>
            </w:pPr>
            <w:r>
              <w:t xml:space="preserve">Mi et al. 2000; Dupressoir et al. 2005; Heidmann &amp; colleagues review</w:t>
            </w:r>
            <w:r>
              <w:t xml:space="preserve"> </w:t>
            </w:r>
            <w:hyperlink r:id="rId56">
              <w:r>
                <w:rPr>
                  <w:rStyle w:val="Hyperlink"/>
                </w:rPr>
                <w:t xml:space="preserve">[41]</w:t>
              </w:r>
            </w:hyperlink>
          </w:p>
        </w:tc>
      </w:tr>
    </w:tbl>
    <w:bookmarkEnd w:id="57"/>
    <w:bookmarkStart w:id="58" w:name="Xc40e36fbeb345edc4c548fe07edd02db0a3a26a"/>
    <w:p>
      <w:pPr>
        <w:pStyle w:val="Heading3"/>
      </w:pPr>
      <w:r>
        <w:t xml:space="preserve">Animal HGT: “rare genes, common DNA, very common mobile elements”</w:t>
      </w:r>
    </w:p>
    <w:p>
      <w:pPr>
        <w:pStyle w:val="FirstParagraph"/>
      </w:pPr>
      <w:r>
        <w:t xml:space="preserve">A useful synthesis is that</w:t>
      </w:r>
      <w:r>
        <w:t xml:space="preserve"> </w:t>
      </w:r>
      <w:r>
        <w:rPr>
          <w:b/>
          <w:bCs/>
        </w:rPr>
        <w:t xml:space="preserve">protein-coding HGT genes</w:t>
      </w:r>
      <w:r>
        <w:t xml:space="preserve"> </w:t>
      </w:r>
      <w:r>
        <w:t xml:space="preserve">in animals are exceptional but real (aphids, whiteflies, bdelloids, nematodes), while</w:t>
      </w:r>
      <w:r>
        <w:t xml:space="preserve"> </w:t>
      </w:r>
      <w:r>
        <w:rPr>
          <w:b/>
          <w:bCs/>
        </w:rPr>
        <w:t xml:space="preserve">symbiont-derived DNA insertions</w:t>
      </w:r>
      <w:r>
        <w:t xml:space="preserve"> </w:t>
      </w:r>
      <w:r>
        <w:t xml:space="preserve">can be relatively frequent yet often nonfunctional, and</w:t>
      </w:r>
      <w:r>
        <w:t xml:space="preserve"> </w:t>
      </w:r>
      <w:r>
        <w:rPr>
          <w:b/>
          <w:bCs/>
        </w:rPr>
        <w:t xml:space="preserve">HTT (TE transfers)</w:t>
      </w:r>
      <w:r>
        <w:t xml:space="preserve"> </w:t>
      </w:r>
      <w:r>
        <w:t xml:space="preserve">can be common and massively genome-shaping once it occurs.</w:t>
      </w:r>
      <w:r>
        <w:t xml:space="preserve"> </w:t>
      </w:r>
      <w:hyperlink r:id="rId54">
        <w:r>
          <w:rPr>
            <w:rStyle w:val="Hyperlink"/>
          </w:rPr>
          <w:t xml:space="preserve">[42]</w:t>
        </w:r>
      </w:hyperlink>
    </w:p>
    <w:bookmarkEnd w:id="58"/>
    <w:bookmarkEnd w:id="59"/>
    <w:bookmarkStart w:id="63" w:name="Xdd7ffab1b6d3778cc0faee7b427819ee8f86760"/>
    <w:p>
      <w:pPr>
        <w:pStyle w:val="Heading2"/>
      </w:pPr>
      <w:r>
        <w:t xml:space="preserve">Functional consequences and evolutionary significance</w:t>
      </w:r>
    </w:p>
    <w:bookmarkStart w:id="60" w:name="adaptive-benefits"/>
    <w:p>
      <w:pPr>
        <w:pStyle w:val="Heading3"/>
      </w:pPr>
      <w:r>
        <w:t xml:space="preserve">Adaptive benefits</w:t>
      </w:r>
    </w:p>
    <w:p>
      <w:pPr>
        <w:pStyle w:val="FirstParagraph"/>
      </w:pPr>
      <w:r>
        <w:t xml:space="preserve">Some cases cross a high evidentiary bar for adaptive significance because they link: (i) transferred gene → (ii) measurable biochemical activity → (iii) phenotype and/or fitness-related trait.</w:t>
      </w:r>
    </w:p>
    <w:p>
      <w:pPr>
        <w:pStyle w:val="BodyText"/>
      </w:pPr>
      <w:r>
        <w:rPr>
          <w:b/>
          <w:bCs/>
        </w:rPr>
        <w:t xml:space="preserve">Insect herbivory and detoxification:</w:t>
      </w:r>
      <w:r>
        <w:t xml:space="preserve"> </w:t>
      </w:r>
      <w:r>
        <w:t xml:space="preserve">Whiteflies carrying the plant-derived BtPMaT1 detox enzyme show neutralization of phenolic glycosides, and plant-mediated gene silencing yields “full resistance” in tomato—an unusually direct functional chain from HGT to ecological outcome.</w:t>
      </w:r>
      <w:r>
        <w:t xml:space="preserve"> </w:t>
      </w:r>
      <w:hyperlink r:id="rId51">
        <w:r>
          <w:rPr>
            <w:rStyle w:val="Hyperlink"/>
          </w:rPr>
          <w:t xml:space="preserve">[36]</w:t>
        </w:r>
      </w:hyperlink>
    </w:p>
    <w:p>
      <w:pPr>
        <w:pStyle w:val="BodyText"/>
      </w:pPr>
      <w:r>
        <w:rPr>
          <w:b/>
          <w:bCs/>
        </w:rPr>
        <w:t xml:space="preserve">Major developmental innovations:</w:t>
      </w:r>
      <w:r>
        <w:t xml:space="preserve"> </w:t>
      </w:r>
      <w:r>
        <w:t xml:space="preserve">Syncytin captures represent repeated, independent co-option of retroviral fusogens for placentation—an archetype of virus→animal HGT shaping a key mammalian adaptation.</w:t>
      </w:r>
      <w:r>
        <w:t xml:space="preserve"> </w:t>
      </w:r>
      <w:hyperlink r:id="rId56">
        <w:r>
          <w:rPr>
            <w:rStyle w:val="Hyperlink"/>
          </w:rPr>
          <w:t xml:space="preserve">[43]</w:t>
        </w:r>
      </w:hyperlink>
    </w:p>
    <w:p>
      <w:pPr>
        <w:pStyle w:val="BodyText"/>
      </w:pPr>
      <w:r>
        <w:rPr>
          <w:b/>
          <w:bCs/>
        </w:rPr>
        <w:t xml:space="preserve">Sex chromosome turnover:</w:t>
      </w:r>
      <w:r>
        <w:t xml:space="preserve"> </w:t>
      </w:r>
      <w:r>
        <w:t xml:space="preserve">The Wolbachia-derived “f element” in</w:t>
      </w:r>
      <w:r>
        <w:t xml:space="preserve"> </w:t>
      </w:r>
      <w:r>
        <w:rPr>
          <w:i/>
          <w:iCs/>
        </w:rPr>
        <w:t xml:space="preserve">A. vulgare</w:t>
      </w:r>
      <w:r>
        <w:t xml:space="preserve"> </w:t>
      </w:r>
      <w:r>
        <w:t xml:space="preserve">is highlighted as a rare case where endosymbiont→host HGT has demonstrated evolutionary significance, plausibly creating a new W-like determinant and driving transitions in sex determination systems.</w:t>
      </w:r>
      <w:r>
        <w:t xml:space="preserve"> </w:t>
      </w:r>
      <w:hyperlink r:id="rId55">
        <w:r>
          <w:rPr>
            <w:rStyle w:val="Hyperlink"/>
          </w:rPr>
          <w:t xml:space="preserve">[40]</w:t>
        </w:r>
      </w:hyperlink>
    </w:p>
    <w:p>
      <w:pPr>
        <w:pStyle w:val="BodyText"/>
      </w:pPr>
      <w:r>
        <w:rPr>
          <w:b/>
          <w:bCs/>
        </w:rPr>
        <w:t xml:space="preserve">Plant photosynthetic evolution:</w:t>
      </w:r>
      <w:r>
        <w:t xml:space="preserve"> </w:t>
      </w:r>
      <w:r>
        <w:t xml:space="preserve">Recurrent transfers of C4-related genes in</w:t>
      </w:r>
      <w:r>
        <w:t xml:space="preserve"> </w:t>
      </w:r>
      <w:r>
        <w:rPr>
          <w:i/>
          <w:iCs/>
        </w:rPr>
        <w:t xml:space="preserve">Alloteropsis</w:t>
      </w:r>
      <w:r>
        <w:t xml:space="preserve"> </w:t>
      </w:r>
      <w:r>
        <w:t xml:space="preserve">are interpreted as an “evolutionary shortcut” enabling acquisition of already C4-optimized components from other grasses.</w:t>
      </w:r>
      <w:r>
        <w:t xml:space="preserve"> </w:t>
      </w:r>
      <w:hyperlink r:id="rId24">
        <w:r>
          <w:rPr>
            <w:rStyle w:val="Hyperlink"/>
          </w:rPr>
          <w:t xml:space="preserve">[28]</w:t>
        </w:r>
      </w:hyperlink>
    </w:p>
    <w:bookmarkEnd w:id="60"/>
    <w:bookmarkStart w:id="61" w:name="X0e890da22629f5cd4bce4b789854ea30b46ad14"/>
    <w:p>
      <w:pPr>
        <w:pStyle w:val="Heading3"/>
      </w:pPr>
      <w:r>
        <w:t xml:space="preserve">Neutral, cryptic, or merely permissive consequences</w:t>
      </w:r>
    </w:p>
    <w:p>
      <w:pPr>
        <w:pStyle w:val="FirstParagraph"/>
      </w:pPr>
      <w:r>
        <w:t xml:space="preserve">A large fraction of detected foreign DNA in eukaryotic genomes likely behaves neutrally (or near-neutrally) after insertion, especially when it arrives as fragmented symbiont DNA or nonfunctional copies:</w:t>
      </w:r>
    </w:p>
    <w:p>
      <w:pPr>
        <w:pStyle w:val="BodyText"/>
      </w:pPr>
      <w:r>
        <w:rPr>
          <w:b/>
          <w:bCs/>
        </w:rPr>
        <w:t xml:space="preserve">Wolbachia-to-host inserts</w:t>
      </w:r>
      <w:r>
        <w:t xml:space="preserve"> </w:t>
      </w:r>
      <w:r>
        <w:t xml:space="preserve">are often described as “neutrally-evolving fossils” embedded in host genomes, with the f element treated as a standout exception.</w:t>
      </w:r>
      <w:r>
        <w:t xml:space="preserve"> </w:t>
      </w:r>
      <w:hyperlink r:id="rId55">
        <w:r>
          <w:rPr>
            <w:rStyle w:val="Hyperlink"/>
          </w:rPr>
          <w:t xml:space="preserve">[44]</w:t>
        </w:r>
      </w:hyperlink>
    </w:p>
    <w:p>
      <w:pPr>
        <w:pStyle w:val="BodyText"/>
      </w:pPr>
      <w:r>
        <w:rPr>
          <w:b/>
          <w:bCs/>
        </w:rPr>
        <w:t xml:space="preserve">Plant mitochondrial acquisitions</w:t>
      </w:r>
      <w:r>
        <w:t xml:space="preserve"> </w:t>
      </w:r>
      <w:r>
        <w:t xml:space="preserve">often include extensive intergenic foreign DNA; even when whole organellar genomes are acquired, much of the imported sequence may be selectively neutral, with functional consequences concentrated in specific retained genes.</w:t>
      </w:r>
      <w:r>
        <w:t xml:space="preserve"> </w:t>
      </w:r>
      <w:hyperlink r:id="rId36">
        <w:r>
          <w:rPr>
            <w:rStyle w:val="Hyperlink"/>
          </w:rPr>
          <w:t xml:space="preserve">[45]</w:t>
        </w:r>
      </w:hyperlink>
    </w:p>
    <w:bookmarkEnd w:id="61"/>
    <w:bookmarkStart w:id="62" w:name="X3d2c8bbee7bf87fe85721bcc53e46df0eef21a9"/>
    <w:p>
      <w:pPr>
        <w:pStyle w:val="Heading3"/>
      </w:pPr>
      <w:r>
        <w:t xml:space="preserve">Potentially deleterious effects and genome instability</w:t>
      </w:r>
    </w:p>
    <w:p>
      <w:pPr>
        <w:pStyle w:val="FirstParagraph"/>
      </w:pPr>
      <w:r>
        <w:t xml:space="preserve">Direct demonstration of deleterious fitness effects of naturally acquired HGT in plants/animals is comparatively rare (because deleterious insertions are less likely to fix and harder to detect historically). However, two broad mechanisms plausibly generate costs:</w:t>
      </w:r>
    </w:p>
    <w:p>
      <w:pPr>
        <w:pStyle w:val="BodyText"/>
      </w:pPr>
      <w:r>
        <w:rPr>
          <w:b/>
          <w:bCs/>
        </w:rPr>
        <w:t xml:space="preserve">Insertional disruption and regulatory misexpression</w:t>
      </w:r>
      <w:r>
        <w:t xml:space="preserve"> </w:t>
      </w:r>
      <w:r>
        <w:t xml:space="preserve">(especially for TE/virus-derived inserts) and</w:t>
      </w:r>
      <w:r>
        <w:t xml:space="preserve"> </w:t>
      </w:r>
      <w:r>
        <w:rPr>
          <w:b/>
          <w:bCs/>
        </w:rPr>
        <w:t xml:space="preserve">genome instability via repeat expansion</w:t>
      </w:r>
      <w:r>
        <w:t xml:space="preserve">. The genome-shaping potential of TEs is explicitly emphasized in vertebrate HTT analyses and transposon biology syntheses (HTT can seed thousands of copies after a single successful transfer).</w:t>
      </w:r>
      <w:r>
        <w:t xml:space="preserve"> </w:t>
      </w:r>
      <w:hyperlink r:id="rId38">
        <w:r>
          <w:rPr>
            <w:rStyle w:val="Hyperlink"/>
          </w:rPr>
          <w:t xml:space="preserve">[46]</w:t>
        </w:r>
      </w:hyperlink>
    </w:p>
    <w:bookmarkEnd w:id="62"/>
    <w:bookmarkEnd w:id="63"/>
    <w:bookmarkStart w:id="68" w:name="X14b4300e399bf5c4785cb5dc9d27727819e9188"/>
    <w:p>
      <w:pPr>
        <w:pStyle w:val="Heading2"/>
      </w:pPr>
      <w:r>
        <w:t xml:space="preserve">Mechanisms, vectors, and barriers in multicellular eukaryotes</w:t>
      </w:r>
    </w:p>
    <w:bookmarkStart w:id="66" w:name="Xff82bf9538fec957f264ef081ca206aaa58b5ca"/>
    <w:p>
      <w:pPr>
        <w:pStyle w:val="Heading3"/>
      </w:pPr>
      <w:r>
        <w:t xml:space="preserve">Mechanisms and vectors that plausibly deliver DNA into heritable lineages</w:t>
      </w:r>
    </w:p>
    <w:p>
      <w:pPr>
        <w:pStyle w:val="SourceCode"/>
      </w:pPr>
      <w:r>
        <w:rPr>
          <w:rStyle w:val="VerbatimChar"/>
        </w:rPr>
        <w:t xml:space="preserve">flowchart TD</w:t>
      </w:r>
      <w:r>
        <w:br/>
      </w:r>
      <w:r>
        <w:rPr>
          <w:rStyle w:val="VerbatimChar"/>
        </w:rPr>
        <w:t xml:space="preserve">  A[Donor DNA source] --&gt; B{Vector / interface}</w:t>
      </w:r>
      <w:r>
        <w:br/>
      </w:r>
      <w:r>
        <w:rPr>
          <w:rStyle w:val="VerbatimChar"/>
        </w:rPr>
        <w:t xml:space="preserve">  B --&gt;|Plant parasites (haustorium)| C[Cell-to-cell connectivity&lt;br/&gt;macromolecule traffic]</w:t>
      </w:r>
      <w:r>
        <w:br/>
      </w:r>
      <w:r>
        <w:rPr>
          <w:rStyle w:val="VerbatimChar"/>
        </w:rPr>
        <w:t xml:space="preserve">  B --&gt;|Grafting / tissue fusion| D[Exchange of organelles, cells,&lt;br/&gt;sometimes nuclear genomes]</w:t>
      </w:r>
      <w:r>
        <w:br/>
      </w:r>
      <w:r>
        <w:rPr>
          <w:rStyle w:val="VerbatimChar"/>
        </w:rPr>
        <w:t xml:space="preserve">  B --&gt;|Endosymbionts in germline tissues| E[Symbiont DNA leakage&lt;br/&gt;into host nucleus]</w:t>
      </w:r>
      <w:r>
        <w:br/>
      </w:r>
      <w:r>
        <w:rPr>
          <w:rStyle w:val="VerbatimChar"/>
        </w:rPr>
        <w:t xml:space="preserve">  B --&gt;|Viruses / retroelements| F[Integration machinery&lt;br/&gt;+ high copy intermediates]</w:t>
      </w:r>
      <w:r>
        <w:br/>
      </w:r>
      <w:r>
        <w:rPr>
          <w:rStyle w:val="VerbatimChar"/>
        </w:rPr>
        <w:t xml:space="preserve">  B --&gt;|Transposable elements| G[Mobile DNA with integration capacity]</w:t>
      </w:r>
      <w:r>
        <w:br/>
      </w:r>
      <w:r>
        <w:rPr>
          <w:rStyle w:val="VerbatimChar"/>
        </w:rPr>
        <w:t xml:space="preserve">  B --&gt;|Agrobacterium| H[Direct DNA delivery (T-DNA)]</w:t>
      </w:r>
      <w:r>
        <w:br/>
      </w:r>
      <w:r>
        <w:rPr>
          <w:rStyle w:val="VerbatimChar"/>
        </w:rPr>
        <w:t xml:space="preserve">  C --&gt; I[Integration + fixation]</w:t>
      </w:r>
      <w:r>
        <w:br/>
      </w:r>
      <w:r>
        <w:rPr>
          <w:rStyle w:val="VerbatimChar"/>
        </w:rPr>
        <w:t xml:space="preserve">  D --&gt; I</w:t>
      </w:r>
      <w:r>
        <w:br/>
      </w:r>
      <w:r>
        <w:rPr>
          <w:rStyle w:val="VerbatimChar"/>
        </w:rPr>
        <w:t xml:space="preserve">  E --&gt; I</w:t>
      </w:r>
      <w:r>
        <w:br/>
      </w:r>
      <w:r>
        <w:rPr>
          <w:rStyle w:val="VerbatimChar"/>
        </w:rPr>
        <w:t xml:space="preserve">  F --&gt; I</w:t>
      </w:r>
      <w:r>
        <w:br/>
      </w:r>
      <w:r>
        <w:rPr>
          <w:rStyle w:val="VerbatimChar"/>
        </w:rPr>
        <w:t xml:space="preserve">  G --&gt; I</w:t>
      </w:r>
      <w:r>
        <w:br/>
      </w:r>
      <w:r>
        <w:rPr>
          <w:rStyle w:val="VerbatimChar"/>
        </w:rPr>
        <w:t xml:space="preserve">  H --&gt; I</w:t>
      </w:r>
      <w:r>
        <w:br/>
      </w:r>
      <w:r>
        <w:rPr>
          <w:rStyle w:val="VerbatimChar"/>
        </w:rPr>
        <w:t xml:space="preserve">  I --&gt; J[Outcomes: functional gene, neutral fossil, or harmful insertion]</w:t>
      </w:r>
    </w:p>
    <w:p>
      <w:pPr>
        <w:pStyle w:val="FirstParagraph"/>
      </w:pPr>
      <w:r>
        <w:t xml:space="preserve">This flowchart reflects mechanisms explicitly supported by plant and animal case studies:</w:t>
      </w:r>
    </w:p>
    <w:p>
      <w:pPr>
        <w:pStyle w:val="BodyText"/>
      </w:pPr>
      <w:r>
        <w:rPr>
          <w:b/>
          <w:bCs/>
        </w:rPr>
        <w:t xml:space="preserve">Parasitism interfaces (plants):</w:t>
      </w:r>
      <w:r>
        <w:t xml:space="preserve"> </w:t>
      </w:r>
      <w:r>
        <w:t xml:space="preserve">Cuscuta-host systems show extensive nucleic acid exchange and are associated with high levels of host-to-parasite HGT in parasitic plants.</w:t>
      </w:r>
      <w:r>
        <w:t xml:space="preserve"> </w:t>
      </w:r>
      <w:hyperlink r:id="rId26">
        <w:r>
          <w:rPr>
            <w:rStyle w:val="Hyperlink"/>
          </w:rPr>
          <w:t xml:space="preserve">[47]</w:t>
        </w:r>
      </w:hyperlink>
    </w:p>
    <w:p>
      <w:pPr>
        <w:pStyle w:val="BodyText"/>
      </w:pPr>
      <w:r>
        <w:rPr>
          <w:b/>
          <w:bCs/>
        </w:rPr>
        <w:t xml:space="preserve">Grafting and cell fusion (plants):</w:t>
      </w:r>
      <w:r>
        <w:t xml:space="preserve"> </w:t>
      </w:r>
      <w:r>
        <w:t xml:space="preserve">Experiments show complete chloroplast genomes can move across graft junctions, and even entire nuclear genomes can transfer and yield new polyploid plant lineages, suggesting natural grafts could enable non-sexual genome transfers.</w:t>
      </w:r>
      <w:r>
        <w:t xml:space="preserve"> </w:t>
      </w:r>
      <w:hyperlink r:id="rId47">
        <w:r>
          <w:rPr>
            <w:rStyle w:val="Hyperlink"/>
          </w:rPr>
          <w:t xml:space="preserve">[48]</w:t>
        </w:r>
      </w:hyperlink>
    </w:p>
    <w:p>
      <w:pPr>
        <w:pStyle w:val="BodyText"/>
      </w:pPr>
      <w:r>
        <w:rPr>
          <w:b/>
          <w:bCs/>
        </w:rPr>
        <w:t xml:space="preserve">Endosymbionts (animals):</w:t>
      </w:r>
      <w:r>
        <w:t xml:space="preserve"> </w:t>
      </w:r>
      <w:r>
        <w:t xml:space="preserve">Wolbachia resident in reproductive tissues provides a plausible route to heritable symbiont→host DNA transfer, with confirmed inserts spanning from small fragments to &gt;1 Mb.</w:t>
      </w:r>
      <w:r>
        <w:t xml:space="preserve"> </w:t>
      </w:r>
      <w:hyperlink r:id="rId54">
        <w:r>
          <w:rPr>
            <w:rStyle w:val="Hyperlink"/>
          </w:rPr>
          <w:t xml:space="preserve">[49]</w:t>
        </w:r>
      </w:hyperlink>
    </w:p>
    <w:p>
      <w:pPr>
        <w:pStyle w:val="BodyText"/>
      </w:pPr>
      <w:r>
        <w:rPr>
          <w:b/>
          <w:bCs/>
        </w:rPr>
        <w:t xml:space="preserve">Viruses and mobile elements:</w:t>
      </w:r>
      <w:r>
        <w:t xml:space="preserve"> </w:t>
      </w:r>
      <w:r>
        <w:t xml:space="preserve">Reviews argue viruses are major vectors of horizontal transfer in eukaryotes, especially for TEs, and large-scale TE transfer has been detected across major eukaryotic lineages.</w:t>
      </w:r>
      <w:r>
        <w:t xml:space="preserve"> </w:t>
      </w:r>
      <w:hyperlink r:id="rId64">
        <w:r>
          <w:rPr>
            <w:rStyle w:val="Hyperlink"/>
          </w:rPr>
          <w:t xml:space="preserve">[50]</w:t>
        </w:r>
      </w:hyperlink>
    </w:p>
    <w:p>
      <w:pPr>
        <w:pStyle w:val="BodyText"/>
      </w:pPr>
      <w:r>
        <w:rPr>
          <w:b/>
          <w:bCs/>
        </w:rPr>
        <w:t xml:space="preserve">Agrobacterium (plants):</w:t>
      </w:r>
      <w:r>
        <w:t xml:space="preserve"> </w:t>
      </w:r>
      <w:r>
        <w:t xml:space="preserve">Sweet potato provides a natural example of bacterial DNA transfer and expression in a crop lineage, consistent with Agrobacterium’s known biology as a DNA-transferring plant pathogen.</w:t>
      </w:r>
      <w:r>
        <w:t xml:space="preserve"> </w:t>
      </w:r>
      <w:hyperlink r:id="rId65">
        <w:r>
          <w:rPr>
            <w:rStyle w:val="Hyperlink"/>
          </w:rPr>
          <w:t xml:space="preserve">[51]</w:t>
        </w:r>
      </w:hyperlink>
    </w:p>
    <w:bookmarkEnd w:id="66"/>
    <w:bookmarkStart w:id="67" w:name="Xfb1b25cb32615cfe768f840be257e30d5684e03"/>
    <w:p>
      <w:pPr>
        <w:pStyle w:val="Heading3"/>
      </w:pPr>
      <w:r>
        <w:t xml:space="preserve">Barriers to HGT in multicellular eukaryotes</w:t>
      </w:r>
    </w:p>
    <w:p>
      <w:pPr>
        <w:pStyle w:val="FirstParagraph"/>
      </w:pPr>
      <w:r>
        <w:t xml:space="preserve">The strongest conceptual barriers in animals are emphasized directly in foundational bdelloid work: despite many sequenced animal genomes, documented HGT is rare in metazoans “at least in part because of the sequestration of the germ line.”</w:t>
      </w:r>
      <w:r>
        <w:t xml:space="preserve"> </w:t>
      </w:r>
      <w:hyperlink r:id="rId23">
        <w:r>
          <w:rPr>
            <w:rStyle w:val="Hyperlink"/>
          </w:rPr>
          <w:t xml:space="preserve">[16]</w:t>
        </w:r>
      </w:hyperlink>
    </w:p>
    <w:p>
      <w:pPr>
        <w:pStyle w:val="BodyText"/>
      </w:pPr>
      <w:r>
        <w:t xml:space="preserve">More broadly, barriers include:</w:t>
      </w:r>
    </w:p>
    <w:p>
      <w:pPr>
        <w:pStyle w:val="BodyText"/>
      </w:pPr>
      <w:r>
        <w:rPr>
          <w:b/>
          <w:bCs/>
        </w:rPr>
        <w:t xml:space="preserve">Physical/developmental barriers:</w:t>
      </w:r>
      <w:r>
        <w:t xml:space="preserve"> </w:t>
      </w:r>
      <w:r>
        <w:t xml:space="preserve">germline sequestration in animals; many transfers into soma are evolutionary dead ends unless they reach germ cells.</w:t>
      </w:r>
      <w:r>
        <w:t xml:space="preserve"> </w:t>
      </w:r>
      <w:hyperlink r:id="rId23">
        <w:r>
          <w:rPr>
            <w:rStyle w:val="Hyperlink"/>
          </w:rPr>
          <w:t xml:space="preserve">[16]</w:t>
        </w:r>
      </w:hyperlink>
    </w:p>
    <w:p>
      <w:pPr>
        <w:pStyle w:val="BodyText"/>
      </w:pPr>
      <w:r>
        <w:rPr>
          <w:b/>
          <w:bCs/>
        </w:rPr>
        <w:t xml:space="preserve">Molecular barriers:</w:t>
      </w:r>
      <w:r>
        <w:t xml:space="preserve"> </w:t>
      </w:r>
      <w:r>
        <w:t xml:space="preserve">foreign DNA must enter nuclei, evade degradation/immune responses, integrate, and be inherited and maintained; successful integration is aided by integration-capable agents (retroviruses/TEs) or DNA-repair contexts.</w:t>
      </w:r>
      <w:r>
        <w:t xml:space="preserve"> </w:t>
      </w:r>
      <w:hyperlink r:id="rId64">
        <w:r>
          <w:rPr>
            <w:rStyle w:val="Hyperlink"/>
          </w:rPr>
          <w:t xml:space="preserve">[52]</w:t>
        </w:r>
      </w:hyperlink>
    </w:p>
    <w:p>
      <w:pPr>
        <w:pStyle w:val="BodyText"/>
      </w:pPr>
      <w:r>
        <w:rPr>
          <w:b/>
          <w:bCs/>
        </w:rPr>
        <w:t xml:space="preserve">Regulatory compatibility barriers:</w:t>
      </w:r>
      <w:r>
        <w:t xml:space="preserve"> </w:t>
      </w:r>
      <w:r>
        <w:t xml:space="preserve">even if integrated, foreign genes must acquire appropriate regulation (promoters, splicing, targeting peptides), which is why evidence of spliceosomal introns, correct splicing, and host-like context is so important in validated cases.</w:t>
      </w:r>
      <w:r>
        <w:t xml:space="preserve"> </w:t>
      </w:r>
      <w:hyperlink r:id="rId23">
        <w:r>
          <w:rPr>
            <w:rStyle w:val="Hyperlink"/>
          </w:rPr>
          <w:t xml:space="preserve">[53]</w:t>
        </w:r>
      </w:hyperlink>
    </w:p>
    <w:p>
      <w:pPr>
        <w:pStyle w:val="BodyText"/>
      </w:pPr>
      <w:r>
        <w:rPr>
          <w:b/>
          <w:bCs/>
        </w:rPr>
        <w:t xml:space="preserve">Compartmental constraints:</w:t>
      </w:r>
      <w:r>
        <w:t xml:space="preserve"> </w:t>
      </w:r>
      <w:r>
        <w:t xml:space="preserve">plant mitochondria fuse/recombine in ways that plastids generally do not, contributing to different expected outcomes (mosaic mitochondrial genomes vs whole-plastome transfer).</w:t>
      </w:r>
      <w:r>
        <w:t xml:space="preserve"> </w:t>
      </w:r>
      <w:hyperlink r:id="rId47">
        <w:r>
          <w:rPr>
            <w:rStyle w:val="Hyperlink"/>
          </w:rPr>
          <w:t xml:space="preserve">[54]</w:t>
        </w:r>
      </w:hyperlink>
    </w:p>
    <w:bookmarkEnd w:id="67"/>
    <w:bookmarkEnd w:id="68"/>
    <w:bookmarkStart w:id="77" w:name="Xbe4c6c32330e051032c7cbfd5d6d2d8d6ca218e"/>
    <w:p>
      <w:pPr>
        <w:pStyle w:val="Heading2"/>
      </w:pPr>
      <w:r>
        <w:t xml:space="preserve">Timeline of key discoveries, methodological pitfalls, and open questions</w:t>
      </w:r>
    </w:p>
    <w:bookmarkStart w:id="71" w:name="timeline-of-major-milestones"/>
    <w:p>
      <w:pPr>
        <w:pStyle w:val="Heading3"/>
      </w:pPr>
      <w:r>
        <w:t xml:space="preserve">Timeline of major milestones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Discovery / turning point</w:t>
            </w:r>
          </w:p>
        </w:tc>
        <w:tc>
          <w:tcPr/>
          <w:p>
            <w:pPr>
              <w:pStyle w:val="Compact"/>
            </w:pPr>
            <w:r>
              <w:t xml:space="preserve">Why it mattered</w:t>
            </w:r>
          </w:p>
        </w:tc>
        <w:tc>
          <w:tcPr/>
          <w:p>
            <w:pPr>
              <w:pStyle w:val="Compact"/>
            </w:pPr>
            <w:r>
              <w:t xml:space="preserve">Key references</w:t>
            </w:r>
          </w:p>
        </w:tc>
      </w:tr>
      <w:tr>
        <w:tc>
          <w:tcPr/>
          <w:p>
            <w:pPr>
              <w:pStyle w:val="Compact"/>
            </w:pPr>
            <w:r>
              <w:t xml:space="preserve">Late 1990s–early 2000s</w:t>
            </w:r>
          </w:p>
        </w:tc>
        <w:tc>
          <w:tcPr/>
          <w:p>
            <w:pPr>
              <w:pStyle w:val="Compact"/>
            </w:pPr>
            <w:r>
              <w:t xml:space="preserve">Early plant organellar HGT signals (e.g., mitochondrial intron/gene transfers) foreshadow broader recognition</w:t>
            </w:r>
          </w:p>
        </w:tc>
        <w:tc>
          <w:tcPr/>
          <w:p>
            <w:pPr>
              <w:pStyle w:val="Compact"/>
            </w:pPr>
            <w:r>
              <w:t xml:space="preserve">Established that standard plant mitochondrial loci can move across deep plant divergences</w:t>
            </w:r>
          </w:p>
        </w:tc>
        <w:tc>
          <w:tcPr/>
          <w:p>
            <w:pPr>
              <w:pStyle w:val="Compact"/>
            </w:pPr>
            <w:r>
              <w:t xml:space="preserve">Review of early work</w:t>
            </w:r>
            <w:r>
              <w:t xml:space="preserve"> </w:t>
            </w:r>
            <w:hyperlink r:id="rId31">
              <w:r>
                <w:rPr>
                  <w:rStyle w:val="Hyperlink"/>
                </w:rPr>
                <w:t xml:space="preserve">[55]</w:t>
              </w:r>
            </w:hyperlink>
          </w:p>
        </w:tc>
      </w:tr>
      <w:tr>
        <w:tc>
          <w:tcPr/>
          <w:p>
            <w:pPr>
              <w:pStyle w:val="Compact"/>
            </w:pPr>
            <w:r>
              <w:t xml:space="preserve">2003</w:t>
            </w:r>
          </w:p>
        </w:tc>
        <w:tc>
          <w:tcPr/>
          <w:p>
            <w:pPr>
              <w:pStyle w:val="Compact"/>
            </w:pPr>
            <w:r>
              <w:t xml:space="preserve">“Widespread horizontal transfer of mitochondrial genes in flowering plants”</w:t>
            </w:r>
          </w:p>
        </w:tc>
        <w:tc>
          <w:tcPr/>
          <w:p>
            <w:pPr>
              <w:pStyle w:val="Compact"/>
            </w:pPr>
            <w:r>
              <w:t xml:space="preserve">Canonical evidence that plant mitochondrial genes undergo evolutionarily frequent HGT</w:t>
            </w:r>
          </w:p>
        </w:tc>
        <w:tc>
          <w:tcPr/>
          <w:p>
            <w:pPr>
              <w:pStyle w:val="Compact"/>
            </w:pPr>
            <w:r>
              <w:t xml:space="preserve">Bergthorsson et al. 2003 (access point)</w:t>
            </w:r>
            <w:r>
              <w:t xml:space="preserve"> </w:t>
            </w:r>
            <w:hyperlink r:id="rId22">
              <w:r>
                <w:rPr>
                  <w:rStyle w:val="Hyperlink"/>
                </w:rPr>
                <w:t xml:space="preserve">[56]</w:t>
              </w:r>
            </w:hyperlink>
          </w:p>
        </w:tc>
      </w:tr>
      <w:tr>
        <w:tc>
          <w:tcPr/>
          <w:p>
            <w:pPr>
              <w:pStyle w:val="Compact"/>
            </w:pPr>
            <w:r>
              <w:t xml:space="preserve">2004</w:t>
            </w:r>
          </w:p>
        </w:tc>
        <w:tc>
          <w:tcPr/>
          <w:p>
            <w:pPr>
              <w:pStyle w:val="Compact"/>
            </w:pPr>
            <w:r>
              <w:t xml:space="preserve">Massive mitochondrial gene transfer into</w:t>
            </w:r>
            <w:r>
              <w:t xml:space="preserve"> </w:t>
            </w:r>
            <w:r>
              <w:rPr>
                <w:i/>
                <w:iCs/>
              </w:rPr>
              <w:t xml:space="preserve">Amborella</w:t>
            </w:r>
            <w:r>
              <w:t xml:space="preserve"> </w:t>
            </w:r>
            <w:r>
              <w:t xml:space="preserve">(gene-level sampling)</w:t>
            </w:r>
          </w:p>
        </w:tc>
        <w:tc>
          <w:tcPr/>
          <w:p>
            <w:pPr>
              <w:pStyle w:val="Compact"/>
            </w:pPr>
            <w:r>
              <w:t xml:space="preserve">Demonstrated large-scale foreign gene presence in an angiosperm mitochondrion prior to full mt genome era</w:t>
            </w:r>
          </w:p>
        </w:tc>
        <w:tc>
          <w:tcPr/>
          <w:p>
            <w:pPr>
              <w:pStyle w:val="Compact"/>
            </w:pPr>
            <w:r>
              <w:t xml:space="preserve">Bergthorsson et al. 2004</w:t>
            </w:r>
            <w:r>
              <w:t xml:space="preserve"> </w:t>
            </w:r>
            <w:hyperlink r:id="rId69">
              <w:r>
                <w:rPr>
                  <w:rStyle w:val="Hyperlink"/>
                </w:rPr>
                <w:t xml:space="preserve">[57]</w:t>
              </w:r>
            </w:hyperlink>
          </w:p>
        </w:tc>
      </w:tr>
      <w:tr>
        <w:tc>
          <w:tcPr/>
          <w:p>
            <w:pPr>
              <w:pStyle w:val="Compact"/>
            </w:pPr>
            <w:r>
              <w:t xml:space="preserve">2007</w:t>
            </w:r>
          </w:p>
        </w:tc>
        <w:tc>
          <w:tcPr/>
          <w:p>
            <w:pPr>
              <w:pStyle w:val="Compact"/>
            </w:pPr>
            <w:r>
              <w:t xml:space="preserve">Wolbachia→animal genome transfer documented across insects and nematodes</w:t>
            </w:r>
          </w:p>
        </w:tc>
        <w:tc>
          <w:tcPr/>
          <w:p>
            <w:pPr>
              <w:pStyle w:val="Compact"/>
            </w:pPr>
            <w:r>
              <w:t xml:space="preserve">Made endosymbiont-mediated DNA transfer a mainstream mechanism in animals</w:t>
            </w:r>
          </w:p>
        </w:tc>
        <w:tc>
          <w:tcPr/>
          <w:p>
            <w:pPr>
              <w:pStyle w:val="Compact"/>
            </w:pPr>
            <w:r>
              <w:t xml:space="preserve">Dunning Hotopp et al. 2007 (summary)</w:t>
            </w:r>
            <w:r>
              <w:t xml:space="preserve"> </w:t>
            </w:r>
            <w:hyperlink r:id="rId54">
              <w:r>
                <w:rPr>
                  <w:rStyle w:val="Hyperlink"/>
                </w:rPr>
                <w:t xml:space="preserve">[39]</w:t>
              </w:r>
            </w:hyperlink>
          </w:p>
        </w:tc>
      </w:tr>
      <w:tr>
        <w:tc>
          <w:tcPr/>
          <w:p>
            <w:pPr>
              <w:pStyle w:val="Compact"/>
            </w:pPr>
            <w:r>
              <w:t xml:space="preserve">2008</w:t>
            </w:r>
          </w:p>
        </w:tc>
        <w:tc>
          <w:tcPr/>
          <w:p>
            <w:pPr>
              <w:pStyle w:val="Compact"/>
            </w:pPr>
            <w:r>
              <w:t xml:space="preserve">Bdelloid rotifer “massive HGT” with telomeric clustering + functional assay</w:t>
            </w:r>
          </w:p>
        </w:tc>
        <w:tc>
          <w:tcPr/>
          <w:p>
            <w:pPr>
              <w:pStyle w:val="Compact"/>
            </w:pPr>
            <w:r>
              <w:t xml:space="preserve">Landmark animal HGT case with FISH + expression + enzyme activity</w:t>
            </w:r>
          </w:p>
        </w:tc>
        <w:tc>
          <w:tcPr/>
          <w:p>
            <w:pPr>
              <w:pStyle w:val="Compact"/>
            </w:pPr>
            <w:r>
              <w:t xml:space="preserve">Gladyshev et al. 2008</w:t>
            </w:r>
            <w:r>
              <w:t xml:space="preserve"> </w:t>
            </w:r>
            <w:hyperlink r:id="rId23">
              <w:r>
                <w:rPr>
                  <w:rStyle w:val="Hyperlink"/>
                </w:rPr>
                <w:t xml:space="preserve">[34]</w:t>
              </w:r>
            </w:hyperlink>
          </w:p>
        </w:tc>
      </w:tr>
      <w:tr>
        <w:tc>
          <w:tcPr/>
          <w:p>
            <w:pPr>
              <w:pStyle w:val="Compact"/>
            </w:pPr>
            <w:r>
              <w:t xml:space="preserve">2009</w:t>
            </w:r>
          </w:p>
        </w:tc>
        <w:tc>
          <w:tcPr/>
          <w:p>
            <w:pPr>
              <w:pStyle w:val="Compact"/>
            </w:pPr>
            <w:r>
              <w:t xml:space="preserve">Grafting shown to exchange genetic material between plant cells</w:t>
            </w:r>
          </w:p>
        </w:tc>
        <w:tc>
          <w:tcPr/>
          <w:p>
            <w:pPr>
              <w:pStyle w:val="Compact"/>
            </w:pPr>
            <w:r>
              <w:t xml:space="preserve">Introduced graft junctions as plausible HGT routes</w:t>
            </w:r>
          </w:p>
        </w:tc>
        <w:tc>
          <w:tcPr/>
          <w:p>
            <w:pPr>
              <w:pStyle w:val="Compact"/>
            </w:pPr>
            <w:r>
              <w:t xml:space="preserve">Stegemann &amp; Bock 2009</w:t>
            </w:r>
            <w:r>
              <w:t xml:space="preserve"> </w:t>
            </w:r>
            <w:hyperlink r:id="rId70">
              <w:r>
                <w:rPr>
                  <w:rStyle w:val="Hyperlink"/>
                </w:rPr>
                <w:t xml:space="preserve">[58]</w:t>
              </w:r>
            </w:hyperlink>
          </w:p>
        </w:tc>
      </w:tr>
      <w:tr>
        <w:tc>
          <w:tcPr/>
          <w:p>
            <w:pPr>
              <w:pStyle w:val="Compact"/>
            </w:pPr>
            <w:r>
              <w:t xml:space="preserve">2010</w:t>
            </w:r>
          </w:p>
        </w:tc>
        <w:tc>
          <w:tcPr/>
          <w:p>
            <w:pPr>
              <w:pStyle w:val="Compact"/>
            </w:pPr>
            <w:r>
              <w:t xml:space="preserve">(Plants)</w:t>
            </w:r>
            <w:r>
              <w:t xml:space="preserve"> </w:t>
            </w:r>
            <w:r>
              <w:rPr>
                <w:i/>
                <w:iCs/>
              </w:rPr>
              <w:t xml:space="preserve">Striga</w:t>
            </w:r>
            <w:r>
              <w:t xml:space="preserve"> </w:t>
            </w:r>
            <w:r>
              <w:t xml:space="preserve">nuclear HGT; (Animals) aphid carotenoid genes from fungi</w:t>
            </w:r>
          </w:p>
        </w:tc>
        <w:tc>
          <w:tcPr/>
          <w:p>
            <w:pPr>
              <w:pStyle w:val="Compact"/>
            </w:pPr>
            <w:r>
              <w:t xml:space="preserve">Two iconic cross-kingdom/nuclear HGT examples with strong phylogenetic signals</w:t>
            </w:r>
          </w:p>
        </w:tc>
        <w:tc>
          <w:tcPr/>
          <w:p>
            <w:pPr>
              <w:pStyle w:val="Compact"/>
            </w:pPr>
            <w:r>
              <w:t xml:space="preserve">Yoshida et al. 2010; Moran &amp; Jarvik 2010</w:t>
            </w:r>
            <w:r>
              <w:t xml:space="preserve"> </w:t>
            </w:r>
            <w:hyperlink r:id="rId44">
              <w:r>
                <w:rPr>
                  <w:rStyle w:val="Hyperlink"/>
                </w:rPr>
                <w:t xml:space="preserve">[59]</w:t>
              </w:r>
            </w:hyperlink>
          </w:p>
        </w:tc>
      </w:tr>
      <w:tr>
        <w:tc>
          <w:tcPr/>
          <w:p>
            <w:pPr>
              <w:pStyle w:val="Compact"/>
            </w:pPr>
            <w:r>
              <w:t xml:space="preserve">2012</w:t>
            </w:r>
          </w:p>
        </w:tc>
        <w:tc>
          <w:tcPr/>
          <w:p>
            <w:pPr>
              <w:pStyle w:val="Compact"/>
            </w:pPr>
            <w:r>
              <w:t xml:space="preserve">Recurrent lateral gene transfers contribute to</w:t>
            </w:r>
            <w:r>
              <w:t xml:space="preserve"> </w:t>
            </w:r>
            <w:r>
              <w:rPr>
                <w:i/>
                <w:iCs/>
              </w:rPr>
              <w:t xml:space="preserve">Alloteropsis</w:t>
            </w:r>
            <w:r>
              <w:t xml:space="preserve"> </w:t>
            </w:r>
            <w:r>
              <w:t xml:space="preserve">C4 evolution</w:t>
            </w:r>
          </w:p>
        </w:tc>
        <w:tc>
          <w:tcPr/>
          <w:p>
            <w:pPr>
              <w:pStyle w:val="Compact"/>
            </w:pPr>
            <w:r>
              <w:t xml:space="preserve">Positioned HGT as a contributor to complex trait evolution in plants</w:t>
            </w:r>
          </w:p>
        </w:tc>
        <w:tc>
          <w:tcPr/>
          <w:p>
            <w:pPr>
              <w:pStyle w:val="Compact"/>
            </w:pPr>
            <w:r>
              <w:t xml:space="preserve">Christin et al. 2012</w:t>
            </w:r>
            <w:r>
              <w:t xml:space="preserve"> </w:t>
            </w:r>
            <w:hyperlink r:id="rId24">
              <w:r>
                <w:rPr>
                  <w:rStyle w:val="Hyperlink"/>
                </w:rPr>
                <w:t xml:space="preserve">[60]</w:t>
              </w:r>
            </w:hyperlink>
          </w:p>
        </w:tc>
      </w:tr>
      <w:tr>
        <w:tc>
          <w:tcPr/>
          <w:p>
            <w:pPr>
              <w:pStyle w:val="Compact"/>
            </w:pPr>
            <w:r>
              <w:t xml:space="preserve">2013</w:t>
            </w:r>
          </w:p>
        </w:tc>
        <w:tc>
          <w:tcPr/>
          <w:p>
            <w:pPr>
              <w:pStyle w:val="Compact"/>
            </w:pPr>
            <w:r>
              <w:t xml:space="preserve">Mealybug symbiosis depends on dozens of bacterial genes in host genome; sea slug HGT claim challenged</w:t>
            </w:r>
          </w:p>
        </w:tc>
        <w:tc>
          <w:tcPr/>
          <w:p>
            <w:pPr>
              <w:pStyle w:val="Compact"/>
            </w:pPr>
            <w:r>
              <w:t xml:space="preserve">Showed HGT can scaffold complex symbioses; also highlighted need for germline evidence in animals</w:t>
            </w:r>
          </w:p>
        </w:tc>
        <w:tc>
          <w:tcPr/>
          <w:p>
            <w:pPr>
              <w:pStyle w:val="Compact"/>
            </w:pPr>
            <w:r>
              <w:t xml:space="preserve">Husnik et al. 2013; Bhattacharya et al. 2013</w:t>
            </w:r>
            <w:r>
              <w:t xml:space="preserve"> </w:t>
            </w:r>
            <w:hyperlink r:id="rId52">
              <w:r>
                <w:rPr>
                  <w:rStyle w:val="Hyperlink"/>
                </w:rPr>
                <w:t xml:space="preserve">[61]</w:t>
              </w:r>
            </w:hyperlink>
          </w:p>
        </w:tc>
      </w:tr>
      <w:tr>
        <w:tc>
          <w:tcPr/>
          <w:p>
            <w:pPr>
              <w:pStyle w:val="Compact"/>
            </w:pPr>
            <w:r>
              <w:t xml:space="preserve">2014</w:t>
            </w:r>
          </w:p>
        </w:tc>
        <w:tc>
          <w:tcPr/>
          <w:p>
            <w:pPr>
              <w:pStyle w:val="Compact"/>
            </w:pPr>
            <w:r>
              <w:t xml:space="preserve">Asexual “horizontal nuclear genome transfer” via grafting yields new polyploid</w:t>
            </w:r>
          </w:p>
        </w:tc>
        <w:tc>
          <w:tcPr/>
          <w:p>
            <w:pPr>
              <w:pStyle w:val="Compact"/>
            </w:pPr>
            <w:r>
              <w:t xml:space="preserve">Put speciation-scale consequences on the table for plants</w:t>
            </w:r>
          </w:p>
        </w:tc>
        <w:tc>
          <w:tcPr/>
          <w:p>
            <w:pPr>
              <w:pStyle w:val="Compact"/>
            </w:pPr>
            <w:r>
              <w:t xml:space="preserve">Fuentes et al. 2014</w:t>
            </w:r>
            <w:r>
              <w:t xml:space="preserve"> </w:t>
            </w:r>
            <w:hyperlink r:id="rId46">
              <w:r>
                <w:rPr>
                  <w:rStyle w:val="Hyperlink"/>
                </w:rPr>
                <w:t xml:space="preserve">[30]</w:t>
              </w:r>
            </w:hyperlink>
          </w:p>
        </w:tc>
      </w:tr>
      <w:tr>
        <w:tc>
          <w:tcPr/>
          <w:p>
            <w:pPr>
              <w:pStyle w:val="Compact"/>
            </w:pPr>
            <w:r>
              <w:t xml:space="preserve">2015–2017</w:t>
            </w:r>
          </w:p>
        </w:tc>
        <w:tc>
          <w:tcPr/>
          <w:p>
            <w:pPr>
              <w:pStyle w:val="Compact"/>
            </w:pPr>
            <w:r>
              <w:t xml:space="preserve">High-profile HGT controversies (tardigrade; humans) and rebuttals</w:t>
            </w:r>
          </w:p>
        </w:tc>
        <w:tc>
          <w:tcPr/>
          <w:p>
            <w:pPr>
              <w:pStyle w:val="Compact"/>
            </w:pPr>
            <w:r>
              <w:t xml:space="preserve">Cemented contamination/assembly artifacts as central methodological issues</w:t>
            </w:r>
          </w:p>
        </w:tc>
        <w:tc>
          <w:tcPr/>
          <w:p>
            <w:pPr>
              <w:pStyle w:val="Compact"/>
            </w:pPr>
            <w:r>
              <w:t xml:space="preserve">Boothby 2015; Koutsovoulos 2016; Crisp 2015; Salzberg 2017</w:t>
            </w:r>
            <w:r>
              <w:t xml:space="preserve"> </w:t>
            </w:r>
            <w:hyperlink r:id="rId25">
              <w:r>
                <w:rPr>
                  <w:rStyle w:val="Hyperlink"/>
                </w:rPr>
                <w:t xml:space="preserve">[62]</w:t>
              </w:r>
            </w:hyperlink>
          </w:p>
        </w:tc>
      </w:tr>
      <w:tr>
        <w:tc>
          <w:tcPr/>
          <w:p>
            <w:pPr>
              <w:pStyle w:val="Compact"/>
            </w:pPr>
            <w:r>
              <w:t xml:space="preserve">2018–2019</w:t>
            </w:r>
          </w:p>
        </w:tc>
        <w:tc>
          <w:tcPr/>
          <w:p>
            <w:pPr>
              <w:pStyle w:val="Compact"/>
            </w:pPr>
            <w:r>
              <w:t xml:space="preserve">Parasitic plant genomes reveal dozens-to-hundreds of HGT loci with interface expression</w:t>
            </w:r>
          </w:p>
        </w:tc>
        <w:tc>
          <w:tcPr/>
          <w:p>
            <w:pPr>
              <w:pStyle w:val="Compact"/>
            </w:pPr>
            <w:r>
              <w:t xml:space="preserve">Strengthened parasitism as a predictor of plant nuclear HGT</w:t>
            </w:r>
          </w:p>
        </w:tc>
        <w:tc>
          <w:tcPr/>
          <w:p>
            <w:pPr>
              <w:pStyle w:val="Compact"/>
            </w:pPr>
            <w:r>
              <w:t xml:space="preserve">Vogel 2018; Yang 2019</w:t>
            </w:r>
            <w:r>
              <w:t xml:space="preserve"> </w:t>
            </w:r>
            <w:hyperlink r:id="rId43">
              <w:r>
                <w:rPr>
                  <w:rStyle w:val="Hyperlink"/>
                </w:rPr>
                <w:t xml:space="preserve">[26]</w:t>
              </w:r>
            </w:hyperlink>
          </w:p>
        </w:tc>
      </w:tr>
      <w:tr>
        <w:tc>
          <w:tcPr/>
          <w:p>
            <w:pPr>
              <w:pStyle w:val="Compact"/>
            </w:pPr>
            <w:r>
              <w:t xml:space="preserve">2021</w:t>
            </w:r>
          </w:p>
        </w:tc>
        <w:tc>
          <w:tcPr/>
          <w:p>
            <w:pPr>
              <w:pStyle w:val="Compact"/>
            </w:pPr>
            <w:r>
              <w:t xml:space="preserve">Whitefly plant-derived detox gene with functional knockdown evidence</w:t>
            </w:r>
          </w:p>
        </w:tc>
        <w:tc>
          <w:tcPr/>
          <w:p>
            <w:pPr>
              <w:pStyle w:val="Compact"/>
            </w:pPr>
            <w:r>
              <w:t xml:space="preserve">One of the clearest adaptive HGT demonstrations in an insect pest</w:t>
            </w:r>
          </w:p>
        </w:tc>
        <w:tc>
          <w:tcPr/>
          <w:p>
            <w:pPr>
              <w:pStyle w:val="Compact"/>
            </w:pPr>
            <w:r>
              <w:t xml:space="preserve">Xia et al. 2021</w:t>
            </w:r>
            <w:r>
              <w:t xml:space="preserve"> </w:t>
            </w:r>
            <w:hyperlink r:id="rId51">
              <w:r>
                <w:rPr>
                  <w:rStyle w:val="Hyperlink"/>
                </w:rPr>
                <w:t xml:space="preserve">[36]</w:t>
              </w:r>
            </w:hyperlink>
          </w:p>
        </w:tc>
      </w:tr>
      <w:tr>
        <w:tc>
          <w:tcPr/>
          <w:p>
            <w:pPr>
              <w:pStyle w:val="Compact"/>
            </w:pPr>
            <w:r>
              <w:t xml:space="preserve">2025</w:t>
            </w:r>
          </w:p>
        </w:tc>
        <w:tc>
          <w:tcPr/>
          <w:p>
            <w:pPr>
              <w:pStyle w:val="Compact"/>
            </w:pPr>
            <w:r>
              <w:t xml:space="preserve">Modern synthesis emphasizes “hundreds” of plant HGTs and sharper phylogenomic methods</w:t>
            </w:r>
          </w:p>
        </w:tc>
        <w:tc>
          <w:tcPr/>
          <w:p>
            <w:pPr>
              <w:pStyle w:val="Compact"/>
            </w:pPr>
            <w:r>
              <w:t xml:space="preserve">Consolidates field; highlights next-gen detection and experimental validation priorities</w:t>
            </w:r>
          </w:p>
        </w:tc>
        <w:tc>
          <w:tcPr/>
          <w:p>
            <w:pPr>
              <w:pStyle w:val="Compact"/>
            </w:pPr>
            <w:r>
              <w:t xml:space="preserve">Plant Cell review 2025</w:t>
            </w:r>
            <w:r>
              <w:t xml:space="preserve"> </w:t>
            </w:r>
            <w:hyperlink r:id="rId21">
              <w:r>
                <w:rPr>
                  <w:rStyle w:val="Hyperlink"/>
                </w:rPr>
                <w:t xml:space="preserve">[63]</w:t>
              </w:r>
            </w:hyperlink>
          </w:p>
        </w:tc>
      </w:tr>
    </w:tbl>
    <w:bookmarkEnd w:id="71"/>
    <w:bookmarkStart w:id="75" w:name="X7a757e1f076fb7f504394bafc5da02c6fd90945"/>
    <w:p>
      <w:pPr>
        <w:pStyle w:val="Heading3"/>
      </w:pPr>
      <w:r>
        <w:t xml:space="preserve">Methodological challenges and common false positives</w:t>
      </w:r>
    </w:p>
    <w:p>
      <w:pPr>
        <w:pStyle w:val="FirstParagraph"/>
      </w:pPr>
      <w:r>
        <w:t xml:space="preserve">A rigorous HGT pipeline in multicellular eukaryotes must treat</w:t>
      </w:r>
      <w:r>
        <w:t xml:space="preserve"> </w:t>
      </w:r>
      <w:r>
        <w:rPr>
          <w:i/>
          <w:iCs/>
        </w:rPr>
        <w:t xml:space="preserve">false positives as the default</w:t>
      </w:r>
      <w:r>
        <w:t xml:space="preserve"> </w:t>
      </w:r>
      <w:r>
        <w:t xml:space="preserve">until disproven.</w:t>
      </w:r>
    </w:p>
    <w:p>
      <w:pPr>
        <w:pStyle w:val="SourceCode"/>
      </w:pPr>
      <w:r>
        <w:rPr>
          <w:rStyle w:val="VerbatimChar"/>
        </w:rPr>
        <w:t xml:space="preserve">flowchart LR</w:t>
      </w:r>
      <w:r>
        <w:br/>
      </w:r>
      <w:r>
        <w:rPr>
          <w:rStyle w:val="VerbatimChar"/>
        </w:rPr>
        <w:t xml:space="preserve">  A[Genome assembly / raw reads] --&gt; B[Initial screen: best-hit / alien index / unusual phylogenetic placement]</w:t>
      </w:r>
      <w:r>
        <w:br/>
      </w:r>
      <w:r>
        <w:rPr>
          <w:rStyle w:val="VerbatimChar"/>
        </w:rPr>
        <w:t xml:space="preserve">  B --&gt; C{Artifact filters}</w:t>
      </w:r>
      <w:r>
        <w:br/>
      </w:r>
      <w:r>
        <w:rPr>
          <w:rStyle w:val="VerbatimChar"/>
        </w:rPr>
        <w:t xml:space="preserve">  C --&gt;|Fail| X[Reject: contamination, chimeric contig, misannotation]</w:t>
      </w:r>
      <w:r>
        <w:br/>
      </w:r>
      <w:r>
        <w:rPr>
          <w:rStyle w:val="VerbatimChar"/>
        </w:rPr>
        <w:t xml:space="preserve">  C --&gt;|Pass| D[Integration checks: coverage, flanks, synteny, repeats, chromosomal mapping]</w:t>
      </w:r>
      <w:r>
        <w:br/>
      </w:r>
      <w:r>
        <w:rPr>
          <w:rStyle w:val="VerbatimChar"/>
        </w:rPr>
        <w:t xml:space="preserve">  D --&gt; E[Phylogenetic reconstruction with dense taxon sampling]</w:t>
      </w:r>
      <w:r>
        <w:br/>
      </w:r>
      <w:r>
        <w:rPr>
          <w:rStyle w:val="VerbatimChar"/>
        </w:rPr>
        <w:t xml:space="preserve">  E --&gt; F[Expression &amp; processing: RNA-seq, splicing, RNA editing, proteomics]</w:t>
      </w:r>
      <w:r>
        <w:br/>
      </w:r>
      <w:r>
        <w:rPr>
          <w:rStyle w:val="VerbatimChar"/>
        </w:rPr>
        <w:t xml:space="preserve">  F --&gt; G[Functional tests: knockdown/KO, enzyme assay, phenotype]</w:t>
      </w:r>
      <w:r>
        <w:br/>
      </w:r>
      <w:r>
        <w:rPr>
          <w:rStyle w:val="VerbatimChar"/>
        </w:rPr>
        <w:t xml:space="preserve">  G --&gt; H[High-confidence HGT]</w:t>
      </w:r>
    </w:p>
    <w:p>
      <w:pPr>
        <w:pStyle w:val="FirstParagraph"/>
      </w:pPr>
      <w:r>
        <w:rPr>
          <w:b/>
          <w:bCs/>
        </w:rPr>
        <w:t xml:space="preserve">Contamination and assembly artifacts:</w:t>
      </w:r>
      <w:r>
        <w:t xml:space="preserve"> </w:t>
      </w:r>
      <w:r>
        <w:t xml:space="preserve">A Genome Biology review on contamination stresses that mis-affiliation of sequences can drive false inferences, citing the tardigrade HGT episode as a famous example.</w:t>
      </w:r>
      <w:r>
        <w:t xml:space="preserve"> </w:t>
      </w:r>
      <w:hyperlink r:id="rId72">
        <w:r>
          <w:rPr>
            <w:rStyle w:val="Hyperlink"/>
          </w:rPr>
          <w:t xml:space="preserve">[64]</w:t>
        </w:r>
      </w:hyperlink>
    </w:p>
    <w:p>
      <w:pPr>
        <w:pStyle w:val="BodyText"/>
      </w:pPr>
      <w:r>
        <w:rPr>
          <w:b/>
          <w:bCs/>
        </w:rPr>
        <w:t xml:space="preserve">Tardigrade controversy:</w:t>
      </w:r>
      <w:r>
        <w:t xml:space="preserve"> </w:t>
      </w:r>
      <w:r>
        <w:t xml:space="preserve">A 2015 claim proposed ~17% of tardigrade genes arose via fHGT, but subsequent analyses reported “no evidence for extensive HGT” once bacterial contamination was addressed.</w:t>
      </w:r>
      <w:r>
        <w:t xml:space="preserve"> </w:t>
      </w:r>
      <w:hyperlink r:id="rId25">
        <w:r>
          <w:rPr>
            <w:rStyle w:val="Hyperlink"/>
          </w:rPr>
          <w:t xml:space="preserve">[65]</w:t>
        </w:r>
      </w:hyperlink>
    </w:p>
    <w:p>
      <w:pPr>
        <w:pStyle w:val="BodyText"/>
      </w:pPr>
      <w:r>
        <w:rPr>
          <w:b/>
          <w:bCs/>
        </w:rPr>
        <w:t xml:space="preserve">Sea slug (kleptoplasty) controversy:</w:t>
      </w:r>
      <w:r>
        <w:t xml:space="preserve"> </w:t>
      </w:r>
      <w:r>
        <w:t xml:space="preserve">Genome analysis of</w:t>
      </w:r>
      <w:r>
        <w:t xml:space="preserve"> </w:t>
      </w:r>
      <w:r>
        <w:rPr>
          <w:i/>
          <w:iCs/>
        </w:rPr>
        <w:t xml:space="preserve">Elysia chlorotica</w:t>
      </w:r>
      <w:r>
        <w:t xml:space="preserve"> </w:t>
      </w:r>
      <w:r>
        <w:t xml:space="preserve">egg DNA found no evidence for algal gene transfer into the germ line, challenging earlier interpretations that long-term plastid maintenance required extensive HGT.</w:t>
      </w:r>
      <w:r>
        <w:t xml:space="preserve"> </w:t>
      </w:r>
      <w:hyperlink r:id="rId73">
        <w:r>
          <w:rPr>
            <w:rStyle w:val="Hyperlink"/>
          </w:rPr>
          <w:t xml:space="preserve">[66]</w:t>
        </w:r>
      </w:hyperlink>
    </w:p>
    <w:p>
      <w:pPr>
        <w:pStyle w:val="BodyText"/>
      </w:pPr>
      <w:r>
        <w:rPr>
          <w:b/>
          <w:bCs/>
        </w:rPr>
        <w:t xml:space="preserve">Over-interpretation of similarity screens:</w:t>
      </w:r>
      <w:r>
        <w:t xml:space="preserve"> </w:t>
      </w:r>
      <w:r>
        <w:t xml:space="preserve">Genome-wide “HGT hallmark” claims in vertebrates have been disputed; a reanalysis argued there is little or no evidence supporting many purported human HGT genes.</w:t>
      </w:r>
      <w:r>
        <w:t xml:space="preserve"> </w:t>
      </w:r>
      <w:hyperlink r:id="rId74">
        <w:r>
          <w:rPr>
            <w:rStyle w:val="Hyperlink"/>
          </w:rPr>
          <w:t xml:space="preserve">[67]</w:t>
        </w:r>
      </w:hyperlink>
    </w:p>
    <w:p>
      <w:pPr>
        <w:pStyle w:val="BodyText"/>
      </w:pPr>
      <w:r>
        <w:rPr>
          <w:b/>
          <w:bCs/>
        </w:rPr>
        <w:t xml:space="preserve">Hybridization/introgression vs HGT (plants):</w:t>
      </w:r>
      <w:r>
        <w:t xml:space="preserve"> </w:t>
      </w:r>
      <w:r>
        <w:t xml:space="preserve">Because plant lineages frequently hybridize, organelle capture and nuclear introgression can mimic some signals; graft-mediated organelle transfer adds a non-sexual route to “chloroplast capture,” further complicating inference if mechanisms are not distinguished.</w:t>
      </w:r>
      <w:r>
        <w:t xml:space="preserve"> </w:t>
      </w:r>
      <w:hyperlink r:id="rId47">
        <w:r>
          <w:rPr>
            <w:rStyle w:val="Hyperlink"/>
          </w:rPr>
          <w:t xml:space="preserve">[68]</w:t>
        </w:r>
      </w:hyperlink>
    </w:p>
    <w:bookmarkEnd w:id="75"/>
    <w:bookmarkStart w:id="76" w:name="open-research-questions"/>
    <w:p>
      <w:pPr>
        <w:pStyle w:val="Heading3"/>
      </w:pPr>
      <w:r>
        <w:t xml:space="preserve">Open research questions</w:t>
      </w:r>
    </w:p>
    <w:p>
      <w:pPr>
        <w:pStyle w:val="FirstParagraph"/>
      </w:pPr>
      <w:r>
        <w:t xml:space="preserve">Despite rapid progress, several questions remain widely recognized as unresolved:</w:t>
      </w:r>
    </w:p>
    <w:p>
      <w:pPr>
        <w:pStyle w:val="BodyText"/>
      </w:pPr>
      <w:r>
        <w:rPr>
          <w:b/>
          <w:bCs/>
        </w:rPr>
        <w:t xml:space="preserve">How common is truly adaptive HGT in multicellular eukaryotes?</w:t>
      </w:r>
      <w:r>
        <w:t xml:space="preserve"> </w:t>
      </w:r>
      <w:r>
        <w:t xml:space="preserve">The literature contains clear adaptive examples (whitefly BtPMaT1; syncytins), but many plant and animal HGT discoveries still rely on indirect inference (expression patterns, pathway plausibility) rather than direct fitness assays.</w:t>
      </w:r>
      <w:r>
        <w:t xml:space="preserve"> </w:t>
      </w:r>
      <w:hyperlink r:id="rId51">
        <w:r>
          <w:rPr>
            <w:rStyle w:val="Hyperlink"/>
          </w:rPr>
          <w:t xml:space="preserve">[69]</w:t>
        </w:r>
      </w:hyperlink>
    </w:p>
    <w:p>
      <w:pPr>
        <w:pStyle w:val="BodyText"/>
      </w:pPr>
      <w:r>
        <w:rPr>
          <w:b/>
          <w:bCs/>
        </w:rPr>
        <w:t xml:space="preserve">What are the dominant natural vectors for distant plant–plant nuclear transfers?</w:t>
      </w:r>
      <w:r>
        <w:t xml:space="preserve"> </w:t>
      </w:r>
      <w:r>
        <w:t xml:space="preserve">Reviews propose “intermediate species” vectors (viruses, bacteria, nematodes, insects, fungi) when no direct plant–plant contact exists, but direct evidence for “vector mediation” is hard because vectors may leave no trace unless the transferred DNA integrates into the vector genome.</w:t>
      </w:r>
      <w:r>
        <w:t xml:space="preserve"> </w:t>
      </w:r>
      <w:hyperlink r:id="rId21">
        <w:r>
          <w:rPr>
            <w:rStyle w:val="Hyperlink"/>
          </w:rPr>
          <w:t xml:space="preserve">[70]</w:t>
        </w:r>
      </w:hyperlink>
    </w:p>
    <w:p>
      <w:pPr>
        <w:pStyle w:val="BodyText"/>
      </w:pPr>
      <w:r>
        <w:rPr>
          <w:b/>
          <w:bCs/>
        </w:rPr>
        <w:t xml:space="preserve">Why are plant mitochondria so permissive while plastids are not?</w:t>
      </w:r>
      <w:r>
        <w:t xml:space="preserve"> </w:t>
      </w:r>
      <w:r>
        <w:t xml:space="preserve">The fusion-compatibility hypothesis (mitochondrial fusion/recombination enabling assimilation) is a leading conceptual model, but mechanistic cell biology remains incomplete.</w:t>
      </w:r>
      <w:r>
        <w:t xml:space="preserve"> </w:t>
      </w:r>
      <w:hyperlink r:id="rId36">
        <w:r>
          <w:rPr>
            <w:rStyle w:val="Hyperlink"/>
          </w:rPr>
          <w:t xml:space="preserve">[71]</w:t>
        </w:r>
      </w:hyperlink>
    </w:p>
    <w:p>
      <w:pPr>
        <w:pStyle w:val="BodyText"/>
      </w:pPr>
      <w:r>
        <w:rPr>
          <w:b/>
          <w:bCs/>
        </w:rPr>
        <w:t xml:space="preserve">In animals, what ecological interactions best predict HGT into the germ line?</w:t>
      </w:r>
      <w:r>
        <w:t xml:space="preserve"> </w:t>
      </w:r>
      <w:r>
        <w:t xml:space="preserve">Symbioses (Wolbachia), parasitism (nematodes), and certain life histories (bdelloid desiccation-linked DNA break repair hypotheses) are repeatedly implicated, but generalizable predictors remain under development.</w:t>
      </w:r>
      <w:r>
        <w:t xml:space="preserve"> </w:t>
      </w:r>
      <w:hyperlink r:id="rId54">
        <w:r>
          <w:rPr>
            <w:rStyle w:val="Hyperlink"/>
          </w:rPr>
          <w:t xml:space="preserve">[72]</w:t>
        </w:r>
      </w:hyperlink>
    </w:p>
    <w:p>
      <w:pPr>
        <w:pStyle w:val="BodyText"/>
      </w:pPr>
      <w:r>
        <w:rPr>
          <w:b/>
          <w:bCs/>
        </w:rPr>
        <w:t xml:space="preserve">How should we treat TEs and viral domestication on the HGT spectrum?</w:t>
      </w:r>
      <w:r>
        <w:t xml:space="preserve"> </w:t>
      </w:r>
      <w:r>
        <w:t xml:space="preserve">TE HTT and virus-to-host gene exaptation are frequent enough to reshape genomes, yet they are sometimes analyzed separately from “gene HGT.” Integrative frameworks are needed because mobile elements are both</w:t>
      </w:r>
      <w:r>
        <w:t xml:space="preserve"> </w:t>
      </w:r>
      <w:r>
        <w:rPr>
          <w:b/>
          <w:bCs/>
        </w:rPr>
        <w:t xml:space="preserve">outcomes</w:t>
      </w:r>
      <w:r>
        <w:t xml:space="preserve"> </w:t>
      </w:r>
      <w:r>
        <w:t xml:space="preserve">and</w:t>
      </w:r>
      <w:r>
        <w:t xml:space="preserve"> </w:t>
      </w:r>
      <w:r>
        <w:rPr>
          <w:b/>
          <w:bCs/>
        </w:rPr>
        <w:t xml:space="preserve">vectors</w:t>
      </w:r>
      <w:r>
        <w:t xml:space="preserve"> </w:t>
      </w:r>
      <w:r>
        <w:t xml:space="preserve">of horizontal transfer.</w:t>
      </w:r>
      <w:r>
        <w:t xml:space="preserve"> </w:t>
      </w:r>
      <w:hyperlink r:id="rId64">
        <w:r>
          <w:rPr>
            <w:rStyle w:val="Hyperlink"/>
          </w:rPr>
          <w:t xml:space="preserve">[73]</w:t>
        </w:r>
      </w:hyperlink>
    </w:p>
    <w:bookmarkEnd w:id="76"/>
    <w:bookmarkEnd w:id="77"/>
    <w:bookmarkEnd w:id="78"/>
    <w:bookmarkEnd w:id="79"/>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[14]</w:t>
        </w:r>
      </w:hyperlink>
      <w:r>
        <w:t xml:space="preserve"> </w:t>
      </w:r>
      <w:hyperlink r:id="rId21">
        <w:r>
          <w:rPr>
            <w:rStyle w:val="Hyperlink"/>
          </w:rPr>
          <w:t xml:space="preserve">[63]</w:t>
        </w:r>
      </w:hyperlink>
      <w:r>
        <w:t xml:space="preserve"> </w:t>
      </w:r>
      <w:hyperlink r:id="rId21">
        <w:r>
          <w:rPr>
            <w:rStyle w:val="Hyperlink"/>
          </w:rPr>
          <w:t xml:space="preserve">[70]</w:t>
        </w:r>
      </w:hyperlink>
      <w:r>
        <w:t xml:space="preserve"> </w:t>
      </w:r>
      <w:r>
        <w:t xml:space="preserve">academic.oup.com</w:t>
      </w:r>
    </w:p>
    <w:p>
      <w:pPr>
        <w:pStyle w:val="BodyText"/>
      </w:pPr>
      <w:hyperlink r:id="rId21">
        <w:r>
          <w:rPr>
            <w:rStyle w:val="Hyperlink"/>
          </w:rPr>
          <w:t xml:space="preserve">https://academic.oup.com/plcell/article/37/9/koaf195/8238793</w:t>
        </w:r>
      </w:hyperlink>
    </w:p>
    <w:p>
      <w:pPr>
        <w:pStyle w:val="BodyText"/>
      </w:pPr>
      <w:hyperlink r:id="rId22">
        <w:r>
          <w:rPr>
            <w:rStyle w:val="Hyperlink"/>
          </w:rPr>
          <w:t xml:space="preserve">[2]</w:t>
        </w:r>
      </w:hyperlink>
      <w:r>
        <w:t xml:space="preserve"> </w:t>
      </w:r>
      <w:hyperlink r:id="rId22">
        <w:r>
          <w:rPr>
            <w:rStyle w:val="Hyperlink"/>
          </w:rPr>
          <w:t xml:space="preserve">[56]</w:t>
        </w:r>
      </w:hyperlink>
      <w:r>
        <w:t xml:space="preserve"> </w:t>
      </w:r>
      <w:r>
        <w:t xml:space="preserve">https://deepblue.lib.umich.edu/handle/2027.42/62688</w:t>
      </w:r>
    </w:p>
    <w:p>
      <w:pPr>
        <w:pStyle w:val="BodyText"/>
      </w:pPr>
      <w:hyperlink r:id="rId22">
        <w:r>
          <w:rPr>
            <w:rStyle w:val="Hyperlink"/>
          </w:rPr>
          <w:t xml:space="preserve">https://deepblue.lib.umich.edu/handle/2027.42/62688</w:t>
        </w:r>
      </w:hyperlink>
    </w:p>
    <w:p>
      <w:pPr>
        <w:pStyle w:val="BodyText"/>
      </w:pPr>
      <w:hyperlink r:id="rId23">
        <w:r>
          <w:rPr>
            <w:rStyle w:val="Hyperlink"/>
          </w:rPr>
          <w:t xml:space="preserve">[3]</w:t>
        </w:r>
      </w:hyperlink>
      <w:r>
        <w:t xml:space="preserve"> </w:t>
      </w:r>
      <w:hyperlink r:id="rId23">
        <w:r>
          <w:rPr>
            <w:rStyle w:val="Hyperlink"/>
          </w:rPr>
          <w:t xml:space="preserve">[12]</w:t>
        </w:r>
      </w:hyperlink>
      <w:r>
        <w:t xml:space="preserve"> </w:t>
      </w:r>
      <w:hyperlink r:id="rId23">
        <w:r>
          <w:rPr>
            <w:rStyle w:val="Hyperlink"/>
          </w:rPr>
          <w:t xml:space="preserve">[16]</w:t>
        </w:r>
      </w:hyperlink>
      <w:r>
        <w:t xml:space="preserve"> </w:t>
      </w:r>
      <w:hyperlink r:id="rId23">
        <w:r>
          <w:rPr>
            <w:rStyle w:val="Hyperlink"/>
          </w:rPr>
          <w:t xml:space="preserve">[34]</w:t>
        </w:r>
      </w:hyperlink>
      <w:r>
        <w:t xml:space="preserve"> </w:t>
      </w:r>
      <w:hyperlink r:id="rId23">
        <w:r>
          <w:rPr>
            <w:rStyle w:val="Hyperlink"/>
          </w:rPr>
          <w:t xml:space="preserve">[53]</w:t>
        </w:r>
      </w:hyperlink>
      <w:r>
        <w:t xml:space="preserve"> </w:t>
      </w:r>
      <w:r>
        <w:t xml:space="preserve">https://www.researchgate.net/profile/Irina-Arkhipova/publication/5338663_Massive_Horizontal_Gene_Transfer_in_Bdelloid_Rotifers/links/00b7d52bc90997f005000000/Massive-Horizontal-Gene-Transfer-in-Bdelloid-Rotifers.pdf</w:t>
      </w:r>
    </w:p>
    <w:p>
      <w:pPr>
        <w:pStyle w:val="BodyText"/>
      </w:pPr>
      <w:hyperlink r:id="rId23">
        <w:r>
          <w:rPr>
            <w:rStyle w:val="Hyperlink"/>
          </w:rPr>
          <w:t xml:space="preserve">https://www.researchgate.net/profile/Irina-Arkhipova/publication/5338663_Massive_Horizontal_Gene_Transfer_in_Bdelloid_Rotifers/links/00b7d52bc90997f005000000/Massive-Horizontal-Gene-Transfer-in-Bdelloid-Rotifers.pdf</w:t>
        </w:r>
      </w:hyperlink>
    </w:p>
    <w:p>
      <w:pPr>
        <w:pStyle w:val="BodyText"/>
      </w:pPr>
      <w:hyperlink r:id="rId24">
        <w:r>
          <w:rPr>
            <w:rStyle w:val="Hyperlink"/>
          </w:rPr>
          <w:t xml:space="preserve">[5]</w:t>
        </w:r>
      </w:hyperlink>
      <w:r>
        <w:t xml:space="preserve"> </w:t>
      </w:r>
      <w:hyperlink r:id="rId24">
        <w:r>
          <w:rPr>
            <w:rStyle w:val="Hyperlink"/>
          </w:rPr>
          <w:t xml:space="preserve">[28]</w:t>
        </w:r>
      </w:hyperlink>
      <w:r>
        <w:t xml:space="preserve"> </w:t>
      </w:r>
      <w:hyperlink r:id="rId24">
        <w:r>
          <w:rPr>
            <w:rStyle w:val="Hyperlink"/>
          </w:rPr>
          <w:t xml:space="preserve">[60]</w:t>
        </w:r>
      </w:hyperlink>
      <w:r>
        <w:t xml:space="preserve"> </w:t>
      </w:r>
      <w:r>
        <w:t xml:space="preserve">https://www.sciencedirect.com/science/article/pii/S096098221200084X</w:t>
      </w:r>
    </w:p>
    <w:p>
      <w:pPr>
        <w:pStyle w:val="BodyText"/>
      </w:pPr>
      <w:hyperlink r:id="rId24">
        <w:r>
          <w:rPr>
            <w:rStyle w:val="Hyperlink"/>
          </w:rPr>
          <w:t xml:space="preserve">https://www.sciencedirect.com/science/article/pii/S096098221200084X</w:t>
        </w:r>
      </w:hyperlink>
    </w:p>
    <w:p>
      <w:pPr>
        <w:pStyle w:val="BodyText"/>
      </w:pPr>
      <w:hyperlink r:id="rId25">
        <w:r>
          <w:rPr>
            <w:rStyle w:val="Hyperlink"/>
          </w:rPr>
          <w:t xml:space="preserve">[6]</w:t>
        </w:r>
      </w:hyperlink>
      <w:r>
        <w:t xml:space="preserve"> </w:t>
      </w:r>
      <w:hyperlink r:id="rId25">
        <w:r>
          <w:rPr>
            <w:rStyle w:val="Hyperlink"/>
          </w:rPr>
          <w:t xml:space="preserve">[62]</w:t>
        </w:r>
      </w:hyperlink>
      <w:r>
        <w:t xml:space="preserve"> </w:t>
      </w:r>
      <w:hyperlink r:id="rId25">
        <w:r>
          <w:rPr>
            <w:rStyle w:val="Hyperlink"/>
          </w:rPr>
          <w:t xml:space="preserve">[65]</w:t>
        </w:r>
      </w:hyperlink>
      <w:r>
        <w:t xml:space="preserve"> </w:t>
      </w:r>
      <w:r>
        <w:t xml:space="preserve">https://ucgd.genetics.utah.edu/wp-content/uploads/2015/11/PNAS-2015-Boothby-1510461112.pdf</w:t>
      </w:r>
    </w:p>
    <w:p>
      <w:pPr>
        <w:pStyle w:val="BodyText"/>
      </w:pPr>
      <w:hyperlink r:id="rId25">
        <w:r>
          <w:rPr>
            <w:rStyle w:val="Hyperlink"/>
          </w:rPr>
          <w:t xml:space="preserve">https://ucgd.genetics.utah.edu/wp-content/uploads/2015/11/PNAS-2015-Boothby-1510461112.pdf</w:t>
        </w:r>
      </w:hyperlink>
    </w:p>
    <w:p>
      <w:pPr>
        <w:pStyle w:val="BodyText"/>
      </w:pPr>
      <w:hyperlink r:id="rId26">
        <w:r>
          <w:rPr>
            <w:rStyle w:val="Hyperlink"/>
          </w:rPr>
          <w:t xml:space="preserve">[7]</w:t>
        </w:r>
      </w:hyperlink>
      <w:r>
        <w:t xml:space="preserve"> </w:t>
      </w:r>
      <w:hyperlink r:id="rId26">
        <w:r>
          <w:rPr>
            <w:rStyle w:val="Hyperlink"/>
          </w:rPr>
          <w:t xml:space="preserve">[47]</w:t>
        </w:r>
      </w:hyperlink>
      <w:r>
        <w:t xml:space="preserve"> </w:t>
      </w:r>
      <w:r>
        <w:t xml:space="preserve">https://www.nature.com/articles/s41477-019-0458-0.pdf</w:t>
      </w:r>
    </w:p>
    <w:p>
      <w:pPr>
        <w:pStyle w:val="BodyText"/>
      </w:pPr>
      <w:hyperlink r:id="rId26">
        <w:r>
          <w:rPr>
            <w:rStyle w:val="Hyperlink"/>
          </w:rPr>
          <w:t xml:space="preserve">https://www.nature.com/articles/s41477-019-0458-0.pdf</w:t>
        </w:r>
      </w:hyperlink>
    </w:p>
    <w:p>
      <w:pPr>
        <w:pStyle w:val="BodyText"/>
      </w:pPr>
      <w:hyperlink r:id="rId28">
        <w:r>
          <w:rPr>
            <w:rStyle w:val="Hyperlink"/>
          </w:rPr>
          <w:t xml:space="preserve">[10]</w:t>
        </w:r>
      </w:hyperlink>
      <w:r>
        <w:t xml:space="preserve"> </w:t>
      </w:r>
      <w:hyperlink r:id="rId28">
        <w:r>
          <w:rPr>
            <w:rStyle w:val="Hyperlink"/>
          </w:rPr>
          <w:t xml:space="preserve">[11]</w:t>
        </w:r>
      </w:hyperlink>
      <w:r>
        <w:t xml:space="preserve"> </w:t>
      </w:r>
      <w:hyperlink r:id="rId28">
        <w:r>
          <w:rPr>
            <w:rStyle w:val="Hyperlink"/>
          </w:rPr>
          <w:t xml:space="preserve">[13]</w:t>
        </w:r>
      </w:hyperlink>
      <w:r>
        <w:t xml:space="preserve"> </w:t>
      </w:r>
      <w:hyperlink r:id="rId28">
        <w:r>
          <w:rPr>
            <w:rStyle w:val="Hyperlink"/>
          </w:rPr>
          <w:t xml:space="preserve">[35]</w:t>
        </w:r>
      </w:hyperlink>
      <w:r>
        <w:t xml:space="preserve"> </w:t>
      </w:r>
      <w:r>
        <w:t xml:space="preserve">https://www.researchgate.net/profile/Nancy-Moran-2/publication/43354958_Lateral_Transfer_of_Genes_from_Fungi_Underlies_Carotenoid_Production_in_Aphids/links/09e41507daacf45681000000/Lateral-Transfer-of-Genes-from-Fungi-Underlies-Carotenoid-Production-in-Aphids.pdf</w:t>
      </w:r>
    </w:p>
    <w:p>
      <w:pPr>
        <w:pStyle w:val="BodyText"/>
      </w:pPr>
      <w:hyperlink r:id="rId28">
        <w:r>
          <w:rPr>
            <w:rStyle w:val="Hyperlink"/>
          </w:rPr>
          <w:t xml:space="preserve">https://www.researchgate.net/profile/Nancy-Moran-2/publication/43354958_Lateral_Transfer_of_Genes_from_Fungi_Underlies_Carotenoid_Production_in_Aphids/links/09e41507daacf45681000000/Lateral-Transfer-of-Genes-from-Fungi-Underlies-Carotenoid-Production-in-Aphids.pdf</w:t>
        </w:r>
      </w:hyperlink>
    </w:p>
    <w:p>
      <w:pPr>
        <w:pStyle w:val="BodyText"/>
      </w:pPr>
      <w:hyperlink r:id="rId31">
        <w:r>
          <w:rPr>
            <w:rStyle w:val="Hyperlink"/>
          </w:rPr>
          <w:t xml:space="preserve">[15]</w:t>
        </w:r>
      </w:hyperlink>
      <w:r>
        <w:t xml:space="preserve"> </w:t>
      </w:r>
      <w:hyperlink r:id="rId31">
        <w:r>
          <w:rPr>
            <w:rStyle w:val="Hyperlink"/>
          </w:rPr>
          <w:t xml:space="preserve">[55]</w:t>
        </w:r>
      </w:hyperlink>
      <w:r>
        <w:t xml:space="preserve"> </w:t>
      </w:r>
      <w:r>
        <w:t xml:space="preserve">https://academic.oup.com/jxb/article/58/1/1/515544</w:t>
      </w:r>
    </w:p>
    <w:p>
      <w:pPr>
        <w:pStyle w:val="BodyText"/>
      </w:pPr>
      <w:hyperlink r:id="rId31">
        <w:r>
          <w:rPr>
            <w:rStyle w:val="Hyperlink"/>
          </w:rPr>
          <w:t xml:space="preserve">https://academic.oup.com/jxb/article/58/1/1/515544</w:t>
        </w:r>
      </w:hyperlink>
    </w:p>
    <w:p>
      <w:pPr>
        <w:pStyle w:val="BodyText"/>
      </w:pPr>
      <w:hyperlink r:id="rId33">
        <w:r>
          <w:rPr>
            <w:rStyle w:val="Hyperlink"/>
          </w:rPr>
          <w:t xml:space="preserve">[17]</w:t>
        </w:r>
      </w:hyperlink>
      <w:r>
        <w:t xml:space="preserve"> </w:t>
      </w:r>
      <w:hyperlink r:id="rId33">
        <w:r>
          <w:rPr>
            <w:rStyle w:val="Hyperlink"/>
          </w:rPr>
          <w:t xml:space="preserve">[18]</w:t>
        </w:r>
      </w:hyperlink>
      <w:r>
        <w:t xml:space="preserve"> </w:t>
      </w:r>
      <w:r>
        <w:t xml:space="preserve">https://spiral.imperial.ac.uk/server/api/core/bitstreams/66606ecf-cf28-4cbc-b514-d7ccf49266e1/content</w:t>
      </w:r>
    </w:p>
    <w:p>
      <w:pPr>
        <w:pStyle w:val="BodyText"/>
      </w:pPr>
      <w:hyperlink r:id="rId33">
        <w:r>
          <w:rPr>
            <w:rStyle w:val="Hyperlink"/>
          </w:rPr>
          <w:t xml:space="preserve">https://spiral.imperial.ac.uk/server/api/core/bitstreams/66606ecf-cf28-4cbc-b514-d7ccf49266e1/content</w:t>
        </w:r>
      </w:hyperlink>
    </w:p>
    <w:p>
      <w:pPr>
        <w:pStyle w:val="BodyText"/>
      </w:pPr>
      <w:hyperlink r:id="rId34">
        <w:r>
          <w:rPr>
            <w:rStyle w:val="Hyperlink"/>
          </w:rPr>
          <w:t xml:space="preserve">[19]</w:t>
        </w:r>
      </w:hyperlink>
      <w:r>
        <w:t xml:space="preserve"> </w:t>
      </w:r>
      <w:r>
        <w:t xml:space="preserve">https://academic.oup.com/gbe/article/10/12/3196/5165405</w:t>
      </w:r>
    </w:p>
    <w:p>
      <w:pPr>
        <w:pStyle w:val="BodyText"/>
      </w:pPr>
      <w:hyperlink r:id="rId34">
        <w:r>
          <w:rPr>
            <w:rStyle w:val="Hyperlink"/>
          </w:rPr>
          <w:t xml:space="preserve">https://academic.oup.com/gbe/article/10/12/3196/5165405</w:t>
        </w:r>
      </w:hyperlink>
    </w:p>
    <w:p>
      <w:pPr>
        <w:pStyle w:val="BodyText"/>
      </w:pPr>
      <w:hyperlink r:id="rId35">
        <w:r>
          <w:rPr>
            <w:rStyle w:val="Hyperlink"/>
          </w:rPr>
          <w:t xml:space="preserve">[20]</w:t>
        </w:r>
      </w:hyperlink>
      <w:r>
        <w:t xml:space="preserve"> </w:t>
      </w:r>
      <w:r>
        <w:t xml:space="preserve">https://journals.plos.org/plosgenetics/article?id=10.1371%2Fjournal.pgen.1003265</w:t>
      </w:r>
    </w:p>
    <w:p>
      <w:pPr>
        <w:pStyle w:val="BodyText"/>
      </w:pPr>
      <w:hyperlink r:id="rId35">
        <w:r>
          <w:rPr>
            <w:rStyle w:val="Hyperlink"/>
          </w:rPr>
          <w:t xml:space="preserve">https://journals.plos.org/plosgenetics/article?id=10.1371%2Fjournal.pgen.1003265</w:t>
        </w:r>
      </w:hyperlink>
    </w:p>
    <w:p>
      <w:pPr>
        <w:pStyle w:val="BodyText"/>
      </w:pPr>
      <w:hyperlink r:id="rId36">
        <w:r>
          <w:rPr>
            <w:rStyle w:val="Hyperlink"/>
          </w:rPr>
          <w:t xml:space="preserve">[21]</w:t>
        </w:r>
      </w:hyperlink>
      <w:r>
        <w:t xml:space="preserve"> </w:t>
      </w:r>
      <w:hyperlink r:id="rId36">
        <w:r>
          <w:rPr>
            <w:rStyle w:val="Hyperlink"/>
          </w:rPr>
          <w:t xml:space="preserve">[32]</w:t>
        </w:r>
      </w:hyperlink>
      <w:r>
        <w:t xml:space="preserve"> </w:t>
      </w:r>
      <w:hyperlink r:id="rId36">
        <w:r>
          <w:rPr>
            <w:rStyle w:val="Hyperlink"/>
          </w:rPr>
          <w:t xml:space="preserve">[33]</w:t>
        </w:r>
      </w:hyperlink>
      <w:r>
        <w:t xml:space="preserve"> </w:t>
      </w:r>
      <w:hyperlink r:id="rId36">
        <w:r>
          <w:rPr>
            <w:rStyle w:val="Hyperlink"/>
          </w:rPr>
          <w:t xml:space="preserve">[45]</w:t>
        </w:r>
      </w:hyperlink>
      <w:r>
        <w:t xml:space="preserve"> </w:t>
      </w:r>
      <w:hyperlink r:id="rId36">
        <w:r>
          <w:rPr>
            <w:rStyle w:val="Hyperlink"/>
          </w:rPr>
          <w:t xml:space="preserve">[71]</w:t>
        </w:r>
      </w:hyperlink>
      <w:r>
        <w:t xml:space="preserve"> </w:t>
      </w:r>
      <w:r>
        <w:t xml:space="preserve">Plant genomics: A genome conserved and a genome expanded - Nature</w:t>
      </w:r>
    </w:p>
    <w:p>
      <w:pPr>
        <w:pStyle w:val="BodyText"/>
      </w:pPr>
      <w:hyperlink r:id="rId36">
        <w:r>
          <w:rPr>
            <w:rStyle w:val="Hyperlink"/>
          </w:rPr>
          <w:t xml:space="preserve">https://www.nature.com/articles/nrg3657.pdf?utm_source=chatgpt.com</w:t>
        </w:r>
      </w:hyperlink>
    </w:p>
    <w:p>
      <w:pPr>
        <w:pStyle w:val="BodyText"/>
      </w:pPr>
      <w:hyperlink r:id="rId37">
        <w:r>
          <w:rPr>
            <w:rStyle w:val="Hyperlink"/>
          </w:rPr>
          <w:t xml:space="preserve">[22]</w:t>
        </w:r>
      </w:hyperlink>
      <w:r>
        <w:t xml:space="preserve"> </w:t>
      </w:r>
      <w:r>
        <w:t xml:space="preserve">https://genome.cshlp.org/content/early/2014/02/10/gr.164400.113.full.pdf</w:t>
      </w:r>
    </w:p>
    <w:p>
      <w:pPr>
        <w:pStyle w:val="BodyText"/>
      </w:pPr>
      <w:hyperlink r:id="rId37">
        <w:r>
          <w:rPr>
            <w:rStyle w:val="Hyperlink"/>
          </w:rPr>
          <w:t xml:space="preserve">https://genome.cshlp.org/content/early/2014/02/10/gr.164400.113.full.pdf</w:t>
        </w:r>
      </w:hyperlink>
    </w:p>
    <w:p>
      <w:pPr>
        <w:pStyle w:val="BodyText"/>
      </w:pPr>
      <w:hyperlink r:id="rId38">
        <w:r>
          <w:rPr>
            <w:rStyle w:val="Hyperlink"/>
          </w:rPr>
          <w:t xml:space="preserve">[23]</w:t>
        </w:r>
      </w:hyperlink>
      <w:r>
        <w:t xml:space="preserve"> </w:t>
      </w:r>
      <w:hyperlink r:id="rId38">
        <w:r>
          <w:rPr>
            <w:rStyle w:val="Hyperlink"/>
          </w:rPr>
          <w:t xml:space="preserve">[46]</w:t>
        </w:r>
      </w:hyperlink>
      <w:r>
        <w:t xml:space="preserve"> </w:t>
      </w:r>
      <w:r>
        <w:t xml:space="preserve">https://www.nature.com/articles/s41467-020-15149-4.pdf</w:t>
      </w:r>
    </w:p>
    <w:p>
      <w:pPr>
        <w:pStyle w:val="BodyText"/>
      </w:pPr>
      <w:hyperlink r:id="rId38">
        <w:r>
          <w:rPr>
            <w:rStyle w:val="Hyperlink"/>
          </w:rPr>
          <w:t xml:space="preserve">https://www.nature.com/articles/s41467-020-15149-4.pdf</w:t>
        </w:r>
      </w:hyperlink>
    </w:p>
    <w:p>
      <w:pPr>
        <w:pStyle w:val="BodyText"/>
      </w:pPr>
      <w:hyperlink r:id="rId39">
        <w:r>
          <w:rPr>
            <w:rStyle w:val="Hyperlink"/>
          </w:rPr>
          <w:t xml:space="preserve">[24]</w:t>
        </w:r>
      </w:hyperlink>
      <w:r>
        <w:t xml:space="preserve"> </w:t>
      </w:r>
      <w:r>
        <w:t xml:space="preserve">https://www.mdpi.com/2079-7737/11/5/710</w:t>
      </w:r>
    </w:p>
    <w:p>
      <w:pPr>
        <w:pStyle w:val="BodyText"/>
      </w:pPr>
      <w:hyperlink r:id="rId39">
        <w:r>
          <w:rPr>
            <w:rStyle w:val="Hyperlink"/>
          </w:rPr>
          <w:t xml:space="preserve">https://www.mdpi.com/2079-7737/11/5/710</w:t>
        </w:r>
      </w:hyperlink>
    </w:p>
    <w:p>
      <w:pPr>
        <w:pStyle w:val="BodyText"/>
      </w:pPr>
      <w:hyperlink r:id="rId42">
        <w:r>
          <w:rPr>
            <w:rStyle w:val="Hyperlink"/>
          </w:rPr>
          <w:t xml:space="preserve">[25]</w:t>
        </w:r>
      </w:hyperlink>
      <w:r>
        <w:t xml:space="preserve"> </w:t>
      </w:r>
      <w:r>
        <w:t xml:space="preserve">https://www.jstor.org/stable/pdf/27001164.pdf</w:t>
      </w:r>
    </w:p>
    <w:p>
      <w:pPr>
        <w:pStyle w:val="BodyText"/>
      </w:pPr>
      <w:hyperlink r:id="rId42">
        <w:r>
          <w:rPr>
            <w:rStyle w:val="Hyperlink"/>
          </w:rPr>
          <w:t xml:space="preserve">https://www.jstor.org/stable/pdf/27001164.pdf</w:t>
        </w:r>
      </w:hyperlink>
    </w:p>
    <w:p>
      <w:pPr>
        <w:pStyle w:val="BodyText"/>
      </w:pPr>
      <w:hyperlink r:id="rId43">
        <w:r>
          <w:rPr>
            <w:rStyle w:val="Hyperlink"/>
          </w:rPr>
          <w:t xml:space="preserve">[26]</w:t>
        </w:r>
      </w:hyperlink>
      <w:r>
        <w:t xml:space="preserve"> </w:t>
      </w:r>
      <w:r>
        <w:t xml:space="preserve">https://www.nature.com/articles/s41467-018-04344-z.pdf</w:t>
      </w:r>
    </w:p>
    <w:p>
      <w:pPr>
        <w:pStyle w:val="BodyText"/>
      </w:pPr>
      <w:hyperlink r:id="rId43">
        <w:r>
          <w:rPr>
            <w:rStyle w:val="Hyperlink"/>
          </w:rPr>
          <w:t xml:space="preserve">https://www.nature.com/articles/s41467-018-04344-z.pdf</w:t>
        </w:r>
      </w:hyperlink>
    </w:p>
    <w:p>
      <w:pPr>
        <w:pStyle w:val="BodyText"/>
      </w:pPr>
      <w:hyperlink r:id="rId44">
        <w:r>
          <w:rPr>
            <w:rStyle w:val="Hyperlink"/>
          </w:rPr>
          <w:t xml:space="preserve">[27]</w:t>
        </w:r>
      </w:hyperlink>
      <w:r>
        <w:t xml:space="preserve"> </w:t>
      </w:r>
      <w:hyperlink r:id="rId44">
        <w:r>
          <w:rPr>
            <w:rStyle w:val="Hyperlink"/>
          </w:rPr>
          <w:t xml:space="preserve">[59]</w:t>
        </w:r>
      </w:hyperlink>
      <w:r>
        <w:t xml:space="preserve"> </w:t>
      </w:r>
      <w:r>
        <w:t xml:space="preserve">https://europepmc.org/article/MED/20508124</w:t>
      </w:r>
    </w:p>
    <w:p>
      <w:pPr>
        <w:pStyle w:val="BodyText"/>
      </w:pPr>
      <w:hyperlink r:id="rId44">
        <w:r>
          <w:rPr>
            <w:rStyle w:val="Hyperlink"/>
          </w:rPr>
          <w:t xml:space="preserve">https://europepmc.org/article/MED/20508124</w:t>
        </w:r>
      </w:hyperlink>
    </w:p>
    <w:p>
      <w:pPr>
        <w:pStyle w:val="BodyText"/>
      </w:pPr>
      <w:hyperlink r:id="rId45">
        <w:r>
          <w:rPr>
            <w:rStyle w:val="Hyperlink"/>
          </w:rPr>
          <w:t xml:space="preserve">[29]</w:t>
        </w:r>
      </w:hyperlink>
      <w:r>
        <w:t xml:space="preserve"> </w:t>
      </w:r>
      <w:r>
        <w:t xml:space="preserve">https://cgspace.cgiar.org/items/cb0104e3-c082-41ed-9bd6-346cfc411dea</w:t>
      </w:r>
    </w:p>
    <w:p>
      <w:pPr>
        <w:pStyle w:val="BodyText"/>
      </w:pPr>
      <w:hyperlink r:id="rId45">
        <w:r>
          <w:rPr>
            <w:rStyle w:val="Hyperlink"/>
          </w:rPr>
          <w:t xml:space="preserve">https://cgspace.cgiar.org/items/cb0104e3-c082-41ed-9bd6-346cfc411dea</w:t>
        </w:r>
      </w:hyperlink>
    </w:p>
    <w:p>
      <w:pPr>
        <w:pStyle w:val="BodyText"/>
      </w:pPr>
      <w:hyperlink r:id="rId46">
        <w:r>
          <w:rPr>
            <w:rStyle w:val="Hyperlink"/>
          </w:rPr>
          <w:t xml:space="preserve">[30]</w:t>
        </w:r>
      </w:hyperlink>
      <w:r>
        <w:t xml:space="preserve"> </w:t>
      </w:r>
      <w:r>
        <w:t xml:space="preserve">https://www.nature.com/articles/nature13291.pdf</w:t>
      </w:r>
    </w:p>
    <w:p>
      <w:pPr>
        <w:pStyle w:val="BodyText"/>
      </w:pPr>
      <w:hyperlink r:id="rId46">
        <w:r>
          <w:rPr>
            <w:rStyle w:val="Hyperlink"/>
          </w:rPr>
          <w:t xml:space="preserve">https://www.nature.com/articles/nature13291.pdf</w:t>
        </w:r>
      </w:hyperlink>
    </w:p>
    <w:p>
      <w:pPr>
        <w:pStyle w:val="BodyText"/>
      </w:pPr>
      <w:hyperlink r:id="rId47">
        <w:r>
          <w:rPr>
            <w:rStyle w:val="Hyperlink"/>
          </w:rPr>
          <w:t xml:space="preserve">[31]</w:t>
        </w:r>
      </w:hyperlink>
      <w:r>
        <w:t xml:space="preserve"> </w:t>
      </w:r>
      <w:hyperlink r:id="rId47">
        <w:r>
          <w:rPr>
            <w:rStyle w:val="Hyperlink"/>
          </w:rPr>
          <w:t xml:space="preserve">[48]</w:t>
        </w:r>
      </w:hyperlink>
      <w:r>
        <w:t xml:space="preserve"> </w:t>
      </w:r>
      <w:hyperlink r:id="rId47">
        <w:r>
          <w:rPr>
            <w:rStyle w:val="Hyperlink"/>
          </w:rPr>
          <w:t xml:space="preserve">[54]</w:t>
        </w:r>
      </w:hyperlink>
      <w:r>
        <w:t xml:space="preserve"> </w:t>
      </w:r>
      <w:hyperlink r:id="rId47">
        <w:r>
          <w:rPr>
            <w:rStyle w:val="Hyperlink"/>
          </w:rPr>
          <w:t xml:space="preserve">[68]</w:t>
        </w:r>
      </w:hyperlink>
      <w:r>
        <w:t xml:space="preserve"> </w:t>
      </w:r>
      <w:r>
        <w:t xml:space="preserve">https://www.pnas.org/doi/pdf/10.1073/pnas.1114076109</w:t>
      </w:r>
    </w:p>
    <w:p>
      <w:pPr>
        <w:pStyle w:val="BodyText"/>
      </w:pPr>
      <w:hyperlink r:id="rId47">
        <w:r>
          <w:rPr>
            <w:rStyle w:val="Hyperlink"/>
          </w:rPr>
          <w:t xml:space="preserve">https://www.pnas.org/doi/pdf/10.1073/pnas.1114076109</w:t>
        </w:r>
      </w:hyperlink>
    </w:p>
    <w:p>
      <w:pPr>
        <w:pStyle w:val="BodyText"/>
      </w:pPr>
      <w:hyperlink r:id="rId51">
        <w:r>
          <w:rPr>
            <w:rStyle w:val="Hyperlink"/>
          </w:rPr>
          <w:t xml:space="preserve">[36]</w:t>
        </w:r>
      </w:hyperlink>
      <w:r>
        <w:t xml:space="preserve"> </w:t>
      </w:r>
      <w:hyperlink r:id="rId51">
        <w:r>
          <w:rPr>
            <w:rStyle w:val="Hyperlink"/>
          </w:rPr>
          <w:t xml:space="preserve">[69]</w:t>
        </w:r>
      </w:hyperlink>
      <w:r>
        <w:t xml:space="preserve"> </w:t>
      </w:r>
      <w:r>
        <w:t xml:space="preserve">https://www.sciencedirect.com/science/article/pii/S0092867421001641</w:t>
      </w:r>
    </w:p>
    <w:p>
      <w:pPr>
        <w:pStyle w:val="BodyText"/>
      </w:pPr>
      <w:hyperlink r:id="rId51">
        <w:r>
          <w:rPr>
            <w:rStyle w:val="Hyperlink"/>
          </w:rPr>
          <w:t xml:space="preserve">https://www.sciencedirect.com/science/article/pii/S0092867421001641</w:t>
        </w:r>
      </w:hyperlink>
    </w:p>
    <w:p>
      <w:pPr>
        <w:pStyle w:val="BodyText"/>
      </w:pPr>
      <w:hyperlink r:id="rId52">
        <w:r>
          <w:rPr>
            <w:rStyle w:val="Hyperlink"/>
          </w:rPr>
          <w:t xml:space="preserve">[37]</w:t>
        </w:r>
      </w:hyperlink>
      <w:r>
        <w:t xml:space="preserve"> </w:t>
      </w:r>
      <w:hyperlink r:id="rId52">
        <w:r>
          <w:rPr>
            <w:rStyle w:val="Hyperlink"/>
          </w:rPr>
          <w:t xml:space="preserve">[61]</w:t>
        </w:r>
      </w:hyperlink>
      <w:r>
        <w:t xml:space="preserve"> </w:t>
      </w:r>
      <w:r>
        <w:t xml:space="preserve">https://www.sciencedirect.com/science/article/pii/S0092867413006466</w:t>
      </w:r>
    </w:p>
    <w:p>
      <w:pPr>
        <w:pStyle w:val="BodyText"/>
      </w:pPr>
      <w:hyperlink r:id="rId52">
        <w:r>
          <w:rPr>
            <w:rStyle w:val="Hyperlink"/>
          </w:rPr>
          <w:t xml:space="preserve">https://www.sciencedirect.com/science/article/pii/S0092867413006466</w:t>
        </w:r>
      </w:hyperlink>
    </w:p>
    <w:p>
      <w:pPr>
        <w:pStyle w:val="BodyText"/>
      </w:pPr>
      <w:hyperlink r:id="rId53">
        <w:r>
          <w:rPr>
            <w:rStyle w:val="Hyperlink"/>
          </w:rPr>
          <w:t xml:space="preserve">[38]</w:t>
        </w:r>
      </w:hyperlink>
      <w:r>
        <w:t xml:space="preserve"> </w:t>
      </w:r>
      <w:r>
        <w:t xml:space="preserve">https://www.pnas.org/doi/pdf/10.1073/pnas.1008486107</w:t>
      </w:r>
    </w:p>
    <w:p>
      <w:pPr>
        <w:pStyle w:val="BodyText"/>
      </w:pPr>
      <w:hyperlink r:id="rId53">
        <w:r>
          <w:rPr>
            <w:rStyle w:val="Hyperlink"/>
          </w:rPr>
          <w:t xml:space="preserve">https://www.pnas.org/doi/pdf/10.1073/pnas.1008486107</w:t>
        </w:r>
      </w:hyperlink>
    </w:p>
    <w:p>
      <w:pPr>
        <w:pStyle w:val="BodyText"/>
      </w:pPr>
      <w:hyperlink r:id="rId54">
        <w:r>
          <w:rPr>
            <w:rStyle w:val="Hyperlink"/>
          </w:rPr>
          <w:t xml:space="preserve">[39]</w:t>
        </w:r>
      </w:hyperlink>
      <w:r>
        <w:t xml:space="preserve"> </w:t>
      </w:r>
      <w:hyperlink r:id="rId54">
        <w:r>
          <w:rPr>
            <w:rStyle w:val="Hyperlink"/>
          </w:rPr>
          <w:t xml:space="preserve">[42]</w:t>
        </w:r>
      </w:hyperlink>
      <w:r>
        <w:t xml:space="preserve"> </w:t>
      </w:r>
      <w:hyperlink r:id="rId54">
        <w:r>
          <w:rPr>
            <w:rStyle w:val="Hyperlink"/>
          </w:rPr>
          <w:t xml:space="preserve">[49]</w:t>
        </w:r>
      </w:hyperlink>
      <w:r>
        <w:t xml:space="preserve"> </w:t>
      </w:r>
      <w:hyperlink r:id="rId54">
        <w:r>
          <w:rPr>
            <w:rStyle w:val="Hyperlink"/>
          </w:rPr>
          <w:t xml:space="preserve">[72]</w:t>
        </w:r>
      </w:hyperlink>
      <w:r>
        <w:t xml:space="preserve"> </w:t>
      </w:r>
      <w:r>
        <w:t xml:space="preserve">https://www.jcvi.org/publications/widespread-lateral-gene-transfer-intracellular-bacteria-multicellular-eukaryotes</w:t>
      </w:r>
    </w:p>
    <w:p>
      <w:pPr>
        <w:pStyle w:val="BodyText"/>
      </w:pPr>
      <w:hyperlink r:id="rId54">
        <w:r>
          <w:rPr>
            <w:rStyle w:val="Hyperlink"/>
          </w:rPr>
          <w:t xml:space="preserve">https://www.jcvi.org/publications/widespread-lateral-gene-transfer-intracellular-bacteria-multicellular-eukaryotes</w:t>
        </w:r>
      </w:hyperlink>
    </w:p>
    <w:p>
      <w:pPr>
        <w:pStyle w:val="BodyText"/>
      </w:pPr>
      <w:hyperlink r:id="rId55">
        <w:r>
          <w:rPr>
            <w:rStyle w:val="Hyperlink"/>
          </w:rPr>
          <w:t xml:space="preserve">[40]</w:t>
        </w:r>
      </w:hyperlink>
      <w:r>
        <w:t xml:space="preserve"> </w:t>
      </w:r>
      <w:hyperlink r:id="rId55">
        <w:r>
          <w:rPr>
            <w:rStyle w:val="Hyperlink"/>
          </w:rPr>
          <w:t xml:space="preserve">[44]</w:t>
        </w:r>
      </w:hyperlink>
      <w:r>
        <w:t xml:space="preserve"> </w:t>
      </w:r>
      <w:r>
        <w:t xml:space="preserve">Evolutionary Significance of Wolbachia-to-Animal Horizontal Gene ...</w:t>
      </w:r>
    </w:p>
    <w:p>
      <w:pPr>
        <w:pStyle w:val="BodyText"/>
      </w:pPr>
      <w:hyperlink r:id="rId55">
        <w:r>
          <w:rPr>
            <w:rStyle w:val="Hyperlink"/>
          </w:rPr>
          <w:t xml:space="preserve">https://www.mdpi.com/2073-4425/8/7/186?utm_source=chatgpt.com</w:t>
        </w:r>
      </w:hyperlink>
    </w:p>
    <w:p>
      <w:pPr>
        <w:pStyle w:val="BodyText"/>
      </w:pPr>
      <w:hyperlink r:id="rId56">
        <w:r>
          <w:rPr>
            <w:rStyle w:val="Hyperlink"/>
          </w:rPr>
          <w:t xml:space="preserve">[41]</w:t>
        </w:r>
      </w:hyperlink>
      <w:r>
        <w:t xml:space="preserve"> </w:t>
      </w:r>
      <w:hyperlink r:id="rId56">
        <w:r>
          <w:rPr>
            <w:rStyle w:val="Hyperlink"/>
          </w:rPr>
          <w:t xml:space="preserve">[43]</w:t>
        </w:r>
      </w:hyperlink>
      <w:r>
        <w:t xml:space="preserve"> </w:t>
      </w:r>
      <w:r>
        <w:t xml:space="preserve">https://www.researchgate.net/profile/John-Mccoy-2/publication/12621415_Syncytin_is_a_captive_retroviral_envelope_protein_involved_in_human_placental_morphogenesis/links/00b49527d1f128e64d000000/Syncytin-is-a-captive-retroviral-envelope-protein-involved-in-human-placental-morphogenesis.pdf</w:t>
      </w:r>
    </w:p>
    <w:p>
      <w:pPr>
        <w:pStyle w:val="BodyText"/>
      </w:pPr>
      <w:hyperlink r:id="rId56">
        <w:r>
          <w:rPr>
            <w:rStyle w:val="Hyperlink"/>
          </w:rPr>
          <w:t xml:space="preserve">https://www.researchgate.net/profile/John-Mccoy-2/publication/12621415_Syncytin_is_a_captive_retroviral_envelope_protein_involved_in_human_placental_morphogenesis/links/00b49527d1f128e64d000000/Syncytin-is-a-captive-retroviral-envelope-protein-involved-in-human-placental-morphogenesis.pdf</w:t>
        </w:r>
      </w:hyperlink>
    </w:p>
    <w:p>
      <w:pPr>
        <w:pStyle w:val="BodyText"/>
      </w:pPr>
      <w:hyperlink r:id="rId64">
        <w:r>
          <w:rPr>
            <w:rStyle w:val="Hyperlink"/>
          </w:rPr>
          <w:t xml:space="preserve">[50]</w:t>
        </w:r>
      </w:hyperlink>
      <w:r>
        <w:t xml:space="preserve"> </w:t>
      </w:r>
      <w:hyperlink r:id="rId64">
        <w:r>
          <w:rPr>
            <w:rStyle w:val="Hyperlink"/>
          </w:rPr>
          <w:t xml:space="preserve">[52]</w:t>
        </w:r>
      </w:hyperlink>
      <w:r>
        <w:t xml:space="preserve"> </w:t>
      </w:r>
      <w:hyperlink r:id="rId64">
        <w:r>
          <w:rPr>
            <w:rStyle w:val="Hyperlink"/>
          </w:rPr>
          <w:t xml:space="preserve">[73]</w:t>
        </w:r>
      </w:hyperlink>
      <w:r>
        <w:t xml:space="preserve"> </w:t>
      </w:r>
      <w:r>
        <w:t xml:space="preserve">https://europepmc.org/article/MED/28672159</w:t>
      </w:r>
    </w:p>
    <w:p>
      <w:pPr>
        <w:pStyle w:val="BodyText"/>
      </w:pPr>
      <w:hyperlink r:id="rId64">
        <w:r>
          <w:rPr>
            <w:rStyle w:val="Hyperlink"/>
          </w:rPr>
          <w:t xml:space="preserve">https://europepmc.org/article/MED/28672159</w:t>
        </w:r>
      </w:hyperlink>
    </w:p>
    <w:p>
      <w:pPr>
        <w:pStyle w:val="BodyText"/>
      </w:pPr>
      <w:hyperlink r:id="rId65">
        <w:r>
          <w:rPr>
            <w:rStyle w:val="Hyperlink"/>
          </w:rPr>
          <w:t xml:space="preserve">[51]</w:t>
        </w:r>
      </w:hyperlink>
      <w:r>
        <w:t xml:space="preserve"> </w:t>
      </w:r>
      <w:r>
        <w:t xml:space="preserve">https://europepmc.org/article/PMC/4426443</w:t>
      </w:r>
    </w:p>
    <w:p>
      <w:pPr>
        <w:pStyle w:val="BodyText"/>
      </w:pPr>
      <w:hyperlink r:id="rId65">
        <w:r>
          <w:rPr>
            <w:rStyle w:val="Hyperlink"/>
          </w:rPr>
          <w:t xml:space="preserve">https://europepmc.org/article/PMC/4426443</w:t>
        </w:r>
      </w:hyperlink>
    </w:p>
    <w:p>
      <w:pPr>
        <w:pStyle w:val="BodyText"/>
      </w:pPr>
      <w:hyperlink r:id="rId69">
        <w:r>
          <w:rPr>
            <w:rStyle w:val="Hyperlink"/>
          </w:rPr>
          <w:t xml:space="preserve">[57]</w:t>
        </w:r>
      </w:hyperlink>
      <w:r>
        <w:t xml:space="preserve"> </w:t>
      </w:r>
      <w:r>
        <w:t xml:space="preserve">https://www.pnas.org/doi/pdf/10.1073/pnas.0408336102</w:t>
      </w:r>
    </w:p>
    <w:p>
      <w:pPr>
        <w:pStyle w:val="BodyText"/>
      </w:pPr>
      <w:hyperlink r:id="rId69">
        <w:r>
          <w:rPr>
            <w:rStyle w:val="Hyperlink"/>
          </w:rPr>
          <w:t xml:space="preserve">https://www.pnas.org/doi/pdf/10.1073/pnas.0408336102</w:t>
        </w:r>
      </w:hyperlink>
    </w:p>
    <w:p>
      <w:pPr>
        <w:pStyle w:val="BodyText"/>
      </w:pPr>
      <w:hyperlink r:id="rId70">
        <w:r>
          <w:rPr>
            <w:rStyle w:val="Hyperlink"/>
          </w:rPr>
          <w:t xml:space="preserve">[58]</w:t>
        </w:r>
      </w:hyperlink>
      <w:r>
        <w:t xml:space="preserve"> </w:t>
      </w:r>
      <w:r>
        <w:t xml:space="preserve">https://europepmc.org/article/MED/19407205</w:t>
      </w:r>
    </w:p>
    <w:p>
      <w:pPr>
        <w:pStyle w:val="BodyText"/>
      </w:pPr>
      <w:hyperlink r:id="rId70">
        <w:r>
          <w:rPr>
            <w:rStyle w:val="Hyperlink"/>
          </w:rPr>
          <w:t xml:space="preserve">https://europepmc.org/article/MED/19407205</w:t>
        </w:r>
      </w:hyperlink>
    </w:p>
    <w:p>
      <w:pPr>
        <w:pStyle w:val="BodyText"/>
      </w:pPr>
      <w:hyperlink r:id="rId72">
        <w:r>
          <w:rPr>
            <w:rStyle w:val="Hyperlink"/>
          </w:rPr>
          <w:t xml:space="preserve">[64]</w:t>
        </w:r>
      </w:hyperlink>
      <w:r>
        <w:t xml:space="preserve"> </w:t>
      </w:r>
      <w:r>
        <w:t xml:space="preserve">https://link.springer.com/article/10.1186/s13059-022-02619-9</w:t>
      </w:r>
    </w:p>
    <w:p>
      <w:pPr>
        <w:pStyle w:val="BodyText"/>
      </w:pPr>
      <w:hyperlink r:id="rId72">
        <w:r>
          <w:rPr>
            <w:rStyle w:val="Hyperlink"/>
          </w:rPr>
          <w:t xml:space="preserve">https://link.springer.com/article/10.1186/s13059-022-02619-9</w:t>
        </w:r>
      </w:hyperlink>
    </w:p>
    <w:p>
      <w:pPr>
        <w:pStyle w:val="BodyText"/>
      </w:pPr>
      <w:hyperlink r:id="rId73">
        <w:r>
          <w:rPr>
            <w:rStyle w:val="Hyperlink"/>
          </w:rPr>
          <w:t xml:space="preserve">[66]</w:t>
        </w:r>
      </w:hyperlink>
      <w:r>
        <w:t xml:space="preserve"> </w:t>
      </w:r>
      <w:r>
        <w:t xml:space="preserve">https://europepmc.org/articles/PMC3708498/</w:t>
      </w:r>
    </w:p>
    <w:p>
      <w:pPr>
        <w:pStyle w:val="BodyText"/>
      </w:pPr>
      <w:hyperlink r:id="rId73">
        <w:r>
          <w:rPr>
            <w:rStyle w:val="Hyperlink"/>
          </w:rPr>
          <w:t xml:space="preserve">https://europepmc.org/articles/PMC3708498/</w:t>
        </w:r>
      </w:hyperlink>
    </w:p>
    <w:p>
      <w:pPr>
        <w:pStyle w:val="BodyText"/>
      </w:pPr>
      <w:hyperlink r:id="rId74">
        <w:r>
          <w:rPr>
            <w:rStyle w:val="Hyperlink"/>
          </w:rPr>
          <w:t xml:space="preserve">[67]</w:t>
        </w:r>
      </w:hyperlink>
      <w:r>
        <w:t xml:space="preserve"> </w:t>
      </w:r>
      <w:r>
        <w:t xml:space="preserve">https://link.springer.com/article/10.1186/s13059-015-0607-3</w:t>
      </w:r>
    </w:p>
    <w:p>
      <w:pPr>
        <w:pStyle w:val="BodyText"/>
      </w:pPr>
      <w:hyperlink r:id="rId74">
        <w:r>
          <w:rPr>
            <w:rStyle w:val="Hyperlink"/>
          </w:rPr>
          <w:t xml:space="preserve">https://link.springer.com/article/10.1186/s13059-015-0607-3</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academic.oup.com/gbe/article/10/12/3196/5165405" TargetMode="External" /><Relationship Type="http://schemas.openxmlformats.org/officeDocument/2006/relationships/hyperlink" Id="rId31" Target="https://academic.oup.com/jxb/article/58/1/1/515544" TargetMode="External" /><Relationship Type="http://schemas.openxmlformats.org/officeDocument/2006/relationships/hyperlink" Id="rId21" Target="https://academic.oup.com/plcell/article/37/9/koaf195/8238793" TargetMode="External" /><Relationship Type="http://schemas.openxmlformats.org/officeDocument/2006/relationships/hyperlink" Id="rId45" Target="https://cgspace.cgiar.org/items/cb0104e3-c082-41ed-9bd6-346cfc411dea" TargetMode="External" /><Relationship Type="http://schemas.openxmlformats.org/officeDocument/2006/relationships/hyperlink" Id="rId22" Target="https://deepblue.lib.umich.edu/handle/2027.42/62688" TargetMode="External" /><Relationship Type="http://schemas.openxmlformats.org/officeDocument/2006/relationships/hyperlink" Id="rId70" Target="https://europepmc.org/article/MED/19407205" TargetMode="External" /><Relationship Type="http://schemas.openxmlformats.org/officeDocument/2006/relationships/hyperlink" Id="rId44" Target="https://europepmc.org/article/MED/20508124" TargetMode="External" /><Relationship Type="http://schemas.openxmlformats.org/officeDocument/2006/relationships/hyperlink" Id="rId64" Target="https://europepmc.org/article/MED/28672159" TargetMode="External" /><Relationship Type="http://schemas.openxmlformats.org/officeDocument/2006/relationships/hyperlink" Id="rId65" Target="https://europepmc.org/article/PMC/4426443" TargetMode="External" /><Relationship Type="http://schemas.openxmlformats.org/officeDocument/2006/relationships/hyperlink" Id="rId73" Target="https://europepmc.org/articles/PMC3708498/" TargetMode="External" /><Relationship Type="http://schemas.openxmlformats.org/officeDocument/2006/relationships/hyperlink" Id="rId37" Target="https://genome.cshlp.org/content/early/2014/02/10/gr.164400.113.full.pdf" TargetMode="External" /><Relationship Type="http://schemas.openxmlformats.org/officeDocument/2006/relationships/hyperlink" Id="rId35" Target="https://journals.plos.org/plosgenetics/article?id=10.1371%2Fjournal.pgen.1003265" TargetMode="External" /><Relationship Type="http://schemas.openxmlformats.org/officeDocument/2006/relationships/hyperlink" Id="rId74" Target="https://link.springer.com/article/10.1186/s13059-015-0607-3" TargetMode="External" /><Relationship Type="http://schemas.openxmlformats.org/officeDocument/2006/relationships/hyperlink" Id="rId72" Target="https://link.springer.com/article/10.1186/s13059-022-02619-9" TargetMode="External" /><Relationship Type="http://schemas.openxmlformats.org/officeDocument/2006/relationships/hyperlink" Id="rId33" Target="https://spiral.imperial.ac.uk/server/api/core/bitstreams/66606ecf-cf28-4cbc-b514-d7ccf49266e1/content" TargetMode="External" /><Relationship Type="http://schemas.openxmlformats.org/officeDocument/2006/relationships/hyperlink" Id="rId25" Target="https://ucgd.genetics.utah.edu/wp-content/uploads/2015/11/PNAS-2015-Boothby-1510461112.pdf" TargetMode="External" /><Relationship Type="http://schemas.openxmlformats.org/officeDocument/2006/relationships/hyperlink" Id="rId54" Target="https://www.jcvi.org/publications/widespread-lateral-gene-transfer-intracellular-bacteria-multicellular-eukaryotes" TargetMode="External" /><Relationship Type="http://schemas.openxmlformats.org/officeDocument/2006/relationships/hyperlink" Id="rId42" Target="https://www.jstor.org/stable/pdf/27001164.pdf" TargetMode="External" /><Relationship Type="http://schemas.openxmlformats.org/officeDocument/2006/relationships/hyperlink" Id="rId55" Target="https://www.mdpi.com/2073-4425/8/7/186?utm_source=chatgpt.com" TargetMode="External" /><Relationship Type="http://schemas.openxmlformats.org/officeDocument/2006/relationships/hyperlink" Id="rId39" Target="https://www.mdpi.com/2079-7737/11/5/710" TargetMode="External" /><Relationship Type="http://schemas.openxmlformats.org/officeDocument/2006/relationships/hyperlink" Id="rId46" Target="https://www.nature.com/articles/nature13291.pdf" TargetMode="External" /><Relationship Type="http://schemas.openxmlformats.org/officeDocument/2006/relationships/hyperlink" Id="rId36" Target="https://www.nature.com/articles/nrg3657.pdf?utm_source=chatgpt.com" TargetMode="External" /><Relationship Type="http://schemas.openxmlformats.org/officeDocument/2006/relationships/hyperlink" Id="rId43" Target="https://www.nature.com/articles/s41467-018-04344-z.pdf" TargetMode="External" /><Relationship Type="http://schemas.openxmlformats.org/officeDocument/2006/relationships/hyperlink" Id="rId38" Target="https://www.nature.com/articles/s41467-020-15149-4.pdf" TargetMode="External" /><Relationship Type="http://schemas.openxmlformats.org/officeDocument/2006/relationships/hyperlink" Id="rId26" Target="https://www.nature.com/articles/s41477-019-0458-0.pdf" TargetMode="External" /><Relationship Type="http://schemas.openxmlformats.org/officeDocument/2006/relationships/hyperlink" Id="rId69" Target="https://www.pnas.org/doi/pdf/10.1073/pnas.0408336102" TargetMode="External" /><Relationship Type="http://schemas.openxmlformats.org/officeDocument/2006/relationships/hyperlink" Id="rId53" Target="https://www.pnas.org/doi/pdf/10.1073/pnas.1008486107" TargetMode="External" /><Relationship Type="http://schemas.openxmlformats.org/officeDocument/2006/relationships/hyperlink" Id="rId47" Target="https://www.pnas.org/doi/pdf/10.1073/pnas.1114076109" TargetMode="External" /><Relationship Type="http://schemas.openxmlformats.org/officeDocument/2006/relationships/hyperlink" Id="rId23" Target="https://www.researchgate.net/profile/Irina-Arkhipova/publication/5338663_Massive_Horizontal_Gene_Transfer_in_Bdelloid_Rotifers/links/00b7d52bc90997f005000000/Massive-Horizontal-Gene-Transfer-in-Bdelloid-Rotifers.pdf" TargetMode="External" /><Relationship Type="http://schemas.openxmlformats.org/officeDocument/2006/relationships/hyperlink" Id="rId56" Target="https://www.researchgate.net/profile/John-Mccoy-2/publication/12621415_Syncytin_is_a_captive_retroviral_envelope_protein_involved_in_human_placental_morphogenesis/links/00b49527d1f128e64d000000/Syncytin-is-a-captive-retroviral-envelope-protein-involved-in-human-placental-morphogenesis.pdf" TargetMode="External" /><Relationship Type="http://schemas.openxmlformats.org/officeDocument/2006/relationships/hyperlink" Id="rId28" Target="https://www.researchgate.net/profile/Nancy-Moran-2/publication/43354958_Lateral_Transfer_of_Genes_from_Fungi_Underlies_Carotenoid_Production_in_Aphids/links/09e41507daacf45681000000/Lateral-Transfer-of-Genes-from-Fungi-Underlies-Carotenoid-Production-in-Aphids.pdf" TargetMode="External" /><Relationship Type="http://schemas.openxmlformats.org/officeDocument/2006/relationships/hyperlink" Id="rId52" Target="https://www.sciencedirect.com/science/article/pii/S0092867413006466" TargetMode="External" /><Relationship Type="http://schemas.openxmlformats.org/officeDocument/2006/relationships/hyperlink" Id="rId51" Target="https://www.sciencedirect.com/science/article/pii/S0092867421001641" TargetMode="External" /><Relationship Type="http://schemas.openxmlformats.org/officeDocument/2006/relationships/hyperlink" Id="rId24" Target="https://www.sciencedirect.com/science/article/pii/S096098221200084X" TargetMode="External" /></Relationships>
</file>

<file path=word/_rels/footnotes.xml.rels><?xml version="1.0" encoding="UTF-8"?><Relationships xmlns="http://schemas.openxmlformats.org/package/2006/relationships"><Relationship Type="http://schemas.openxmlformats.org/officeDocument/2006/relationships/hyperlink" Id="rId34" Target="https://academic.oup.com/gbe/article/10/12/3196/5165405" TargetMode="External" /><Relationship Type="http://schemas.openxmlformats.org/officeDocument/2006/relationships/hyperlink" Id="rId31" Target="https://academic.oup.com/jxb/article/58/1/1/515544" TargetMode="External" /><Relationship Type="http://schemas.openxmlformats.org/officeDocument/2006/relationships/hyperlink" Id="rId21" Target="https://academic.oup.com/plcell/article/37/9/koaf195/8238793" TargetMode="External" /><Relationship Type="http://schemas.openxmlformats.org/officeDocument/2006/relationships/hyperlink" Id="rId45" Target="https://cgspace.cgiar.org/items/cb0104e3-c082-41ed-9bd6-346cfc411dea" TargetMode="External" /><Relationship Type="http://schemas.openxmlformats.org/officeDocument/2006/relationships/hyperlink" Id="rId22" Target="https://deepblue.lib.umich.edu/handle/2027.42/62688" TargetMode="External" /><Relationship Type="http://schemas.openxmlformats.org/officeDocument/2006/relationships/hyperlink" Id="rId70" Target="https://europepmc.org/article/MED/19407205" TargetMode="External" /><Relationship Type="http://schemas.openxmlformats.org/officeDocument/2006/relationships/hyperlink" Id="rId44" Target="https://europepmc.org/article/MED/20508124" TargetMode="External" /><Relationship Type="http://schemas.openxmlformats.org/officeDocument/2006/relationships/hyperlink" Id="rId64" Target="https://europepmc.org/article/MED/28672159" TargetMode="External" /><Relationship Type="http://schemas.openxmlformats.org/officeDocument/2006/relationships/hyperlink" Id="rId65" Target="https://europepmc.org/article/PMC/4426443" TargetMode="External" /><Relationship Type="http://schemas.openxmlformats.org/officeDocument/2006/relationships/hyperlink" Id="rId73" Target="https://europepmc.org/articles/PMC3708498/" TargetMode="External" /><Relationship Type="http://schemas.openxmlformats.org/officeDocument/2006/relationships/hyperlink" Id="rId37" Target="https://genome.cshlp.org/content/early/2014/02/10/gr.164400.113.full.pdf" TargetMode="External" /><Relationship Type="http://schemas.openxmlformats.org/officeDocument/2006/relationships/hyperlink" Id="rId35" Target="https://journals.plos.org/plosgenetics/article?id=10.1371%2Fjournal.pgen.1003265" TargetMode="External" /><Relationship Type="http://schemas.openxmlformats.org/officeDocument/2006/relationships/hyperlink" Id="rId74" Target="https://link.springer.com/article/10.1186/s13059-015-0607-3" TargetMode="External" /><Relationship Type="http://schemas.openxmlformats.org/officeDocument/2006/relationships/hyperlink" Id="rId72" Target="https://link.springer.com/article/10.1186/s13059-022-02619-9" TargetMode="External" /><Relationship Type="http://schemas.openxmlformats.org/officeDocument/2006/relationships/hyperlink" Id="rId33" Target="https://spiral.imperial.ac.uk/server/api/core/bitstreams/66606ecf-cf28-4cbc-b514-d7ccf49266e1/content" TargetMode="External" /><Relationship Type="http://schemas.openxmlformats.org/officeDocument/2006/relationships/hyperlink" Id="rId25" Target="https://ucgd.genetics.utah.edu/wp-content/uploads/2015/11/PNAS-2015-Boothby-1510461112.pdf" TargetMode="External" /><Relationship Type="http://schemas.openxmlformats.org/officeDocument/2006/relationships/hyperlink" Id="rId54" Target="https://www.jcvi.org/publications/widespread-lateral-gene-transfer-intracellular-bacteria-multicellular-eukaryotes" TargetMode="External" /><Relationship Type="http://schemas.openxmlformats.org/officeDocument/2006/relationships/hyperlink" Id="rId42" Target="https://www.jstor.org/stable/pdf/27001164.pdf" TargetMode="External" /><Relationship Type="http://schemas.openxmlformats.org/officeDocument/2006/relationships/hyperlink" Id="rId55" Target="https://www.mdpi.com/2073-4425/8/7/186?utm_source=chatgpt.com" TargetMode="External" /><Relationship Type="http://schemas.openxmlformats.org/officeDocument/2006/relationships/hyperlink" Id="rId39" Target="https://www.mdpi.com/2079-7737/11/5/710" TargetMode="External" /><Relationship Type="http://schemas.openxmlformats.org/officeDocument/2006/relationships/hyperlink" Id="rId46" Target="https://www.nature.com/articles/nature13291.pdf" TargetMode="External" /><Relationship Type="http://schemas.openxmlformats.org/officeDocument/2006/relationships/hyperlink" Id="rId36" Target="https://www.nature.com/articles/nrg3657.pdf?utm_source=chatgpt.com" TargetMode="External" /><Relationship Type="http://schemas.openxmlformats.org/officeDocument/2006/relationships/hyperlink" Id="rId43" Target="https://www.nature.com/articles/s41467-018-04344-z.pdf" TargetMode="External" /><Relationship Type="http://schemas.openxmlformats.org/officeDocument/2006/relationships/hyperlink" Id="rId38" Target="https://www.nature.com/articles/s41467-020-15149-4.pdf" TargetMode="External" /><Relationship Type="http://schemas.openxmlformats.org/officeDocument/2006/relationships/hyperlink" Id="rId26" Target="https://www.nature.com/articles/s41477-019-0458-0.pdf" TargetMode="External" /><Relationship Type="http://schemas.openxmlformats.org/officeDocument/2006/relationships/hyperlink" Id="rId69" Target="https://www.pnas.org/doi/pdf/10.1073/pnas.0408336102" TargetMode="External" /><Relationship Type="http://schemas.openxmlformats.org/officeDocument/2006/relationships/hyperlink" Id="rId53" Target="https://www.pnas.org/doi/pdf/10.1073/pnas.1008486107" TargetMode="External" /><Relationship Type="http://schemas.openxmlformats.org/officeDocument/2006/relationships/hyperlink" Id="rId47" Target="https://www.pnas.org/doi/pdf/10.1073/pnas.1114076109" TargetMode="External" /><Relationship Type="http://schemas.openxmlformats.org/officeDocument/2006/relationships/hyperlink" Id="rId23" Target="https://www.researchgate.net/profile/Irina-Arkhipova/publication/5338663_Massive_Horizontal_Gene_Transfer_in_Bdelloid_Rotifers/links/00b7d52bc90997f005000000/Massive-Horizontal-Gene-Transfer-in-Bdelloid-Rotifers.pdf" TargetMode="External" /><Relationship Type="http://schemas.openxmlformats.org/officeDocument/2006/relationships/hyperlink" Id="rId56" Target="https://www.researchgate.net/profile/John-Mccoy-2/publication/12621415_Syncytin_is_a_captive_retroviral_envelope_protein_involved_in_human_placental_morphogenesis/links/00b49527d1f128e64d000000/Syncytin-is-a-captive-retroviral-envelope-protein-involved-in-human-placental-morphogenesis.pdf" TargetMode="External" /><Relationship Type="http://schemas.openxmlformats.org/officeDocument/2006/relationships/hyperlink" Id="rId28" Target="https://www.researchgate.net/profile/Nancy-Moran-2/publication/43354958_Lateral_Transfer_of_Genes_from_Fungi_Underlies_Carotenoid_Production_in_Aphids/links/09e41507daacf45681000000/Lateral-Transfer-of-Genes-from-Fungi-Underlies-Carotenoid-Production-in-Aphids.pdf" TargetMode="External" /><Relationship Type="http://schemas.openxmlformats.org/officeDocument/2006/relationships/hyperlink" Id="rId52" Target="https://www.sciencedirect.com/science/article/pii/S0092867413006466" TargetMode="External" /><Relationship Type="http://schemas.openxmlformats.org/officeDocument/2006/relationships/hyperlink" Id="rId51" Target="https://www.sciencedirect.com/science/article/pii/S0092867421001641" TargetMode="External" /><Relationship Type="http://schemas.openxmlformats.org/officeDocument/2006/relationships/hyperlink" Id="rId24" Target="https://www.sciencedirect.com/science/article/pii/S096098221200084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2026-03-17T18:22:55Z</dcterms:created>
  <dcterms:modified xsi:type="dcterms:W3CDTF">2026-03-17T18:22:55Z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