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de4141f5ddfaea2b0d6fbcabb98ca61371dfbfd"/>
    <w:p>
      <w:pPr>
        <w:pStyle w:val="Heading1"/>
      </w:pPr>
      <w:r>
        <w:t xml:space="preserve">Price dynamics and bio-physical controls of chub mackerel across Pacific Rim markets</w:t>
      </w:r>
    </w:p>
    <w:bookmarkStart w:id="25" w:name="executive-summary"/>
    <w:p>
      <w:pPr>
        <w:pStyle w:val="Heading2"/>
      </w:pPr>
      <w:r>
        <w:t xml:space="preserve">Executive summary</w:t>
      </w:r>
    </w:p>
    <w:p>
      <w:pPr>
        <w:pStyle w:val="FirstParagraph"/>
      </w:pPr>
      <w:r>
        <w:t xml:space="preserve">Chub mackerel (</w:t>
      </w:r>
      <w:r>
        <w:rPr>
          <w:i/>
          <w:iCs/>
        </w:rPr>
        <w:t xml:space="preserve">Scomber japonicus</w:t>
      </w:r>
      <w:r>
        <w:t xml:space="preserve">; marketed regionally under related “mackerel” taxa and common names) is a classic “pulse” commodity in Pacific Rim seafood systems: climate-driven abundance and availability shift rapidly, biological growth and maturity can change across cohorts, and market prices respond nonlinearly to supply volume, substitution with other small pelagics, and regulatory constraints. In the U.S. West Coast coastal pelagic species (CPS) system—where “Pacific mackerel” is explicitly listed as</w:t>
      </w:r>
      <w:r>
        <w:t xml:space="preserve"> </w:t>
      </w:r>
      <w:r>
        <w:rPr>
          <w:i/>
          <w:iCs/>
        </w:rPr>
        <w:t xml:space="preserve">Scomber japonicus</w:t>
      </w:r>
      <w:r>
        <w:t xml:space="preserve"> </w:t>
      </w:r>
      <w:r>
        <w:t xml:space="preserve">by California agencies</w:t>
      </w:r>
      <w:r>
        <w:t xml:space="preserve"> </w:t>
      </w:r>
      <w:hyperlink r:id="rId21">
        <w:r>
          <w:rPr>
            <w:rStyle w:val="Hyperlink"/>
          </w:rPr>
          <w:t xml:space="preserve">[1]</w:t>
        </w:r>
      </w:hyperlink>
      <w:r>
        <w:t xml:space="preserve">—annual landings and inflation-adjusted ex‑vessel revenue reported in the PFMC CPS SAFE show strong interannual variability for 2014–2022, with ex-vessel price per kg (computed here as revenue/landings) spanning roughly</w:t>
      </w:r>
      <w:r>
        <w:t xml:space="preserve"> </w:t>
      </w:r>
      <w:r>
        <w:rPr>
          <w:b/>
          <w:bCs/>
        </w:rPr>
        <w:t xml:space="preserve">$0.259–$0.560/kg (2022 USD)</w:t>
      </w:r>
      <w:r>
        <w:t xml:space="preserve"> </w:t>
      </w:r>
      <w:r>
        <w:t xml:space="preserve">even on a relatively short 9‑year window.</w:t>
      </w:r>
      <w:r>
        <w:t xml:space="preserve"> </w:t>
      </w:r>
      <w:hyperlink r:id="rId22">
        <w:r>
          <w:rPr>
            <w:rStyle w:val="Hyperlink"/>
          </w:rPr>
          <w:t xml:space="preserve">[2]</w:t>
        </w:r>
      </w:hyperlink>
    </w:p>
    <w:p>
      <w:pPr>
        <w:pStyle w:val="BodyText"/>
      </w:pPr>
      <w:r>
        <w:t xml:space="preserve">A compact econometric read of those PFMC SAFE time series suggests that</w:t>
      </w:r>
      <w:r>
        <w:t xml:space="preserve"> </w:t>
      </w:r>
      <w:r>
        <w:rPr>
          <w:b/>
          <w:bCs/>
        </w:rPr>
        <w:t xml:space="preserve">supply shocks dominate short-run pricing</w:t>
      </w:r>
      <w:r>
        <w:t xml:space="preserve">, consistent with a multi-species fleet that switches targets “depending on market conditions” and stock availability</w:t>
      </w:r>
      <w:r>
        <w:t xml:space="preserve"> </w:t>
      </w:r>
      <w:hyperlink r:id="rId23">
        <w:r>
          <w:rPr>
            <w:rStyle w:val="Hyperlink"/>
          </w:rPr>
          <w:t xml:space="preserve">[3]</w:t>
        </w:r>
      </w:hyperlink>
      <w:r>
        <w:t xml:space="preserve">: a simple log–log supply-price specification implies an estimated</w:t>
      </w:r>
      <w:r>
        <w:t xml:space="preserve"> </w:t>
      </w:r>
      <w:r>
        <w:rPr>
          <w:b/>
          <w:bCs/>
        </w:rPr>
        <w:t xml:space="preserve">price elasticity of about −0.24</w:t>
      </w:r>
      <w:r>
        <w:t xml:space="preserve"> </w:t>
      </w:r>
      <w:r>
        <w:t xml:space="preserve">with respect to landings (i.e., +1% landings associated with ~0.24% lower ex-vessel price), though inference is constrained by small‑N annual data.</w:t>
      </w:r>
      <w:r>
        <w:t xml:space="preserve"> </w:t>
      </w:r>
      <w:hyperlink r:id="rId22">
        <w:r>
          <w:rPr>
            <w:rStyle w:val="Hyperlink"/>
          </w:rPr>
          <w:t xml:space="preserve">[2]</w:t>
        </w:r>
      </w:hyperlink>
    </w:p>
    <w:p>
      <w:pPr>
        <w:pStyle w:val="BodyText"/>
      </w:pPr>
      <w:r>
        <w:t xml:space="preserve">On the production/biological side, the North Pacific Fisheries Commission (NPFC) chub mackerel stock assessment for the Northwest Pacific Ocean (NWPO) documents: (1)</w:t>
      </w:r>
      <w:r>
        <w:t xml:space="preserve"> </w:t>
      </w:r>
      <w:r>
        <w:rPr>
          <w:b/>
          <w:bCs/>
        </w:rPr>
        <w:t xml:space="preserve">large historical catch swings</w:t>
      </w:r>
      <w:r>
        <w:t xml:space="preserve">, including a recent decline from ~</w:t>
      </w:r>
      <w:r>
        <w:rPr>
          <w:b/>
          <w:bCs/>
        </w:rPr>
        <w:t xml:space="preserve">516,000 mt (2018)</w:t>
      </w:r>
      <w:r>
        <w:t xml:space="preserve"> </w:t>
      </w:r>
      <w:r>
        <w:t xml:space="preserve">to ~</w:t>
      </w:r>
      <w:r>
        <w:rPr>
          <w:b/>
          <w:bCs/>
        </w:rPr>
        <w:t xml:space="preserve">151,000 mt (CY 2023)</w:t>
      </w:r>
      <w:r>
        <w:t xml:space="preserve">; and (2)</w:t>
      </w:r>
      <w:r>
        <w:t xml:space="preserve"> </w:t>
      </w:r>
      <w:r>
        <w:rPr>
          <w:b/>
          <w:bCs/>
        </w:rPr>
        <w:t xml:space="preserve">recent decreases in weight-at-age and maturity-at-age</w:t>
      </w:r>
      <w:r>
        <w:t xml:space="preserve">, which directly lower spawning biomass for a given number-at-age and can shift reference points.</w:t>
      </w:r>
      <w:r>
        <w:t xml:space="preserve"> </w:t>
      </w:r>
      <w:hyperlink r:id="rId24">
        <w:r>
          <w:rPr>
            <w:rStyle w:val="Hyperlink"/>
          </w:rPr>
          <w:t xml:space="preserve">[4]</w:t>
        </w:r>
      </w:hyperlink>
      <w:r>
        <w:t xml:space="preserve"> </w:t>
      </w:r>
      <w:r>
        <w:t xml:space="preserve">This is a direct route by which oceanography (temperature, productivity, prey fields, currents, and regime indices) can propagate into economics: through growth, maturation, recruitment, and ultimately harvestable biomass and landings.</w:t>
      </w:r>
    </w:p>
    <w:p>
      <w:pPr>
        <w:pStyle w:val="BodyText"/>
      </w:pPr>
      <w:r>
        <w:t xml:space="preserve">A key practical finding for management and industry is that</w:t>
      </w:r>
      <w:r>
        <w:t xml:space="preserve"> </w:t>
      </w:r>
      <w:r>
        <w:rPr>
          <w:b/>
          <w:bCs/>
        </w:rPr>
        <w:t xml:space="preserve">price risk is structurally linked to biological and oceanographic risk</w:t>
      </w:r>
      <w:r>
        <w:t xml:space="preserve">. Policies that smooth supply (e.g., adaptive harvest controls, interannual catch limits, and market mechanisms such as storage/processing buffers) can reduce price collapses during high‑abundance years, while monitoring programs that track</w:t>
      </w:r>
      <w:r>
        <w:t xml:space="preserve"> </w:t>
      </w:r>
      <w:r>
        <w:rPr>
          <w:b/>
          <w:bCs/>
        </w:rPr>
        <w:t xml:space="preserve">interannual body condition and size</w:t>
      </w:r>
      <w:r>
        <w:t xml:space="preserve"> </w:t>
      </w:r>
      <w:r>
        <w:t xml:space="preserve">can provide early warnings of weaker cohorts and future price spikes or shortages. NPFC’s adoption of a</w:t>
      </w:r>
      <w:r>
        <w:t xml:space="preserve"> </w:t>
      </w:r>
      <w:r>
        <w:rPr>
          <w:b/>
          <w:bCs/>
        </w:rPr>
        <w:t xml:space="preserve">state-space stock assessment model (SAM)</w:t>
      </w:r>
      <w:r>
        <w:t xml:space="preserve"> </w:t>
      </w:r>
      <w:r>
        <w:t xml:space="preserve">that explicitly ingests catch-at-age, weight-at-age, and maturity-at-age is consistent with this integrated bioeconomic logic.</w:t>
      </w:r>
      <w:r>
        <w:t xml:space="preserve"> </w:t>
      </w:r>
      <w:hyperlink r:id="rId24">
        <w:r>
          <w:rPr>
            <w:rStyle w:val="Hyperlink"/>
          </w:rPr>
          <w:t xml:space="preserve">[4]</w:t>
        </w:r>
      </w:hyperlink>
    </w:p>
    <w:bookmarkEnd w:id="25"/>
    <w:bookmarkStart w:id="28" w:name="X525b35761d24f02a9c00206b3a29d8f4eb6cd96"/>
    <w:p>
      <w:pPr>
        <w:pStyle w:val="Heading2"/>
      </w:pPr>
      <w:r>
        <w:t xml:space="preserve">Scope, taxa, and Pacific Rim market system context</w:t>
      </w:r>
    </w:p>
    <w:bookmarkStart w:id="26" w:name="taxonomic-and-market-framing"/>
    <w:p>
      <w:pPr>
        <w:pStyle w:val="Heading3"/>
      </w:pPr>
      <w:r>
        <w:t xml:space="preserve">Taxonomic and market framing</w:t>
      </w:r>
    </w:p>
    <w:p>
      <w:pPr>
        <w:pStyle w:val="FirstParagraph"/>
      </w:pPr>
      <w:r>
        <w:t xml:space="preserve">The user’s scope—</w:t>
      </w:r>
      <w:r>
        <w:rPr>
          <w:i/>
          <w:iCs/>
        </w:rPr>
        <w:t xml:space="preserve">Scomber japonicus</w:t>
      </w:r>
      <w:r>
        <w:t xml:space="preserve"> </w:t>
      </w:r>
      <w:r>
        <w:t xml:space="preserve">plus “related regional taxa”—is operationally important because market categories often aggregate similar mackerel products (fresh vs frozen, whole vs processed, chub vs “blue” mackerel, domestic vs imported). Even where scientific names are tracked, fisheries and markets frequently report in common-name groupings. For example, NPFC notes that a</w:t>
      </w:r>
      <w:r>
        <w:t xml:space="preserve"> </w:t>
      </w:r>
      <w:r>
        <w:rPr>
          <w:b/>
          <w:bCs/>
        </w:rPr>
        <w:t xml:space="preserve">provisional Chinese catch for 2023</w:t>
      </w:r>
      <w:r>
        <w:t xml:space="preserve"> </w:t>
      </w:r>
      <w:r>
        <w:t xml:space="preserve">was estimated using a historical ratio “for chub mackerel and blue mackerel,” reflecting practical aggregation issues in reporting.</w:t>
      </w:r>
      <w:r>
        <w:t xml:space="preserve"> </w:t>
      </w:r>
      <w:hyperlink r:id="rId24">
        <w:r>
          <w:rPr>
            <w:rStyle w:val="Hyperlink"/>
          </w:rPr>
          <w:t xml:space="preserve">[4]</w:t>
        </w:r>
      </w:hyperlink>
    </w:p>
    <w:p>
      <w:pPr>
        <w:pStyle w:val="BodyText"/>
      </w:pPr>
      <w:r>
        <w:t xml:space="preserve">On the U.S. West Coast, Pacific mackerel is managed as part of a</w:t>
      </w:r>
      <w:r>
        <w:t xml:space="preserve"> </w:t>
      </w:r>
      <w:r>
        <w:rPr>
          <w:b/>
          <w:bCs/>
        </w:rPr>
        <w:t xml:space="preserve">multi-species CPS fishery</w:t>
      </w:r>
      <w:r>
        <w:t xml:space="preserve">, and NOAA notes fishermen “typically switch between various CPS depending on market conditions [and] availability of the target CPS stocks.”</w:t>
      </w:r>
      <w:r>
        <w:t xml:space="preserve"> </w:t>
      </w:r>
      <w:hyperlink r:id="rId23">
        <w:r>
          <w:rPr>
            <w:rStyle w:val="Hyperlink"/>
          </w:rPr>
          <w:t xml:space="preserve">[3]</w:t>
        </w:r>
      </w:hyperlink>
      <w:r>
        <w:t xml:space="preserve"> </w:t>
      </w:r>
      <w:r>
        <w:t xml:space="preserve">This switching behavior is a core confounder in price dynamics: the relevant supply curve is not only “mackerel biomass → mackerel catch,” but also “relative profitability → effort allocation among CPS.”</w:t>
      </w:r>
    </w:p>
    <w:bookmarkEnd w:id="26"/>
    <w:bookmarkStart w:id="27" w:name="Xbbc8043132aeb2fcdfae66dbadf1b19100118a9"/>
    <w:p>
      <w:pPr>
        <w:pStyle w:val="Heading3"/>
      </w:pPr>
      <w:r>
        <w:t xml:space="preserve">Major Pacific Rim market nodes emphasized in this report</w:t>
      </w:r>
    </w:p>
    <w:p>
      <w:pPr>
        <w:pStyle w:val="FirstParagraph"/>
      </w:pPr>
      <w:r>
        <w:t xml:space="preserve">This report focuses on the markets and ports specified by the user (Japan’s Tokyo wholesale system—Tsukiji/Toyosu; Korea’s Noryangjin; China coastal ports; Taiwan; Philippines; U.S. West Coast; Chile; Russia Far East; Australia/NZ), but it treats “market” in a layered way:</w:t>
      </w:r>
    </w:p>
    <w:p>
      <w:pPr>
        <w:pStyle w:val="Compact"/>
        <w:numPr>
          <w:ilvl w:val="0"/>
          <w:numId w:val="1001"/>
        </w:numPr>
      </w:pPr>
      <w:r>
        <w:t xml:space="preserve">At the</w:t>
      </w:r>
      <w:r>
        <w:t xml:space="preserve"> </w:t>
      </w:r>
      <w:r>
        <w:rPr>
          <w:b/>
          <w:bCs/>
        </w:rPr>
        <w:t xml:space="preserve">dock / first sale</w:t>
      </w:r>
      <w:r>
        <w:t xml:space="preserve"> </w:t>
      </w:r>
      <w:r>
        <w:t xml:space="preserve">level (ex-vessel), prices respond most directly to local landings and regulations; PFMC SAFE provides the cleanest public, inflation-adjusted revenue series for Pacific mackerel on the U.S. West Coast.</w:t>
      </w:r>
      <w:r>
        <w:t xml:space="preserve"> </w:t>
      </w:r>
      <w:hyperlink r:id="rId22">
        <w:r>
          <w:rPr>
            <w:rStyle w:val="Hyperlink"/>
          </w:rPr>
          <w:t xml:space="preserve">[2]</w:t>
        </w:r>
      </w:hyperlink>
    </w:p>
    <w:p>
      <w:pPr>
        <w:pStyle w:val="Compact"/>
        <w:numPr>
          <w:ilvl w:val="0"/>
          <w:numId w:val="1001"/>
        </w:numPr>
      </w:pPr>
      <w:r>
        <w:t xml:space="preserve">At the</w:t>
      </w:r>
      <w:r>
        <w:t xml:space="preserve"> </w:t>
      </w:r>
      <w:r>
        <w:rPr>
          <w:b/>
          <w:bCs/>
        </w:rPr>
        <w:t xml:space="preserve">wholesale market</w:t>
      </w:r>
      <w:r>
        <w:t xml:space="preserve"> </w:t>
      </w:r>
      <w:r>
        <w:t xml:space="preserve">level (e.g., Toyosu-type systems), prices reflect both upstream supply and downstream demand conditions and are often more seasonal and segmented by product form and origin.</w:t>
      </w:r>
    </w:p>
    <w:p>
      <w:pPr>
        <w:pStyle w:val="FirstParagraph"/>
      </w:pPr>
      <w:r>
        <w:t xml:space="preserve">The “Major Pacific Rim market/port reference locations” coordinate map produced in the figures (lon/lat scatter) provides a geographic index for the market nodes referenced in the text.</w:t>
      </w:r>
    </w:p>
    <w:bookmarkEnd w:id="27"/>
    <w:bookmarkEnd w:id="28"/>
    <w:bookmarkStart w:id="37" w:name="data-sources-coverage-and-gaps"/>
    <w:p>
      <w:pPr>
        <w:pStyle w:val="Heading2"/>
      </w:pPr>
      <w:r>
        <w:t xml:space="preserve">Data sources, coverage, and gaps</w:t>
      </w:r>
    </w:p>
    <w:bookmarkStart w:id="31" w:name="X549f0e84cb0314c20a4115a93087e6733d76766"/>
    <w:p>
      <w:pPr>
        <w:pStyle w:val="Heading3"/>
      </w:pPr>
      <w:r>
        <w:t xml:space="preserve">Market price and volume time series sources used directly in analysis</w:t>
      </w:r>
    </w:p>
    <w:p>
      <w:pPr>
        <w:pStyle w:val="FirstParagraph"/>
      </w:pPr>
      <w:r>
        <w:t xml:space="preserve">The core, fully numeric market time series analyzed here comes from PFMC’s CPS SAFE report (May 2024 edition). The SAFE provides annual series (2014–2022) for Pacific mackerel</w:t>
      </w:r>
      <w:r>
        <w:t xml:space="preserve"> </w:t>
      </w:r>
      <w:r>
        <w:rPr>
          <w:b/>
          <w:bCs/>
        </w:rPr>
        <w:t xml:space="preserve">landings (mt)</w:t>
      </w:r>
      <w:r>
        <w:t xml:space="preserve"> </w:t>
      </w:r>
      <w:r>
        <w:t xml:space="preserve">and</w:t>
      </w:r>
      <w:r>
        <w:t xml:space="preserve"> </w:t>
      </w:r>
      <w:r>
        <w:rPr>
          <w:b/>
          <w:bCs/>
        </w:rPr>
        <w:t xml:space="preserve">ex-vessel revenue in 2022 dollars</w:t>
      </w:r>
      <w:r>
        <w:t xml:space="preserve"> </w:t>
      </w:r>
      <w:r>
        <w:t xml:space="preserve">in tabular form.</w:t>
      </w:r>
      <w:r>
        <w:t xml:space="preserve"> </w:t>
      </w:r>
      <w:hyperlink r:id="rId22">
        <w:r>
          <w:rPr>
            <w:rStyle w:val="Hyperlink"/>
          </w:rPr>
          <w:t xml:space="preserve">[2]</w:t>
        </w:r>
      </w:hyperlink>
      <w:r>
        <w:t xml:space="preserve"> </w:t>
      </w:r>
      <w:r>
        <w:t xml:space="preserve">These allow construction of an annual real ex-vessel price proxy:</w:t>
      </w:r>
    </w:p>
    <w:p>
      <w:pPr>
        <w:pStyle w:val="BodyText"/>
      </w:pPr>
      <m:oMathPara>
        <m:oMathParaPr>
          <m:jc m:val="center"/>
        </m:oMathParaPr>
        <m:oMath>
          <m:sSub>
            <m:e>
              <m:r>
                <m:t>p</m:t>
              </m:r>
            </m:e>
            <m:sub>
              <m:r>
                <m:t>t</m:t>
              </m:r>
            </m:sub>
          </m:sSub>
          <m:r>
            <m:rPr>
              <m:sty m:val="p"/>
            </m:rPr>
            <m:t>=</m:t>
          </m:r>
          <m:f>
            <m:fPr>
              <m:type m:val="bar"/>
            </m:fPr>
            <m:num>
              <m:sSub>
                <m:e>
                  <m:r>
                    <m:rPr>
                      <m:nor/>
                      <m:sty m:val="p"/>
                    </m:rPr>
                    <m:t>Revenue</m:t>
                  </m:r>
                </m:e>
                <m:sub>
                  <m:r>
                    <m:t>t</m:t>
                  </m:r>
                </m:sub>
              </m:sSub>
            </m:num>
            <m:den>
              <m:sSub>
                <m:e>
                  <m:r>
                    <m:rPr>
                      <m:nor/>
                      <m:sty m:val="p"/>
                    </m:rPr>
                    <m:t>Landings</m:t>
                  </m:r>
                </m:e>
                <m:sub>
                  <m:r>
                    <m:t>t</m:t>
                  </m:r>
                </m:sub>
              </m:sSub>
            </m:den>
          </m:f>
        </m:oMath>
      </m:oMathPara>
    </w:p>
    <w:p>
      <w:pPr>
        <w:pStyle w:val="FirstParagraph"/>
      </w:pPr>
      <w:r>
        <w:t xml:space="preserve">This proxy is dockside (not wholesale), but it is tightly coupled to fishery supply behavior and is often the best-publicly-documented price layer for rigorous econometric work.</w:t>
      </w:r>
    </w:p>
    <w:p>
      <w:pPr>
        <w:pStyle w:val="BodyText"/>
      </w:pPr>
      <w:r>
        <w:t xml:space="preserve">For the ENSO/oceanographic matching, this report uses the Climate Prediction Center (CPC)</w:t>
      </w:r>
      <w:r>
        <w:t xml:space="preserve"> </w:t>
      </w:r>
      <w:r>
        <w:rPr>
          <w:b/>
          <w:bCs/>
        </w:rPr>
        <w:t xml:space="preserve">Oceanic Niño Index (ONI)</w:t>
      </w:r>
      <w:r>
        <w:t xml:space="preserve"> </w:t>
      </w:r>
      <w:r>
        <w:t xml:space="preserve">table. CPC defines ONI as the</w:t>
      </w:r>
      <w:r>
        <w:t xml:space="preserve"> </w:t>
      </w:r>
      <w:r>
        <w:rPr>
          <w:b/>
          <w:bCs/>
        </w:rPr>
        <w:t xml:space="preserve">3‑month running mean of ERSSTv5 SST anomalies in Niño 3.4 (5°N–5°S, 120°–170°W)</w:t>
      </w:r>
      <w:r>
        <w:t xml:space="preserve"> </w:t>
      </w:r>
      <w:r>
        <w:t xml:space="preserve">with event thresholds and caveats about recent revisions.</w:t>
      </w:r>
      <w:r>
        <w:t xml:space="preserve"> </w:t>
      </w:r>
      <w:hyperlink r:id="rId29">
        <w:r>
          <w:rPr>
            <w:rStyle w:val="Hyperlink"/>
          </w:rPr>
          <w:t xml:space="preserve">[5]</w:t>
        </w:r>
      </w:hyperlink>
      <w:r>
        <w:t xml:space="preserve"> </w:t>
      </w:r>
      <w:r>
        <w:t xml:space="preserve">In the empirical section, ONI is summarized (for each year) as the mean of the 12 overlapping seasonal ONI values (DJF through NDJ) reported by CPC.</w:t>
      </w:r>
      <w:r>
        <w:t xml:space="preserve"> </w:t>
      </w:r>
      <w:hyperlink r:id="rId29">
        <w:r>
          <w:rPr>
            <w:rStyle w:val="Hyperlink"/>
          </w:rPr>
          <w:t xml:space="preserve">[6]</w:t>
        </w:r>
      </w:hyperlink>
    </w:p>
    <w:p>
      <w:pPr>
        <w:pStyle w:val="BodyText"/>
      </w:pPr>
      <w:r>
        <w:t xml:space="preserve">For PDO, NOAA/PSL provides definition, coverage, and downloadable formats (monthly 1891/01–present; ensemble mean based on multiple SST products; leading EOF of North Pacific SSTA with climatology removal).</w:t>
      </w:r>
      <w:r>
        <w:t xml:space="preserve"> </w:t>
      </w:r>
      <w:hyperlink r:id="rId30">
        <w:r>
          <w:rPr>
            <w:rStyle w:val="Hyperlink"/>
          </w:rPr>
          <w:t xml:space="preserve">[7]</w:t>
        </w:r>
      </w:hyperlink>
      <w:r>
        <w:t xml:space="preserve"> </w:t>
      </w:r>
      <w:r>
        <w:t xml:space="preserve">In this report, PDO is not used numerically in regression due to tool-access constraints on extracting the continuous monthly series within the current session; it is kept as a recommended covariate for a “full” reproduction.</w:t>
      </w:r>
    </w:p>
    <w:bookmarkEnd w:id="31"/>
    <w:bookmarkStart w:id="33" w:name="X396cbb009f3f88e766b2aaf3e9aa9ec2c7d0c4f"/>
    <w:p>
      <w:pPr>
        <w:pStyle w:val="Heading3"/>
      </w:pPr>
      <w:r>
        <w:t xml:space="preserve">Key biological / stock-assessment sources for interannual size and maturity metrics</w:t>
      </w:r>
    </w:p>
    <w:p>
      <w:pPr>
        <w:pStyle w:val="FirstParagraph"/>
      </w:pPr>
      <w:r>
        <w:t xml:space="preserve">The Northwest Pacific biological component is anchored on the NPFC chub mackerel stock assessment report. NPFC documents that SAM “uses age-specific data on catch numbers, stock weight, and maturity rate in each year,” and explicitly references time series of mean weight-at-age and maturity-at-age (including recent decreases).</w:t>
      </w:r>
      <w:r>
        <w:t xml:space="preserve"> </w:t>
      </w:r>
      <w:hyperlink r:id="rId24">
        <w:r>
          <w:rPr>
            <w:rStyle w:val="Hyperlink"/>
          </w:rPr>
          <w:t xml:space="preserve">[4]</w:t>
        </w:r>
      </w:hyperlink>
      <w:r>
        <w:t xml:space="preserve"> </w:t>
      </w:r>
      <w:r>
        <w:t xml:space="preserve">The report also documents data provenance (Japan, China, Russia sampling programs; survey and fishery inputs) and the use of a July–June fishing year for stock assessment.</w:t>
      </w:r>
      <w:r>
        <w:t xml:space="preserve"> </w:t>
      </w:r>
      <w:hyperlink r:id="rId24">
        <w:r>
          <w:rPr>
            <w:rStyle w:val="Hyperlink"/>
          </w:rPr>
          <w:t xml:space="preserve">[4]</w:t>
        </w:r>
      </w:hyperlink>
    </w:p>
    <w:p>
      <w:pPr>
        <w:pStyle w:val="BodyText"/>
      </w:pPr>
      <w:r>
        <w:t xml:space="preserve">For the U.S. West Coast, a NOAA technical memorandum/assessment materials describe Pacific mackerel assessment scope and landings coverage (2008–2022) at a stock-assessment level, and other NOAA-linked technical documents report that biological samples were collected during trawl surveys in 2010–2021 and 2012–2022 windows for life history and assessment support.</w:t>
      </w:r>
      <w:r>
        <w:t xml:space="preserve"> </w:t>
      </w:r>
      <w:hyperlink r:id="rId32">
        <w:r>
          <w:rPr>
            <w:rStyle w:val="Hyperlink"/>
          </w:rPr>
          <w:t xml:space="preserve">[8]</w:t>
        </w:r>
      </w:hyperlink>
      <w:r>
        <w:t xml:space="preserve"> </w:t>
      </w:r>
      <w:r>
        <w:t xml:space="preserve">(A full interannual mean length/weight analysis for the U.S. West Coast would require extracting those biological sampling series; this report flags that as an explicit gap.)</w:t>
      </w:r>
    </w:p>
    <w:bookmarkEnd w:id="33"/>
    <w:bookmarkStart w:id="36" w:name="X7efc646439bb7c228d15bb727a6e9442e56fd6e"/>
    <w:p>
      <w:pPr>
        <w:pStyle w:val="Heading3"/>
      </w:pPr>
      <w:r>
        <w:t xml:space="preserve">Region-by-region “what exists” inventory and gaps</w:t>
      </w:r>
    </w:p>
    <w:p>
      <w:pPr>
        <w:pStyle w:val="FirstParagraph"/>
      </w:pPr>
      <w:r>
        <w:t xml:space="preserve">Japan has long-running market and fisheries statistics, but in this session only metadata-level access was feasible. Tokyo Metropolitan Government publishes a “monthly report” </w:t>
      </w:r>
      <w:r>
        <w:rPr>
          <w:rFonts w:hint="eastAsia"/>
        </w:rPr>
        <w:t xml:space="preserve">(月報/年報-style)</w:t>
      </w:r>
      <w:r>
        <w:t xml:space="preserve"> portal for the central wholesale market system (Toyosu/Tsukiji), including fisheries product statistics and downloadable files; however, direct time-series extraction was blocked by access restrictions in the current environment.</w:t>
      </w:r>
      <w:r>
        <w:t xml:space="preserve"> </w:t>
      </w:r>
      <w:hyperlink r:id="rId34">
        <w:r>
          <w:rPr>
            <w:rStyle w:val="Hyperlink"/>
          </w:rPr>
          <w:t xml:space="preserve">[9]</w:t>
        </w:r>
      </w:hyperlink>
      <w:r>
        <w:t xml:space="preserve"> </w:t>
      </w:r>
      <w:r>
        <w:t xml:space="preserve">Japan’s e‑Stat provides a “Fisheries Distribution Survey” monthly reporting framework and related documentation; again, programmatic extraction of the numeric tables requires e‑Stat download/API access not available here.</w:t>
      </w:r>
      <w:r>
        <w:t xml:space="preserve"> </w:t>
      </w:r>
      <w:hyperlink r:id="rId35">
        <w:r>
          <w:rPr>
            <w:rStyle w:val="Hyperlink"/>
          </w:rPr>
          <w:t xml:space="preserve">[10]</w:t>
        </w:r>
      </w:hyperlink>
    </w:p>
    <w:p>
      <w:pPr>
        <w:pStyle w:val="BodyText"/>
      </w:pPr>
      <w:r>
        <w:t xml:space="preserve">For Korea (Noryangjin), China (major coastal ports), Taiwan, Philippines, Chile, and Australia/NZ, public time series frequently exist either as market bulletins, ministry dashboards, or port auction records, but they vary widely in openness, machine accessibility, and species taxonomy. Given the tool constraints reached in this session, this report treats those markets as part of the causal system and recommends specific dataset classes to retrieve, but it cannot provide harmonized numeric price series for each of those markets within the current run.</w:t>
      </w:r>
    </w:p>
    <w:bookmarkEnd w:id="36"/>
    <w:bookmarkEnd w:id="37"/>
    <w:bookmarkStart w:id="40" w:name="X994636b4bdceab1c2b6648b94b0ade5b1ef1d08"/>
    <w:p>
      <w:pPr>
        <w:pStyle w:val="Heading2"/>
      </w:pPr>
      <w:r>
        <w:t xml:space="preserve">Analytical framework and modeling approach</w:t>
      </w:r>
    </w:p>
    <w:bookmarkStart w:id="38" w:name="conceptual-causal-structure"/>
    <w:p>
      <w:pPr>
        <w:pStyle w:val="Heading3"/>
      </w:pPr>
      <w:r>
        <w:t xml:space="preserve">Conceptual causal structure</w:t>
      </w:r>
    </w:p>
    <w:p>
      <w:pPr>
        <w:pStyle w:val="SourceCode"/>
      </w:pPr>
      <w:r>
        <w:rPr>
          <w:rStyle w:val="VerbatimChar"/>
        </w:rPr>
        <w:t xml:space="preserve">flowchart TD</w:t>
      </w:r>
      <w:r>
        <w:br/>
      </w:r>
      <w:r>
        <w:rPr>
          <w:rStyle w:val="VerbatimChar"/>
        </w:rPr>
        <w:t xml:space="preserve">  A[Large-scale climate forcing&lt;br/&gt;ENSO, PDO, wind stress] --&gt; B[Regional oceanography&lt;br/&gt;SST, stratification, upwelling, chlorophyll-a]</w:t>
      </w:r>
      <w:r>
        <w:br/>
      </w:r>
      <w:r>
        <w:rPr>
          <w:rStyle w:val="VerbatimChar"/>
        </w:rPr>
        <w:t xml:space="preserve">  B --&gt; C[Prey field &amp; trophic conditions&lt;br/&gt;zooplankton availability]</w:t>
      </w:r>
      <w:r>
        <w:br/>
      </w:r>
      <w:r>
        <w:rPr>
          <w:rStyle w:val="VerbatimChar"/>
        </w:rPr>
        <w:t xml:space="preserve">  B --&gt; D[Distribution &amp; availability to fleets&lt;br/&gt;distance to fishing grounds]</w:t>
      </w:r>
      <w:r>
        <w:br/>
      </w:r>
      <w:r>
        <w:rPr>
          <w:rStyle w:val="VerbatimChar"/>
        </w:rPr>
        <w:t xml:space="preserve">  C --&gt; E[Biological performance&lt;br/&gt;growth, weight-at-age, condition factor]</w:t>
      </w:r>
      <w:r>
        <w:br/>
      </w:r>
      <w:r>
        <w:rPr>
          <w:rStyle w:val="VerbatimChar"/>
        </w:rPr>
        <w:t xml:space="preserve">  E --&gt; F[Demography&lt;br/&gt;maturity-at-age, recruitment, SSB]</w:t>
      </w:r>
      <w:r>
        <w:br/>
      </w:r>
      <w:r>
        <w:rPr>
          <w:rStyle w:val="VerbatimChar"/>
        </w:rPr>
        <w:t xml:space="preserve">  F --&gt; G[Harvestable biomass &amp; TAC/HG settings]</w:t>
      </w:r>
      <w:r>
        <w:br/>
      </w:r>
      <w:r>
        <w:rPr>
          <w:rStyle w:val="VerbatimChar"/>
        </w:rPr>
        <w:t xml:space="preserve">  D --&gt; H[Catchability / effort allocation]</w:t>
      </w:r>
      <w:r>
        <w:br/>
      </w:r>
      <w:r>
        <w:rPr>
          <w:rStyle w:val="VerbatimChar"/>
        </w:rPr>
        <w:t xml:space="preserve">  G --&gt; I[Landings volume (supply)]</w:t>
      </w:r>
      <w:r>
        <w:br/>
      </w:r>
      <w:r>
        <w:rPr>
          <w:rStyle w:val="VerbatimChar"/>
        </w:rPr>
        <w:t xml:space="preserve">  H --&gt; I</w:t>
      </w:r>
      <w:r>
        <w:br/>
      </w:r>
      <w:r>
        <w:rPr>
          <w:rStyle w:val="VerbatimChar"/>
        </w:rPr>
        <w:t xml:space="preserve">  I --&gt; J[Dockside &amp; wholesale prices]</w:t>
      </w:r>
      <w:r>
        <w:br/>
      </w:r>
      <w:r>
        <w:rPr>
          <w:rStyle w:val="VerbatimChar"/>
        </w:rPr>
        <w:t xml:space="preserve">  K[Regulations &amp; closures&lt;br/&gt;season structures, catch limits] --&gt; I</w:t>
      </w:r>
      <w:r>
        <w:br/>
      </w:r>
      <w:r>
        <w:rPr>
          <w:rStyle w:val="VerbatimChar"/>
        </w:rPr>
        <w:t xml:space="preserve">  K --&gt; J</w:t>
      </w:r>
      <w:r>
        <w:br/>
      </w:r>
      <w:r>
        <w:rPr>
          <w:rStyle w:val="VerbatimChar"/>
        </w:rPr>
        <w:t xml:space="preserve">  L[Substitution across CPS / imports] --&gt; J</w:t>
      </w:r>
      <w:r>
        <w:br/>
      </w:r>
      <w:r>
        <w:rPr>
          <w:rStyle w:val="VerbatimChar"/>
        </w:rPr>
        <w:t xml:space="preserve">  M[Fuel prices &amp; logistics] --&gt; I</w:t>
      </w:r>
      <w:r>
        <w:br/>
      </w:r>
      <w:r>
        <w:rPr>
          <w:rStyle w:val="VerbatimChar"/>
        </w:rPr>
        <w:t xml:space="preserve">  M --&gt; J</w:t>
      </w:r>
    </w:p>
    <w:p>
      <w:pPr>
        <w:pStyle w:val="FirstParagraph"/>
      </w:pPr>
      <w:r>
        <w:t xml:space="preserve">This flow is consistent with how NPFC frames assessment inputs (weight-at-age and maturity-at-age as time-varying biological parameters that affect SSB)</w:t>
      </w:r>
      <w:r>
        <w:t xml:space="preserve"> </w:t>
      </w:r>
      <w:hyperlink r:id="rId24">
        <w:r>
          <w:rPr>
            <w:rStyle w:val="Hyperlink"/>
          </w:rPr>
          <w:t xml:space="preserve">[4]</w:t>
        </w:r>
      </w:hyperlink>
      <w:r>
        <w:t xml:space="preserve"> </w:t>
      </w:r>
      <w:r>
        <w:t xml:space="preserve">and with NOAA’s description of CPS fishers switching targets based on market conditions and stock availability.</w:t>
      </w:r>
      <w:r>
        <w:t xml:space="preserve"> </w:t>
      </w:r>
      <w:hyperlink r:id="rId23">
        <w:r>
          <w:rPr>
            <w:rStyle w:val="Hyperlink"/>
          </w:rPr>
          <w:t xml:space="preserve">[3]</w:t>
        </w:r>
      </w:hyperlink>
    </w:p>
    <w:bookmarkEnd w:id="38"/>
    <w:bookmarkStart w:id="39" w:name="econometric-logic-implemented-here"/>
    <w:p>
      <w:pPr>
        <w:pStyle w:val="Heading3"/>
      </w:pPr>
      <w:r>
        <w:t xml:space="preserve">Econometric logic implemented here</w:t>
      </w:r>
    </w:p>
    <w:p>
      <w:pPr>
        <w:pStyle w:val="FirstParagraph"/>
      </w:pPr>
      <w:r>
        <w:t xml:space="preserve">Because the only fully numeric cross-year price series accessible in-session is the PFMC CPS SAFE U.S. West Coast ex-vessel revenue and landings series (2014–2022), the empirical section uses this as a “worked example” illustrating the methods the user requested:</w:t>
      </w:r>
    </w:p>
    <w:p>
      <w:pPr>
        <w:pStyle w:val="Compact"/>
        <w:numPr>
          <w:ilvl w:val="0"/>
          <w:numId w:val="1002"/>
        </w:numPr>
      </w:pPr>
      <w:r>
        <w:t xml:space="preserve">Time-series association and cross-correlation between landings (supply) and price.</w:t>
      </w:r>
    </w:p>
    <w:p>
      <w:pPr>
        <w:pStyle w:val="Compact"/>
        <w:numPr>
          <w:ilvl w:val="0"/>
          <w:numId w:val="1002"/>
        </w:numPr>
      </w:pPr>
      <w:r>
        <w:t xml:space="preserve">Lag structure exploration (limited by annual resolution).</w:t>
      </w:r>
    </w:p>
    <w:p>
      <w:pPr>
        <w:pStyle w:val="Compact"/>
        <w:numPr>
          <w:ilvl w:val="0"/>
          <w:numId w:val="1002"/>
        </w:numPr>
      </w:pPr>
      <w:r>
        <w:t xml:space="preserve">Regression models:</w:t>
      </w:r>
    </w:p>
    <w:p>
      <w:pPr>
        <w:pStyle w:val="Compact"/>
        <w:numPr>
          <w:ilvl w:val="0"/>
          <w:numId w:val="1002"/>
        </w:numPr>
      </w:pPr>
      <w:r>
        <w:t xml:space="preserve">Supply-only:</w:t>
      </w:r>
      <w:r>
        <w:t xml:space="preserve"> </w:t>
      </w:r>
      <m:oMath>
        <m:r>
          <m:rPr>
            <m:sty m:val="p"/>
          </m:rPr>
          <m:t>log</m:t>
        </m:r>
        <m:d>
          <m:dPr>
            <m:begChr m:val="("/>
            <m:sepChr m:val=""/>
            <m:endChr m:val=")"/>
            <m:grow/>
          </m:dPr>
          <m:e>
            <m:sSub>
              <m:e>
                <m:r>
                  <m:t>p</m:t>
                </m:r>
              </m:e>
              <m:sub>
                <m:r>
                  <m:t>t</m:t>
                </m:r>
              </m:sub>
            </m:sSub>
          </m:e>
        </m:d>
        <m:r>
          <m:rPr>
            <m:sty m:val="p"/>
          </m:rPr>
          <m:t>=</m:t>
        </m:r>
        <m:r>
          <m:t>α</m:t>
        </m:r>
        <m:r>
          <m:rPr>
            <m:sty m:val="p"/>
          </m:rPr>
          <m:t>+</m:t>
        </m:r>
        <m:r>
          <m:t>β</m:t>
        </m:r>
        <m:r>
          <m:rPr>
            <m:sty m:val="p"/>
          </m:rPr>
          <m:t>log</m:t>
        </m:r>
        <m:d>
          <m:dPr>
            <m:begChr m:val="("/>
            <m:sepChr m:val=""/>
            <m:endChr m:val=")"/>
            <m:grow/>
          </m:dPr>
          <m:e>
            <m:sSub>
              <m:e>
                <m:r>
                  <m:t>Q</m:t>
                </m:r>
              </m:e>
              <m:sub>
                <m:r>
                  <m:t>t</m:t>
                </m:r>
              </m:sub>
            </m:sSub>
          </m:e>
        </m:d>
        <m:r>
          <m:rPr>
            <m:sty m:val="p"/>
          </m:rPr>
          <m:t>+</m:t>
        </m:r>
        <m:sSub>
          <m:e>
            <m:r>
              <m:t>ϵ</m:t>
            </m:r>
          </m:e>
          <m:sub>
            <m:r>
              <m:t>t</m:t>
            </m:r>
          </m:sub>
        </m:sSub>
      </m:oMath>
      <w:r>
        <w:t xml:space="preserve">.</w:t>
      </w:r>
    </w:p>
    <w:p>
      <w:pPr>
        <w:pStyle w:val="Compact"/>
        <w:numPr>
          <w:ilvl w:val="0"/>
          <w:numId w:val="1002"/>
        </w:numPr>
      </w:pPr>
      <w:r>
        <w:t xml:space="preserve">Supply+ENSO proxy:</w:t>
      </w:r>
      <w:r>
        <w:t xml:space="preserve"> </w:t>
      </w:r>
      <m:oMath>
        <m:r>
          <m:rPr>
            <m:sty m:val="p"/>
          </m:rPr>
          <m:t>log</m:t>
        </m:r>
        <m:d>
          <m:dPr>
            <m:begChr m:val="("/>
            <m:sepChr m:val=""/>
            <m:endChr m:val=")"/>
            <m:grow/>
          </m:dPr>
          <m:e>
            <m:sSub>
              <m:e>
                <m:r>
                  <m:t>p</m:t>
                </m:r>
              </m:e>
              <m:sub>
                <m:r>
                  <m:t>t</m:t>
                </m:r>
              </m:sub>
            </m:sSub>
          </m:e>
        </m:d>
        <m:r>
          <m:rPr>
            <m:sty m:val="p"/>
          </m:rPr>
          <m:t>=</m:t>
        </m:r>
        <m:r>
          <m:t>α</m:t>
        </m:r>
        <m:r>
          <m:rPr>
            <m:sty m:val="p"/>
          </m:rPr>
          <m:t>+</m:t>
        </m:r>
        <m:r>
          <m:t>β</m:t>
        </m:r>
        <m:r>
          <m:rPr>
            <m:sty m:val="p"/>
          </m:rPr>
          <m:t>log</m:t>
        </m:r>
        <m:d>
          <m:dPr>
            <m:begChr m:val="("/>
            <m:sepChr m:val=""/>
            <m:endChr m:val=")"/>
            <m:grow/>
          </m:dPr>
          <m:e>
            <m:sSub>
              <m:e>
                <m:r>
                  <m:t>Q</m:t>
                </m:r>
              </m:e>
              <m:sub>
                <m:r>
                  <m:t>t</m:t>
                </m:r>
              </m:sub>
            </m:sSub>
          </m:e>
        </m:d>
        <m:r>
          <m:rPr>
            <m:sty m:val="p"/>
          </m:rPr>
          <m:t>+</m:t>
        </m:r>
        <m:r>
          <m:t>γ</m:t>
        </m:r>
        <m:sSub>
          <m:e>
            <m:r>
              <m:rPr>
                <m:sty m:val="p"/>
              </m:rPr>
              <m:t>O</m:t>
            </m:r>
            <m:r>
              <m:rPr>
                <m:sty m:val="p"/>
              </m:rPr>
              <m:t>N</m:t>
            </m:r>
            <m:r>
              <m:rPr>
                <m:sty m:val="p"/>
              </m:rPr>
              <m:t>I</m:t>
            </m:r>
          </m:e>
          <m:sub>
            <m:r>
              <m:t>t</m:t>
            </m:r>
          </m:sub>
        </m:sSub>
        <m:r>
          <m:rPr>
            <m:sty m:val="p"/>
          </m:rPr>
          <m:t>+</m:t>
        </m:r>
        <m:sSub>
          <m:e>
            <m:r>
              <m:t>ϵ</m:t>
            </m:r>
          </m:e>
          <m:sub>
            <m:r>
              <m:t>t</m:t>
            </m:r>
          </m:sub>
        </m:sSub>
      </m:oMath>
      <w:r>
        <w:t xml:space="preserve">, where ONI uses CPC’s standard Niño 3.4 SST anomaly measure.</w:t>
      </w:r>
      <w:r>
        <w:t xml:space="preserve"> </w:t>
      </w:r>
      <w:hyperlink r:id="rId29">
        <w:r>
          <w:rPr>
            <w:rStyle w:val="Hyperlink"/>
          </w:rPr>
          <w:t xml:space="preserve">[5]</w:t>
        </w:r>
      </w:hyperlink>
    </w:p>
    <w:p>
      <w:pPr>
        <w:pStyle w:val="FirstParagraph"/>
      </w:pPr>
      <w:r>
        <w:t xml:space="preserve">In a full multi-market panel (Toyosu, Noryangjin, Chinese major ports, Taiwan, Philippines, U.S. West Coast, Chile, Russia Far East), the recommended extension is a mixed-effects/panel structure:</w:t>
      </w:r>
    </w:p>
    <w:p>
      <w:pPr>
        <w:pStyle w:val="BodyText"/>
      </w:pPr>
      <m:oMathPara>
        <m:oMathParaPr>
          <m:jc m:val="center"/>
        </m:oMathParaPr>
        <m:oMath>
          <m:r>
            <m:rPr>
              <m:sty m:val="p"/>
            </m:rPr>
            <m:t>log</m:t>
          </m:r>
          <m:d>
            <m:dPr>
              <m:begChr m:val="("/>
              <m:sepChr m:val=""/>
              <m:endChr m:val=")"/>
              <m:grow/>
            </m:dPr>
            <m:e>
              <m:sSub>
                <m:e>
                  <m:r>
                    <m:t>p</m:t>
                  </m:r>
                </m:e>
                <m:sub>
                  <m:r>
                    <m:t>m</m:t>
                  </m:r>
                  <m:r>
                    <m:rPr>
                      <m:sty m:val="p"/>
                    </m:rPr>
                    <m:t>,</m:t>
                  </m:r>
                  <m:r>
                    <m:t>t</m:t>
                  </m:r>
                </m:sub>
              </m:sSub>
            </m:e>
          </m:d>
          <m:r>
            <m:rPr>
              <m:sty m:val="p"/>
            </m:rPr>
            <m:t>=</m:t>
          </m:r>
          <m:sSub>
            <m:e>
              <m:r>
                <m:t>α</m:t>
              </m:r>
            </m:e>
            <m:sub>
              <m:r>
                <m:t>m</m:t>
              </m:r>
            </m:sub>
          </m:sSub>
          <m:r>
            <m:rPr>
              <m:sty m:val="p"/>
            </m:rPr>
            <m:t>+</m:t>
          </m:r>
          <m:sSub>
            <m:e>
              <m:r>
                <m:t>δ</m:t>
              </m:r>
            </m:e>
            <m:sub>
              <m:r>
                <m:t>m</m:t>
              </m:r>
              <m:r>
                <m:rPr>
                  <m:sty m:val="p"/>
                </m:rPr>
                <m:t>,</m:t>
              </m:r>
              <m:r>
                <m:t>m</m:t>
              </m:r>
              <m:r>
                <m:t>o</m:t>
              </m:r>
              <m:r>
                <m:t>n</m:t>
              </m:r>
              <m:r>
                <m:t>t</m:t>
              </m:r>
              <m:r>
                <m:t>h</m:t>
              </m:r>
            </m:sub>
          </m:sSub>
          <m:r>
            <m:rPr>
              <m:sty m:val="p"/>
            </m:rPr>
            <m:t>+</m:t>
          </m:r>
          <m:r>
            <m:t>β</m:t>
          </m:r>
          <m:r>
            <m:rPr>
              <m:sty m:val="p"/>
            </m:rPr>
            <m:t>log</m:t>
          </m:r>
          <m:d>
            <m:dPr>
              <m:begChr m:val="("/>
              <m:sepChr m:val=""/>
              <m:endChr m:val=")"/>
              <m:grow/>
            </m:dPr>
            <m:e>
              <m:sSub>
                <m:e>
                  <m:r>
                    <m:t>Q</m:t>
                  </m:r>
                </m:e>
                <m:sub>
                  <m:r>
                    <m:t>m</m:t>
                  </m:r>
                  <m:r>
                    <m:rPr>
                      <m:sty m:val="p"/>
                    </m:rPr>
                    <m:t>,</m:t>
                  </m:r>
                  <m:r>
                    <m:t>t</m:t>
                  </m:r>
                </m:sub>
              </m:sSub>
            </m:e>
          </m:d>
          <m:r>
            <m:rPr>
              <m:sty m:val="p"/>
            </m:rPr>
            <m:t>+</m:t>
          </m:r>
          <m:r>
            <m:t>γ</m:t>
          </m:r>
          <m:sSub>
            <m:e>
              <m:r>
                <m:rPr>
                  <m:sty m:val="b"/>
                </m:rPr>
                <m:t>O</m:t>
              </m:r>
              <m:r>
                <m:rPr>
                  <m:sty m:val="b"/>
                </m:rPr>
                <m:t>C</m:t>
              </m:r>
              <m:r>
                <m:rPr>
                  <m:sty m:val="b"/>
                </m:rPr>
                <m:t>E</m:t>
              </m:r>
              <m:r>
                <m:rPr>
                  <m:sty m:val="b"/>
                </m:rPr>
                <m:t>A</m:t>
              </m:r>
              <m:r>
                <m:rPr>
                  <m:sty m:val="b"/>
                </m:rPr>
                <m:t>N</m:t>
              </m:r>
            </m:e>
            <m:sub>
              <m:r>
                <m:t>m</m:t>
              </m:r>
              <m:r>
                <m:rPr>
                  <m:sty m:val="p"/>
                </m:rPr>
                <m:t>,</m:t>
              </m:r>
              <m:r>
                <m:t>t</m:t>
              </m:r>
              <m:r>
                <m:rPr>
                  <m:sty m:val="p"/>
                </m:rPr>
                <m:t>−</m:t>
              </m:r>
              <m:r>
                <m:rPr>
                  <m:sty m:val="p"/>
                </m:rPr>
                <m:t>ℓ</m:t>
              </m:r>
            </m:sub>
          </m:sSub>
          <m:r>
            <m:rPr>
              <m:sty m:val="p"/>
            </m:rPr>
            <m:t>+</m:t>
          </m:r>
          <m:r>
            <m:t>θ</m:t>
          </m:r>
          <m:sSub>
            <m:e>
              <m:r>
                <m:rPr>
                  <m:sty m:val="b"/>
                </m:rPr>
                <m:t>C</m:t>
              </m:r>
              <m:r>
                <m:rPr>
                  <m:sty m:val="b"/>
                </m:rPr>
                <m:t>O</m:t>
              </m:r>
              <m:r>
                <m:rPr>
                  <m:sty m:val="b"/>
                </m:rPr>
                <m:t>S</m:t>
              </m:r>
              <m:r>
                <m:rPr>
                  <m:sty m:val="b"/>
                </m:rPr>
                <m:t>T</m:t>
              </m:r>
            </m:e>
            <m:sub>
              <m:r>
                <m:t>t</m:t>
              </m:r>
            </m:sub>
          </m:sSub>
          <m:r>
            <m:rPr>
              <m:sty m:val="p"/>
            </m:rPr>
            <m:t>+</m:t>
          </m:r>
          <m:r>
            <m:t>ϕ</m:t>
          </m:r>
          <m:sSub>
            <m:e>
              <m:r>
                <m:rPr>
                  <m:sty m:val="b"/>
                </m:rPr>
                <m:t>R</m:t>
              </m:r>
              <m:r>
                <m:rPr>
                  <m:sty m:val="b"/>
                </m:rPr>
                <m:t>E</m:t>
              </m:r>
              <m:r>
                <m:rPr>
                  <m:sty m:val="b"/>
                </m:rPr>
                <m:t>G</m:t>
              </m:r>
            </m:e>
            <m:sub>
              <m:r>
                <m:t>m</m:t>
              </m:r>
              <m:r>
                <m:rPr>
                  <m:sty m:val="p"/>
                </m:rPr>
                <m:t>,</m:t>
              </m:r>
              <m:r>
                <m:t>t</m:t>
              </m:r>
            </m:sub>
          </m:sSub>
          <m:r>
            <m:rPr>
              <m:sty m:val="p"/>
            </m:rPr>
            <m:t>+</m:t>
          </m:r>
          <m:sSub>
            <m:e>
              <m:r>
                <m:t>ε</m:t>
              </m:r>
            </m:e>
            <m:sub>
              <m:r>
                <m:t>m</m:t>
              </m:r>
              <m:r>
                <m:rPr>
                  <m:sty m:val="p"/>
                </m:rPr>
                <m:t>,</m:t>
              </m:r>
              <m:r>
                <m:t>t</m:t>
              </m:r>
            </m:sub>
          </m:sSub>
        </m:oMath>
      </m:oMathPara>
    </w:p>
    <w:p>
      <w:pPr>
        <w:pStyle w:val="FirstParagraph"/>
      </w:pPr>
      <w:r>
        <w:t xml:space="preserve">where</w:t>
      </w:r>
      <w:r>
        <w:t xml:space="preserve"> </w:t>
      </w:r>
      <m:oMath>
        <m:sSub>
          <m:e>
            <m:r>
              <m:t>α</m:t>
            </m:r>
          </m:e>
          <m:sub>
            <m:r>
              <m:t>m</m:t>
            </m:r>
          </m:sub>
        </m:sSub>
      </m:oMath>
      <w:r>
        <w:t xml:space="preserve"> </w:t>
      </w:r>
      <w:r>
        <w:t xml:space="preserve">is a market-specific effect;</w:t>
      </w:r>
      <w:r>
        <w:t xml:space="preserve"> </w:t>
      </w:r>
      <m:oMath>
        <m:sSub>
          <m:e>
            <m:r>
              <m:t>δ</m:t>
            </m:r>
          </m:e>
          <m:sub>
            <m:r>
              <m:t>m</m:t>
            </m:r>
            <m:r>
              <m:rPr>
                <m:sty m:val="p"/>
              </m:rPr>
              <m:t>,</m:t>
            </m:r>
            <m:r>
              <m:t>m</m:t>
            </m:r>
            <m:r>
              <m:t>o</m:t>
            </m:r>
            <m:r>
              <m:t>n</m:t>
            </m:r>
            <m:r>
              <m:t>t</m:t>
            </m:r>
            <m:r>
              <m:t>h</m:t>
            </m:r>
          </m:sub>
        </m:sSub>
      </m:oMath>
      <w:r>
        <w:t xml:space="preserve"> </w:t>
      </w:r>
      <w:r>
        <w:t xml:space="preserve">controls seasonality;</w:t>
      </w:r>
      <w:r>
        <w:t xml:space="preserve"> </w:t>
      </w:r>
      <m:oMath>
        <m:r>
          <m:rPr>
            <m:sty m:val="b"/>
          </m:rPr>
          <m:t>O</m:t>
        </m:r>
        <m:r>
          <m:rPr>
            <m:sty m:val="b"/>
          </m:rPr>
          <m:t>C</m:t>
        </m:r>
        <m:r>
          <m:rPr>
            <m:sty m:val="b"/>
          </m:rPr>
          <m:t>E</m:t>
        </m:r>
        <m:r>
          <m:rPr>
            <m:sty m:val="b"/>
          </m:rPr>
          <m:t>A</m:t>
        </m:r>
        <m:r>
          <m:rPr>
            <m:sty m:val="b"/>
          </m:rPr>
          <m:t>N</m:t>
        </m:r>
      </m:oMath>
      <w:r>
        <w:t xml:space="preserve"> </w:t>
      </w:r>
      <w:r>
        <w:t xml:space="preserve">includes SST/upwelling/chl‑a indices; and</w:t>
      </w:r>
      <w:r>
        <w:t xml:space="preserve"> </w:t>
      </w:r>
      <m:oMath>
        <m:r>
          <m:rPr>
            <m:sty m:val="b"/>
          </m:rPr>
          <m:t>C</m:t>
        </m:r>
        <m:r>
          <m:rPr>
            <m:sty m:val="b"/>
          </m:rPr>
          <m:t>O</m:t>
        </m:r>
        <m:r>
          <m:rPr>
            <m:sty m:val="b"/>
          </m:rPr>
          <m:t>S</m:t>
        </m:r>
        <m:r>
          <m:rPr>
            <m:sty m:val="b"/>
          </m:rPr>
          <m:t>T</m:t>
        </m:r>
      </m:oMath>
      <w:r>
        <w:t xml:space="preserve"> </w:t>
      </w:r>
      <w:r>
        <w:t xml:space="preserve">covers fuel and logistics. This report explicitly lists the assumptions needed where</w:t>
      </w:r>
      <w:r>
        <w:t xml:space="preserve"> </w:t>
      </w:r>
      <m:oMath>
        <m:r>
          <m:rPr>
            <m:sty m:val="b"/>
          </m:rPr>
          <m:t>O</m:t>
        </m:r>
        <m:r>
          <m:rPr>
            <m:sty m:val="b"/>
          </m:rPr>
          <m:t>C</m:t>
        </m:r>
        <m:r>
          <m:rPr>
            <m:sty m:val="b"/>
          </m:rPr>
          <m:t>E</m:t>
        </m:r>
        <m:r>
          <m:rPr>
            <m:sty m:val="b"/>
          </m:rPr>
          <m:t>A</m:t>
        </m:r>
        <m:r>
          <m:rPr>
            <m:sty m:val="b"/>
          </m:rPr>
          <m:t>N</m:t>
        </m:r>
      </m:oMath>
      <w:r>
        <w:t xml:space="preserve"> </w:t>
      </w:r>
      <w:r>
        <w:t xml:space="preserve">or</w:t>
      </w:r>
      <w:r>
        <w:t xml:space="preserve"> </w:t>
      </w:r>
      <m:oMath>
        <m:r>
          <m:rPr>
            <m:sty m:val="b"/>
          </m:rPr>
          <m:t>R</m:t>
        </m:r>
        <m:r>
          <m:rPr>
            <m:sty m:val="b"/>
          </m:rPr>
          <m:t>E</m:t>
        </m:r>
        <m:r>
          <m:rPr>
            <m:sty m:val="b"/>
          </m:rPr>
          <m:t>G</m:t>
        </m:r>
      </m:oMath>
      <w:r>
        <w:t xml:space="preserve"> </w:t>
      </w:r>
      <w:r>
        <w:t xml:space="preserve">are missing.</w:t>
      </w:r>
    </w:p>
    <w:bookmarkEnd w:id="39"/>
    <w:bookmarkEnd w:id="40"/>
    <w:bookmarkStart w:id="46" w:name="Xe485278f1b17e81b5de05b6a023fb4825547080"/>
    <w:p>
      <w:pPr>
        <w:pStyle w:val="Heading2"/>
      </w:pPr>
      <w:r>
        <w:t xml:space="preserve">Empirical results from the U.S. West Coast CPS system</w:t>
      </w:r>
    </w:p>
    <w:bookmarkStart w:id="41" w:name="X09cb98583c569ac041c399672e4d68577744347"/>
    <w:p>
      <w:pPr>
        <w:pStyle w:val="Heading3"/>
      </w:pPr>
      <w:r>
        <w:t xml:space="preserve">Time-series patterns in landings, revenue, and implied real ex-vessel price</w:t>
      </w:r>
    </w:p>
    <w:p>
      <w:pPr>
        <w:pStyle w:val="FirstParagraph"/>
      </w:pPr>
      <w:r>
        <w:t xml:space="preserve">PFMC SAFE tables report that Pacific mackerel landings declined from</w:t>
      </w:r>
      <w:r>
        <w:t xml:space="preserve"> </w:t>
      </w:r>
      <w:r>
        <w:rPr>
          <w:b/>
          <w:bCs/>
        </w:rPr>
        <w:t xml:space="preserve">7,148 mt (2014)</w:t>
      </w:r>
      <w:r>
        <w:t xml:space="preserve"> </w:t>
      </w:r>
      <w:r>
        <w:t xml:space="preserve">to</w:t>
      </w:r>
      <w:r>
        <w:t xml:space="preserve"> </w:t>
      </w:r>
      <w:r>
        <w:rPr>
          <w:b/>
          <w:bCs/>
        </w:rPr>
        <w:t xml:space="preserve">935 mt (2022)</w:t>
      </w:r>
      <w:r>
        <w:t xml:space="preserve">, with intermediate peaks such as</w:t>
      </w:r>
      <w:r>
        <w:t xml:space="preserve"> </w:t>
      </w:r>
      <w:r>
        <w:rPr>
          <w:b/>
          <w:bCs/>
        </w:rPr>
        <w:t xml:space="preserve">3,875 mt (2019)</w:t>
      </w:r>
      <w:r>
        <w:t xml:space="preserve">.</w:t>
      </w:r>
      <w:r>
        <w:t xml:space="preserve"> </w:t>
      </w:r>
      <w:hyperlink r:id="rId22">
        <w:r>
          <w:rPr>
            <w:rStyle w:val="Hyperlink"/>
          </w:rPr>
          <w:t xml:space="preserve">[2]</w:t>
        </w:r>
      </w:hyperlink>
      <w:r>
        <w:t xml:space="preserve"> </w:t>
      </w:r>
      <w:r>
        <w:t xml:space="preserve">Inflation-adjusted ex-vessel revenue for Pacific mackerel varied from</w:t>
      </w:r>
      <w:r>
        <w:t xml:space="preserve"> </w:t>
      </w:r>
      <w:r>
        <w:rPr>
          <w:b/>
          <w:bCs/>
        </w:rPr>
        <w:t xml:space="preserve">$2.10M (2014)</w:t>
      </w:r>
      <w:r>
        <w:t xml:space="preserve"> </w:t>
      </w:r>
      <w:r>
        <w:t xml:space="preserve">to</w:t>
      </w:r>
      <w:r>
        <w:t xml:space="preserve"> </w:t>
      </w:r>
      <w:r>
        <w:rPr>
          <w:b/>
          <w:bCs/>
        </w:rPr>
        <w:t xml:space="preserve">$0.313M (2020)</w:t>
      </w:r>
      <w:r>
        <w:t xml:space="preserve"> </w:t>
      </w:r>
      <w:r>
        <w:t xml:space="preserve">and</w:t>
      </w:r>
      <w:r>
        <w:t xml:space="preserve"> </w:t>
      </w:r>
      <w:r>
        <w:rPr>
          <w:b/>
          <w:bCs/>
        </w:rPr>
        <w:t xml:space="preserve">$0.438M (2022)</w:t>
      </w:r>
      <w:r>
        <w:t xml:space="preserve">.</w:t>
      </w:r>
      <w:r>
        <w:t xml:space="preserve"> </w:t>
      </w:r>
      <w:hyperlink r:id="rId22">
        <w:r>
          <w:rPr>
            <w:rStyle w:val="Hyperlink"/>
          </w:rPr>
          <w:t xml:space="preserve">[2]</w:t>
        </w:r>
      </w:hyperlink>
    </w:p>
    <w:p>
      <w:pPr>
        <w:pStyle w:val="BodyText"/>
      </w:pPr>
      <w:r>
        <w:t xml:space="preserve">Using the SAFE’s landings and real revenue, the derived ex-vessel price proxy (real 2022 USD/kg) is:</w:t>
      </w:r>
    </w:p>
    <w:p>
      <w:pPr>
        <w:pStyle w:val="Compact"/>
        <w:numPr>
          <w:ilvl w:val="0"/>
          <w:numId w:val="1003"/>
        </w:numPr>
      </w:pPr>
      <w:r>
        <w:t xml:space="preserve">Low around</w:t>
      </w:r>
      <w:r>
        <w:t xml:space="preserve"> </w:t>
      </w:r>
      <w:r>
        <w:rPr>
          <w:b/>
          <w:bCs/>
        </w:rPr>
        <w:t xml:space="preserve">$0.259/kg (2015)</w:t>
      </w:r>
      <w:r>
        <w:t xml:space="preserve"> </w:t>
      </w:r>
      <w:r>
        <w:t xml:space="preserve">and</w:t>
      </w:r>
      <w:r>
        <w:t xml:space="preserve"> </w:t>
      </w:r>
      <w:r>
        <w:rPr>
          <w:b/>
          <w:bCs/>
        </w:rPr>
        <w:t xml:space="preserve">$0.293/kg (2014)</w:t>
      </w:r>
      <w:r>
        <w:t xml:space="preserve"> </w:t>
      </w:r>
      <w:r>
        <w:t xml:space="preserve">(high landings years).</w:t>
      </w:r>
      <w:r>
        <w:t xml:space="preserve"> </w:t>
      </w:r>
      <w:hyperlink r:id="rId22">
        <w:r>
          <w:rPr>
            <w:rStyle w:val="Hyperlink"/>
          </w:rPr>
          <w:t xml:space="preserve">[2]</w:t>
        </w:r>
      </w:hyperlink>
    </w:p>
    <w:p>
      <w:pPr>
        <w:pStyle w:val="Compact"/>
        <w:numPr>
          <w:ilvl w:val="0"/>
          <w:numId w:val="1003"/>
        </w:numPr>
      </w:pPr>
      <w:r>
        <w:t xml:space="preserve">Higher around</w:t>
      </w:r>
      <w:r>
        <w:t xml:space="preserve"> </w:t>
      </w:r>
      <w:r>
        <w:rPr>
          <w:b/>
          <w:bCs/>
        </w:rPr>
        <w:t xml:space="preserve">$0.446/kg (2018)</w:t>
      </w:r>
      <w:r>
        <w:t xml:space="preserve"> </w:t>
      </w:r>
      <w:r>
        <w:t xml:space="preserve">and</w:t>
      </w:r>
      <w:r>
        <w:t xml:space="preserve"> </w:t>
      </w:r>
      <w:r>
        <w:rPr>
          <w:b/>
          <w:bCs/>
        </w:rPr>
        <w:t xml:space="preserve">$0.560/kg (2021)</w:t>
      </w:r>
      <w:r>
        <w:t xml:space="preserve"> </w:t>
      </w:r>
      <w:r>
        <w:t xml:space="preserve">(lower landings years).</w:t>
      </w:r>
      <w:r>
        <w:t xml:space="preserve"> </w:t>
      </w:r>
      <w:hyperlink r:id="rId22">
        <w:r>
          <w:rPr>
            <w:rStyle w:val="Hyperlink"/>
          </w:rPr>
          <w:t xml:space="preserve">[2]</w:t>
        </w:r>
      </w:hyperlink>
    </w:p>
    <w:p>
      <w:pPr>
        <w:pStyle w:val="FirstParagraph"/>
      </w:pPr>
      <w:r>
        <w:t xml:space="preserve">These patterns align with basic supply mechanics and with NOAA’s note that CPS fishermen shift among species as market conditions and availability change.</w:t>
      </w:r>
      <w:r>
        <w:t xml:space="preserve"> </w:t>
      </w:r>
      <w:hyperlink r:id="rId23">
        <w:r>
          <w:rPr>
            <w:rStyle w:val="Hyperlink"/>
          </w:rPr>
          <w:t xml:space="preserve">[3]</w:t>
        </w:r>
      </w:hyperlink>
    </w:p>
    <w:bookmarkEnd w:id="41"/>
    <w:bookmarkStart w:id="42" w:name="Xa0757ecb20e80af651bff25358ded91c78d38c2"/>
    <w:p>
      <w:pPr>
        <w:pStyle w:val="Heading3"/>
      </w:pPr>
      <w:r>
        <w:t xml:space="preserve">Correlation structure and cross-correlation</w:t>
      </w:r>
    </w:p>
    <w:p>
      <w:pPr>
        <w:pStyle w:val="FirstParagraph"/>
      </w:pPr>
      <w:r>
        <w:t xml:space="preserve">On annual data (2014–2022), price is strongly negatively associated with landings (Pearson</w:t>
      </w:r>
      <w:r>
        <w:t xml:space="preserve"> </w:t>
      </w:r>
      <m:oMath>
        <m:r>
          <m:t>r</m:t>
        </m:r>
        <m:r>
          <m:rPr>
            <m:sty m:val="p"/>
          </m:rPr>
          <m:t>≈</m:t>
        </m:r>
        <m:r>
          <m:rPr>
            <m:sty m:val="p"/>
          </m:rPr>
          <m:t>−</m:t>
        </m:r>
        <m:r>
          <m:t>0.74</m:t>
        </m:r>
      </m:oMath>
      <w:r>
        <w:t xml:space="preserve"> </w:t>
      </w:r>
      <w:r>
        <w:t xml:space="preserve">in this sample; computed from PFMC SAFE tables).</w:t>
      </w:r>
      <w:r>
        <w:t xml:space="preserve"> </w:t>
      </w:r>
      <w:hyperlink r:id="rId22">
        <w:r>
          <w:rPr>
            <w:rStyle w:val="Hyperlink"/>
          </w:rPr>
          <w:t xml:space="preserve">[2]</w:t>
        </w:r>
      </w:hyperlink>
      <w:r>
        <w:t xml:space="preserve"> </w:t>
      </w:r>
      <w:r>
        <w:t xml:space="preserve">The ONI proxy (annual mean of CPC’s seasonal ONI entries) is positively correlated with landings and negatively correlated with price in this period (computed here from CPC ONI rows for 2014–2022).</w:t>
      </w:r>
      <w:r>
        <w:t xml:space="preserve"> </w:t>
      </w:r>
      <w:hyperlink r:id="rId29">
        <w:r>
          <w:rPr>
            <w:rStyle w:val="Hyperlink"/>
          </w:rPr>
          <w:t xml:space="preserve">[11]</w:t>
        </w:r>
      </w:hyperlink>
    </w:p>
    <w:p>
      <w:pPr>
        <w:pStyle w:val="BodyText"/>
      </w:pPr>
      <w:r>
        <w:t xml:space="preserve">Interpreting this correlation requires caution: ONI is not a local upwelling index and the CPS fishery is strongly confounded by substitution, product forms, and market structure. However, this pattern is directionally consistent with a mechanism in which warmer ENSO phases shift distribution/availability and/or recruitment in ways that increase landings, depressing ex-vessel prices via supply. CPC’s ONI caveat that recent values can be revised underscores why analyses should use stable vintages for historical inference.</w:t>
      </w:r>
      <w:r>
        <w:t xml:space="preserve"> </w:t>
      </w:r>
      <w:hyperlink r:id="rId29">
        <w:r>
          <w:rPr>
            <w:rStyle w:val="Hyperlink"/>
          </w:rPr>
          <w:t xml:space="preserve">[5]</w:t>
        </w:r>
      </w:hyperlink>
    </w:p>
    <w:bookmarkEnd w:id="42"/>
    <w:bookmarkStart w:id="43" w:name="regression-results-and-interpretation"/>
    <w:p>
      <w:pPr>
        <w:pStyle w:val="Heading3"/>
      </w:pPr>
      <w:r>
        <w:t xml:space="preserve">Regression results and interpretation</w:t>
      </w:r>
    </w:p>
    <w:p>
      <w:pPr>
        <w:pStyle w:val="FirstParagraph"/>
      </w:pPr>
      <w:r>
        <w:t xml:space="preserve">The supply-only log–log model estimated on 2014–2022 annual data yields:</w:t>
      </w:r>
    </w:p>
    <w:p>
      <w:pPr>
        <w:pStyle w:val="Compact"/>
        <w:numPr>
          <w:ilvl w:val="0"/>
          <w:numId w:val="1004"/>
        </w:numPr>
      </w:pPr>
      <m:oMath>
        <m:r>
          <m:t>β</m:t>
        </m:r>
        <m:r>
          <m:rPr>
            <m:sty m:val="p"/>
          </m:rPr>
          <m:t>≈</m:t>
        </m:r>
        <m:r>
          <m:rPr>
            <m:sty m:val="p"/>
          </m:rPr>
          <m:t>−</m:t>
        </m:r>
        <m:r>
          <m:t>0.24</m:t>
        </m:r>
      </m:oMath>
      <w:r>
        <w:t xml:space="preserve"> </w:t>
      </w:r>
      <w:r>
        <w:t xml:space="preserve">(statistically significant in this small sample), suggesting that a 1% increase in landings is associated with ~0.24% lower ex-vessel price, holding nothing else constant. This is economically plausible for a supply-driven first-sale market.</w:t>
      </w:r>
      <w:r>
        <w:t xml:space="preserve"> </w:t>
      </w:r>
      <w:hyperlink r:id="rId22">
        <w:r>
          <w:rPr>
            <w:rStyle w:val="Hyperlink"/>
          </w:rPr>
          <w:t xml:space="preserve">[2]</w:t>
        </w:r>
      </w:hyperlink>
    </w:p>
    <w:p>
      <w:pPr>
        <w:pStyle w:val="FirstParagraph"/>
      </w:pPr>
      <w:r>
        <w:t xml:space="preserve">Adding ONI_mean in the same small‑N annual regression produces a negative ONI coefficient in this sample (consistent with the correlation pattern), but it is not statistically distinguishable from zero given limited degrees of freedom and omitted covariates (e.g., substitution with squid/anchovy, processing capacity changes, fuel, and regulatory events). The model is therefore best read as</w:t>
      </w:r>
      <w:r>
        <w:t xml:space="preserve"> </w:t>
      </w:r>
      <w:r>
        <w:rPr>
          <w:b/>
          <w:bCs/>
        </w:rPr>
        <w:t xml:space="preserve">illustrative</w:t>
      </w:r>
      <w:r>
        <w:t xml:space="preserve"> </w:t>
      </w:r>
      <w:r>
        <w:t xml:space="preserve">rather than definitive.</w:t>
      </w:r>
    </w:p>
    <w:bookmarkEnd w:id="43"/>
    <w:bookmarkStart w:id="45" w:name="X02fb484295734b73e7d69a6bbf6ed975c81be2c"/>
    <w:p>
      <w:pPr>
        <w:pStyle w:val="Heading3"/>
      </w:pPr>
      <w:r>
        <w:t xml:space="preserve">Regulatory and institutional context shaping price dynamics</w:t>
      </w:r>
    </w:p>
    <w:p>
      <w:pPr>
        <w:pStyle w:val="FirstParagraph"/>
      </w:pPr>
      <w:r>
        <w:t xml:space="preserve">Pacific mackerel on the U.S. West Coast is managed under CPS rules; NMFS notices describe the season as running</w:t>
      </w:r>
      <w:r>
        <w:t xml:space="preserve"> </w:t>
      </w:r>
      <w:r>
        <w:rPr>
          <w:b/>
          <w:bCs/>
        </w:rPr>
        <w:t xml:space="preserve">July 1 to June 30</w:t>
      </w:r>
      <w:r>
        <w:t xml:space="preserve"> </w:t>
      </w:r>
      <w:r>
        <w:t xml:space="preserve">and report fishery specifications and biomass estimates used for harvest guidelines.</w:t>
      </w:r>
      <w:r>
        <w:t xml:space="preserve"> </w:t>
      </w:r>
      <w:hyperlink r:id="rId44">
        <w:r>
          <w:rPr>
            <w:rStyle w:val="Hyperlink"/>
          </w:rPr>
          <w:t xml:space="preserve">[12]</w:t>
        </w:r>
      </w:hyperlink>
      <w:r>
        <w:t xml:space="preserve"> </w:t>
      </w:r>
      <w:r>
        <w:t xml:space="preserve">Such seasonal structures can introduce discontinuities between biological-year availability and calendar-year market accounting, and they can materially change intra-annual price timing (which a monthly dataset would capture). PFMC SAFE explicitly notes that “the Pacific mackerel fishing season does not correspond to the annual calendar year,” reinforcing the need for care when matching to oceanographic indices.</w:t>
      </w:r>
      <w:r>
        <w:t xml:space="preserve"> </w:t>
      </w:r>
      <w:hyperlink r:id="rId22">
        <w:r>
          <w:rPr>
            <w:rStyle w:val="Hyperlink"/>
          </w:rPr>
          <w:t xml:space="preserve">[13]</w:t>
        </w:r>
      </w:hyperlink>
    </w:p>
    <w:bookmarkEnd w:id="45"/>
    <w:bookmarkEnd w:id="46"/>
    <w:bookmarkStart w:id="52" w:name="Xbe30922041f5ca691721a8f4fdf127ecbb7d770"/>
    <w:p>
      <w:pPr>
        <w:pStyle w:val="Heading2"/>
      </w:pPr>
      <w:r>
        <w:t xml:space="preserve">Northwest Pacific biological dynamics and pathways to prices</w:t>
      </w:r>
    </w:p>
    <w:bookmarkStart w:id="47" w:name="X5709cbda644697a72428ec934e5898d7dac546e"/>
    <w:p>
      <w:pPr>
        <w:pStyle w:val="Heading3"/>
      </w:pPr>
      <w:r>
        <w:t xml:space="preserve">Stock-level catch variability and management constraints</w:t>
      </w:r>
    </w:p>
    <w:p>
      <w:pPr>
        <w:pStyle w:val="FirstParagraph"/>
      </w:pPr>
      <w:r>
        <w:t xml:space="preserve">NPFC’s NWPO chub mackerel stock assessment report provides a multi-member regional context (Japan, China, Russia) and documents strong interannual catch swings with a</w:t>
      </w:r>
      <w:r>
        <w:t xml:space="preserve"> </w:t>
      </w:r>
      <w:r>
        <w:rPr>
          <w:b/>
          <w:bCs/>
        </w:rPr>
        <w:t xml:space="preserve">recent decline from ~516,000 mt (2018) to ~151,000 mt (CY 2023)</w:t>
      </w:r>
      <w:r>
        <w:t xml:space="preserve">.</w:t>
      </w:r>
      <w:r>
        <w:t xml:space="preserve"> </w:t>
      </w:r>
      <w:hyperlink r:id="rId24">
        <w:r>
          <w:rPr>
            <w:rStyle w:val="Hyperlink"/>
          </w:rPr>
          <w:t xml:space="preserve">[4]</w:t>
        </w:r>
      </w:hyperlink>
      <w:r>
        <w:t xml:space="preserve"> </w:t>
      </w:r>
      <w:r>
        <w:t xml:space="preserve">It also notes an NPFC catch limit of</w:t>
      </w:r>
      <w:r>
        <w:t xml:space="preserve"> </w:t>
      </w:r>
      <w:r>
        <w:rPr>
          <w:b/>
          <w:bCs/>
        </w:rPr>
        <w:t xml:space="preserve">100,000 mt</w:t>
      </w:r>
      <w:r>
        <w:t xml:space="preserve"> </w:t>
      </w:r>
      <w:r>
        <w:t xml:space="preserve">in the Convention Area for</w:t>
      </w:r>
      <w:r>
        <w:t xml:space="preserve"> </w:t>
      </w:r>
      <w:r>
        <w:rPr>
          <w:b/>
          <w:bCs/>
        </w:rPr>
        <w:t xml:space="preserve">2024 and 2025</w:t>
      </w:r>
      <w:r>
        <w:t xml:space="preserve"> </w:t>
      </w:r>
      <w:r>
        <w:t xml:space="preserve">(CMM 2024-07).</w:t>
      </w:r>
      <w:r>
        <w:t xml:space="preserve"> </w:t>
      </w:r>
      <w:hyperlink r:id="rId24">
        <w:r>
          <w:rPr>
            <w:rStyle w:val="Hyperlink"/>
          </w:rPr>
          <w:t xml:space="preserve">[4]</w:t>
        </w:r>
      </w:hyperlink>
    </w:p>
    <w:p>
      <w:pPr>
        <w:pStyle w:val="BodyText"/>
      </w:pPr>
      <w:r>
        <w:t xml:space="preserve">These catch dynamics imply large supply shocks into regional markets (including major consumption hubs such as Japan and Korea and major port systems in East Asia). Supply shocks at this scale typically transmit to price through: (1) raw material competition among processors; (2) shifts between domestic consumption and export channels; and (3) substitution across mackerel taxa and other small pelagics.</w:t>
      </w:r>
    </w:p>
    <w:bookmarkEnd w:id="47"/>
    <w:bookmarkStart w:id="48" w:name="X6ee6cdecc6fea317c7bf0a61172b4115bf25930"/>
    <w:p>
      <w:pPr>
        <w:pStyle w:val="Heading3"/>
      </w:pPr>
      <w:r>
        <w:t xml:space="preserve">Interannual changes in biological metrics: weight-at-age and maturity-at-age</w:t>
      </w:r>
    </w:p>
    <w:p>
      <w:pPr>
        <w:pStyle w:val="FirstParagraph"/>
      </w:pPr>
      <w:r>
        <w:t xml:space="preserve">NPFC explicitly states that its agreed state-space assessment model (SAM) “uses age-specific data on catch numbers, stock weight, and maturity rate in each year,” and it references time series of</w:t>
      </w:r>
      <w:r>
        <w:t xml:space="preserve"> </w:t>
      </w:r>
      <w:r>
        <w:rPr>
          <w:b/>
          <w:bCs/>
        </w:rPr>
        <w:t xml:space="preserve">mean weight-at-age</w:t>
      </w:r>
      <w:r>
        <w:t xml:space="preserve"> </w:t>
      </w:r>
      <w:r>
        <w:t xml:space="preserve">(Figure E‑3) and</w:t>
      </w:r>
      <w:r>
        <w:t xml:space="preserve"> </w:t>
      </w:r>
      <w:r>
        <w:rPr>
          <w:b/>
          <w:bCs/>
        </w:rPr>
        <w:t xml:space="preserve">maturity-at-age</w:t>
      </w:r>
      <w:r>
        <w:t xml:space="preserve"> </w:t>
      </w:r>
      <w:r>
        <w:t xml:space="preserve">(Figure E‑4), with “recent decrease in the weight at age” and “recent decrease in maturity at age.”</w:t>
      </w:r>
      <w:r>
        <w:t xml:space="preserve"> </w:t>
      </w:r>
      <w:hyperlink r:id="rId24">
        <w:r>
          <w:rPr>
            <w:rStyle w:val="Hyperlink"/>
          </w:rPr>
          <w:t xml:space="preserve">[4]</w:t>
        </w:r>
      </w:hyperlink>
    </w:p>
    <w:p>
      <w:pPr>
        <w:pStyle w:val="BodyText"/>
      </w:pPr>
      <w:r>
        <w:t xml:space="preserve">From a bioeconomic standpoint, this matters because:</w:t>
      </w:r>
    </w:p>
    <w:p>
      <w:pPr>
        <w:pStyle w:val="Compact"/>
        <w:numPr>
          <w:ilvl w:val="0"/>
          <w:numId w:val="1005"/>
        </w:numPr>
      </w:pPr>
      <w:r>
        <w:t xml:space="preserve">For a given numbers-at-age vector, lower weight-at-age reduces biomass—and hence can reduce harvest guideline calculations if they are biomass-linked.</w:t>
      </w:r>
    </w:p>
    <w:p>
      <w:pPr>
        <w:pStyle w:val="Compact"/>
        <w:numPr>
          <w:ilvl w:val="0"/>
          <w:numId w:val="1005"/>
        </w:numPr>
      </w:pPr>
      <w:r>
        <w:t xml:space="preserve">Lower or delayed maturity-at-age reduces spawning stock biomass (SSB), which can depress recruitment and future availability, amplifying multi-year cycles.</w:t>
      </w:r>
    </w:p>
    <w:p>
      <w:pPr>
        <w:pStyle w:val="FirstParagraph"/>
      </w:pPr>
      <w:r>
        <w:t xml:space="preserve">NPFC’s report also documents data collection expansion in China and Russia since ~2016 for length-frequency and ageing and Japan’s ongoing collection of length, weight, maturity, and age from surveys and fisheries.</w:t>
      </w:r>
      <w:r>
        <w:t xml:space="preserve"> </w:t>
      </w:r>
      <w:hyperlink r:id="rId24">
        <w:r>
          <w:rPr>
            <w:rStyle w:val="Hyperlink"/>
          </w:rPr>
          <w:t xml:space="preserve">[4]</w:t>
        </w:r>
      </w:hyperlink>
      <w:r>
        <w:t xml:space="preserve"> </w:t>
      </w:r>
      <w:r>
        <w:t xml:space="preserve">This is the backbone for regionally consistent interannual biological monitoring.</w:t>
      </w:r>
    </w:p>
    <w:bookmarkEnd w:id="48"/>
    <w:bookmarkStart w:id="51" w:name="Xdc2e1fb04a6c4d7b3bee01ac01b92e015c7b272"/>
    <w:p>
      <w:pPr>
        <w:pStyle w:val="Heading3"/>
      </w:pPr>
      <w:r>
        <w:t xml:space="preserve">Oceanographic forcing: indices and the data layers needed for a complete model</w:t>
      </w:r>
    </w:p>
    <w:p>
      <w:pPr>
        <w:pStyle w:val="FirstParagraph"/>
      </w:pPr>
      <w:r>
        <w:t xml:space="preserve">Although this report does not numerically integrate SST, chlorophyll-a, and upwelling indices into the regression (because retrieving the full gridded/continuous time series was only partially feasible in-session), the primary-source landscape for these variables is clear:</w:t>
      </w:r>
    </w:p>
    <w:p>
      <w:pPr>
        <w:pStyle w:val="Compact"/>
        <w:numPr>
          <w:ilvl w:val="0"/>
          <w:numId w:val="1006"/>
        </w:numPr>
      </w:pPr>
      <w:r>
        <w:t xml:space="preserve">ENSO: CPC’s ONI provides standardized Niño 3.4 SST anomalies and event identification thresholds.</w:t>
      </w:r>
      <w:r>
        <w:t xml:space="preserve"> </w:t>
      </w:r>
      <w:hyperlink r:id="rId29">
        <w:r>
          <w:rPr>
            <w:rStyle w:val="Hyperlink"/>
          </w:rPr>
          <w:t xml:space="preserve">[5]</w:t>
        </w:r>
      </w:hyperlink>
    </w:p>
    <w:p>
      <w:pPr>
        <w:pStyle w:val="Compact"/>
        <w:numPr>
          <w:ilvl w:val="0"/>
          <w:numId w:val="1006"/>
        </w:numPr>
      </w:pPr>
      <w:r>
        <w:t xml:space="preserve">PDO: NOAA/PSL provides a long monthly PDO series and defines it as the leading EOF of North Pacific SST anomalies (after removing climatology and global mean).</w:t>
      </w:r>
      <w:r>
        <w:t xml:space="preserve"> </w:t>
      </w:r>
      <w:hyperlink r:id="rId30">
        <w:r>
          <w:rPr>
            <w:rStyle w:val="Hyperlink"/>
          </w:rPr>
          <w:t xml:space="preserve">[7]</w:t>
        </w:r>
      </w:hyperlink>
    </w:p>
    <w:p>
      <w:pPr>
        <w:pStyle w:val="Compact"/>
        <w:numPr>
          <w:ilvl w:val="0"/>
          <w:numId w:val="1006"/>
        </w:numPr>
      </w:pPr>
      <w:r>
        <w:t xml:space="preserve">Upwelling: NOAA PFEL provides upwelling-index documentation and ERDDAP-accessible datasets for specific locations (e.g., 36N 122W monthly upwelling index/anomaly).</w:t>
      </w:r>
      <w:r>
        <w:t xml:space="preserve"> </w:t>
      </w:r>
      <w:hyperlink r:id="rId49">
        <w:r>
          <w:rPr>
            <w:rStyle w:val="Hyperlink"/>
          </w:rPr>
          <w:t xml:space="preserve">[14]</w:t>
        </w:r>
      </w:hyperlink>
    </w:p>
    <w:p>
      <w:pPr>
        <w:pStyle w:val="Compact"/>
        <w:numPr>
          <w:ilvl w:val="0"/>
          <w:numId w:val="1006"/>
        </w:numPr>
      </w:pPr>
      <w:r>
        <w:t xml:space="preserve">Chlorophyll-a: NASA describes MODIS chlorophyll-a products and algorithms; NOAA-hosted catalogs (e.g., PolarWatch) note global chlorophyll-a availability from MODIS Aqua (weekly/monthly) back to ~2003.</w:t>
      </w:r>
      <w:r>
        <w:t xml:space="preserve"> </w:t>
      </w:r>
      <w:hyperlink r:id="rId50">
        <w:r>
          <w:rPr>
            <w:rStyle w:val="Hyperlink"/>
          </w:rPr>
          <w:t xml:space="preserve">[15]</w:t>
        </w:r>
      </w:hyperlink>
    </w:p>
    <w:p>
      <w:pPr>
        <w:pStyle w:val="FirstParagraph"/>
      </w:pPr>
      <w:r>
        <w:t xml:space="preserve">In the NW Pacific, a robust extension would also incorporate current system indices (e.g., Kuroshio/Oyashio position indices), regional SST gradients, and seasonal zooplankton proxies matched to survey strata used for weight-at-age sampling. NPFC’s explicit documentation of survey-derived abundance indices (Japan summer/autumn surveys; egg survey; fishery indices) provides a natural scaffold for this matching.</w:t>
      </w:r>
      <w:r>
        <w:t xml:space="preserve"> </w:t>
      </w:r>
      <w:hyperlink r:id="rId24">
        <w:r>
          <w:rPr>
            <w:rStyle w:val="Hyperlink"/>
          </w:rPr>
          <w:t xml:space="preserve">[4]</w:t>
        </w:r>
      </w:hyperlink>
    </w:p>
    <w:bookmarkEnd w:id="51"/>
    <w:bookmarkEnd w:id="52"/>
    <w:bookmarkStart w:id="53" w:name="Xfa3ae5667f5e36b38208d96dfeb7fe2f50cd199"/>
    <w:p>
      <w:pPr>
        <w:pStyle w:val="Heading2"/>
      </w:pPr>
      <w:r>
        <w:t xml:space="preserve">Assumptions, limitations, and explicit data gaps</w:t>
      </w:r>
    </w:p>
    <w:p>
      <w:pPr>
        <w:pStyle w:val="FirstParagraph"/>
      </w:pPr>
      <w:r>
        <w:t xml:space="preserve">This study makes several transparent assumptions due to partial data availability in-session:</w:t>
      </w:r>
    </w:p>
    <w:p>
      <w:pPr>
        <w:pStyle w:val="BodyText"/>
      </w:pPr>
      <w:r>
        <w:t xml:space="preserve">The U.S. West Coast “price” analyzed is</w:t>
      </w:r>
      <w:r>
        <w:t xml:space="preserve"> </w:t>
      </w:r>
      <w:r>
        <w:rPr>
          <w:b/>
          <w:bCs/>
        </w:rPr>
        <w:t xml:space="preserve">ex-vessel (dockside)</w:t>
      </w:r>
      <w:r>
        <w:t xml:space="preserve"> </w:t>
      </w:r>
      <w:r>
        <w:t xml:space="preserve">and is derived from PFMC SAFE-reported real ex-vessel revenue divided by landings; it is not a Tokyo-style wholesale market price, nor a retail price.</w:t>
      </w:r>
      <w:r>
        <w:t xml:space="preserve"> </w:t>
      </w:r>
      <w:hyperlink r:id="rId22">
        <w:r>
          <w:rPr>
            <w:rStyle w:val="Hyperlink"/>
          </w:rPr>
          <w:t xml:space="preserve">[2]</w:t>
        </w:r>
      </w:hyperlink>
    </w:p>
    <w:p>
      <w:pPr>
        <w:pStyle w:val="BodyText"/>
      </w:pPr>
      <w:r>
        <w:t xml:space="preserve">ENSO is represented by an</w:t>
      </w:r>
      <w:r>
        <w:t xml:space="preserve"> </w:t>
      </w:r>
      <w:r>
        <w:rPr>
          <w:b/>
          <w:bCs/>
        </w:rPr>
        <w:t xml:space="preserve">annual mean of CPC ONI’s 12 overlapping seasonal values</w:t>
      </w:r>
      <w:r>
        <w:t xml:space="preserve"> </w:t>
      </w:r>
      <w:r>
        <w:t xml:space="preserve">for each year. This is a pragmatic summary but is not equivalent to a non-overlapping annual SST anomaly series, and it can blur seasonality that matters for mackerel recruitment and fisheries timing.</w:t>
      </w:r>
      <w:r>
        <w:t xml:space="preserve"> </w:t>
      </w:r>
      <w:hyperlink r:id="rId29">
        <w:r>
          <w:rPr>
            <w:rStyle w:val="Hyperlink"/>
          </w:rPr>
          <w:t xml:space="preserve">[16]</w:t>
        </w:r>
      </w:hyperlink>
    </w:p>
    <w:p>
      <w:pPr>
        <w:pStyle w:val="BodyText"/>
      </w:pPr>
      <w:r>
        <w:t xml:space="preserve">Monthly price/volume series for key wholesale markets (Toyosu, Noryangjin, major Chinese ports, Taiwan landing auctions) were identified at a metadata level (e.g., Tokyo wholesale reporting portals; Japan e‑Stat fisheries distribution survey), but numeric extraction was not possible within this run due to environment access constraints.</w:t>
      </w:r>
      <w:r>
        <w:t xml:space="preserve"> </w:t>
      </w:r>
      <w:hyperlink r:id="rId34">
        <w:r>
          <w:rPr>
            <w:rStyle w:val="Hyperlink"/>
          </w:rPr>
          <w:t xml:space="preserve">[17]</w:t>
        </w:r>
      </w:hyperlink>
    </w:p>
    <w:p>
      <w:pPr>
        <w:pStyle w:val="BodyText"/>
      </w:pPr>
      <w:r>
        <w:t xml:space="preserve">Interannual mean length, mean weight, and condition factor time series for the U.S. West Coast and for each Pacific Rim country were not fully compiled here, despite strong evidence of active sampling programs and stock assessment frameworks (e.g., NPFC SAM inputs; NOAA survey sampling windows).</w:t>
      </w:r>
      <w:r>
        <w:t xml:space="preserve"> </w:t>
      </w:r>
      <w:hyperlink r:id="rId24">
        <w:r>
          <w:rPr>
            <w:rStyle w:val="Hyperlink"/>
          </w:rPr>
          <w:t xml:space="preserve">[18]</w:t>
        </w:r>
      </w:hyperlink>
    </w:p>
    <w:p>
      <w:pPr>
        <w:pStyle w:val="BodyText"/>
      </w:pPr>
      <w:r>
        <w:t xml:space="preserve">Oil/fuel price indices, explicit regulatory dummy variables (closures, TAC changes by month), and substitution prices (sardine, anchovy, squid, imports) are not included in the regression. NOAA explicitly notes that market conditions and availability influence CPS targeting, so omitting substitution and effort allocation is a known limitation.</w:t>
      </w:r>
      <w:r>
        <w:t xml:space="preserve"> </w:t>
      </w:r>
      <w:hyperlink r:id="rId23">
        <w:r>
          <w:rPr>
            <w:rStyle w:val="Hyperlink"/>
          </w:rPr>
          <w:t xml:space="preserve">[3]</w:t>
        </w:r>
      </w:hyperlink>
    </w:p>
    <w:bookmarkEnd w:id="53"/>
    <w:bookmarkStart w:id="54" w:name="X17e13070c7b8cb40abf6e431b56abf16dc80698"/>
    <w:p>
      <w:pPr>
        <w:pStyle w:val="Heading2"/>
      </w:pPr>
      <w:r>
        <w:t xml:space="preserve">Conclusions and implications for fishery economics and management</w:t>
      </w:r>
    </w:p>
    <w:p>
      <w:pPr>
        <w:pStyle w:val="FirstParagraph"/>
      </w:pPr>
      <w:r>
        <w:t xml:space="preserve">First-sale price dynamics for chub/pacific mackerel are strongly supply-responsive on the U.S. West Coast, with PFMC SAFE data showing that years of higher landings tend to correspond to lower real ex-vessel prices, consistent with a commodity fishery facing variable supply and limited short-run demand elasticity.</w:t>
      </w:r>
      <w:r>
        <w:t xml:space="preserve"> </w:t>
      </w:r>
      <w:hyperlink r:id="rId22">
        <w:r>
          <w:rPr>
            <w:rStyle w:val="Hyperlink"/>
          </w:rPr>
          <w:t xml:space="preserve">[2]</w:t>
        </w:r>
      </w:hyperlink>
    </w:p>
    <w:p>
      <w:pPr>
        <w:pStyle w:val="BodyText"/>
      </w:pPr>
      <w:r>
        <w:t xml:space="preserve">Large-scale climate variability (ENSO) is statistically associated with landings and prices in the 2014–2022 West Coast sample when summarized via ONI, but the causal interpretation is not secure without adding (a) local oceanography (upwelling, SST), (b) time-of-year alignment to the July–June management season, and (c) fleet substitution behavior across CPS. CPC’s ONI definition and revision caveats reinforce the need for careful temporal matching.</w:t>
      </w:r>
      <w:r>
        <w:t xml:space="preserve"> </w:t>
      </w:r>
      <w:hyperlink r:id="rId29">
        <w:r>
          <w:rPr>
            <w:rStyle w:val="Hyperlink"/>
          </w:rPr>
          <w:t xml:space="preserve">[5]</w:t>
        </w:r>
      </w:hyperlink>
    </w:p>
    <w:p>
      <w:pPr>
        <w:pStyle w:val="BodyText"/>
      </w:pPr>
      <w:r>
        <w:t xml:space="preserve">In the Northwest Pacific, NPFC documents both major recent catch declines and recent reductions in weight-at-age and maturity-at-age. These biological shifts can tighten supply even at similar cohort sizes, creating a mechanism for multi-year price increases and higher volatility in major regional markets.</w:t>
      </w:r>
      <w:r>
        <w:t xml:space="preserve"> </w:t>
      </w:r>
      <w:hyperlink r:id="rId24">
        <w:r>
          <w:rPr>
            <w:rStyle w:val="Hyperlink"/>
          </w:rPr>
          <w:t xml:space="preserve">[4]</w:t>
        </w:r>
      </w:hyperlink>
    </w:p>
    <w:p>
      <w:pPr>
        <w:pStyle w:val="BodyText"/>
      </w:pPr>
      <w:r>
        <w:t xml:space="preserve">Management frameworks that incorporate time-varying biological parameters (weight-at-age, maturity-at-age) and that respond adaptively to large-scale regime signals are better positioned to stabilize both ecological outcomes and market outcomes. NPFC’s SAM approach explicitly operationalizes this integration at the stock-assessment level.</w:t>
      </w:r>
      <w:r>
        <w:t xml:space="preserve"> </w:t>
      </w:r>
      <w:hyperlink r:id="rId24">
        <w:r>
          <w:rPr>
            <w:rStyle w:val="Hyperlink"/>
          </w:rPr>
          <w:t xml:space="preserve">[4]</w:t>
        </w:r>
      </w:hyperlink>
    </w:p>
    <w:bookmarkEnd w:id="54"/>
    <w:bookmarkEnd w:id="55"/>
    <w:bookmarkEnd w:id="5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r>
        <w:t xml:space="preserve">https://wildlife.ca.gov/Conservation/Marine/Pelagic-Fisheries/Pacific-Mackerel</w:t>
      </w:r>
    </w:p>
    <w:p>
      <w:pPr>
        <w:pStyle w:val="BodyText"/>
      </w:pPr>
      <w:hyperlink r:id="rId21">
        <w:r>
          <w:rPr>
            <w:rStyle w:val="Hyperlink"/>
          </w:rPr>
          <w:t xml:space="preserve">https://wildlife.ca.gov/Conservation/Marine/Pelagic-Fisheries/Pacific-Mackerel</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r>
        <w:t xml:space="preserve">https://www.pcouncil.org/documents/2025/09/2023-cps-safe-may-2024.pdf/</w:t>
      </w:r>
    </w:p>
    <w:p>
      <w:pPr>
        <w:pStyle w:val="BodyText"/>
      </w:pPr>
      <w:hyperlink r:id="rId22">
        <w:r>
          <w:rPr>
            <w:rStyle w:val="Hyperlink"/>
          </w:rPr>
          <w:t xml:space="preserve">https://www.pcouncil.org/documents/2025/09/2023-cps-safe-may-2024.pdf/</w:t>
        </w:r>
      </w:hyperlink>
    </w:p>
    <w:p>
      <w:pPr>
        <w:pStyle w:val="BodyText"/>
      </w:pPr>
      <w:hyperlink r:id="rId23">
        <w:r>
          <w:rPr>
            <w:rStyle w:val="Hyperlink"/>
          </w:rPr>
          <w:t xml:space="preserve">[3]</w:t>
        </w:r>
      </w:hyperlink>
      <w:r>
        <w:t xml:space="preserve"> </w:t>
      </w:r>
      <w:r>
        <w:t xml:space="preserve">https://www.fisheries.noaa.gov/species/west-coast-coastal-pelagic-species/management</w:t>
      </w:r>
    </w:p>
    <w:p>
      <w:pPr>
        <w:pStyle w:val="BodyText"/>
      </w:pPr>
      <w:hyperlink r:id="rId23">
        <w:r>
          <w:rPr>
            <w:rStyle w:val="Hyperlink"/>
          </w:rPr>
          <w:t xml:space="preserve">https://www.fisheries.noaa.gov/species/west-coast-coastal-pelagic-species/management</w:t>
        </w:r>
      </w:hyperlink>
    </w:p>
    <w:p>
      <w:pPr>
        <w:pStyle w:val="BodyText"/>
      </w:pPr>
      <w:hyperlink r:id="rId24">
        <w:r>
          <w:rPr>
            <w:rStyle w:val="Hyperlink"/>
          </w:rPr>
          <w:t xml:space="preserve">[4]</w:t>
        </w:r>
      </w:hyperlink>
      <w:r>
        <w:t xml:space="preserve"> </w:t>
      </w:r>
      <w:hyperlink r:id="rId24">
        <w:r>
          <w:rPr>
            <w:rStyle w:val="Hyperlink"/>
          </w:rPr>
          <w:t xml:space="preserve">[18]</w:t>
        </w:r>
      </w:hyperlink>
      <w:r>
        <w:t xml:space="preserve"> </w:t>
      </w:r>
      <w:r>
        <w:t xml:space="preserve">https://www.npfc.int/system/files/2025-04/Stock%20assessment%20report%20for%20chub%20mackerel.pdf</w:t>
      </w:r>
    </w:p>
    <w:p>
      <w:pPr>
        <w:pStyle w:val="BodyText"/>
      </w:pPr>
      <w:hyperlink r:id="rId24">
        <w:r>
          <w:rPr>
            <w:rStyle w:val="Hyperlink"/>
          </w:rPr>
          <w:t xml:space="preserve">https://www.npfc.int/system/files/2025-04/Stock%20assessment%20report%20for%20chub%20mackerel.pdf</w:t>
        </w:r>
      </w:hyperlink>
    </w:p>
    <w:p>
      <w:pPr>
        <w:pStyle w:val="BodyText"/>
      </w:pPr>
      <w:hyperlink r:id="rId29">
        <w:r>
          <w:rPr>
            <w:rStyle w:val="Hyperlink"/>
          </w:rPr>
          <w:t xml:space="preserve">[5]</w:t>
        </w:r>
      </w:hyperlink>
      <w:r>
        <w:t xml:space="preserve"> </w:t>
      </w:r>
      <w:hyperlink r:id="rId29">
        <w:r>
          <w:rPr>
            <w:rStyle w:val="Hyperlink"/>
          </w:rPr>
          <w:t xml:space="preserve">[6]</w:t>
        </w:r>
      </w:hyperlink>
      <w:r>
        <w:t xml:space="preserve"> </w:t>
      </w:r>
      <w:hyperlink r:id="rId29">
        <w:r>
          <w:rPr>
            <w:rStyle w:val="Hyperlink"/>
          </w:rPr>
          <w:t xml:space="preserve">[11]</w:t>
        </w:r>
      </w:hyperlink>
      <w:r>
        <w:t xml:space="preserve"> </w:t>
      </w:r>
      <w:hyperlink r:id="rId29">
        <w:r>
          <w:rPr>
            <w:rStyle w:val="Hyperlink"/>
          </w:rPr>
          <w:t xml:space="preserve">[16]</w:t>
        </w:r>
      </w:hyperlink>
      <w:r>
        <w:t xml:space="preserve"> </w:t>
      </w:r>
      <w:r>
        <w:t xml:space="preserve">https://www.cpc.ncep.noaa.gov/products/analysis_monitoring/ensostuff/ONI_v5.php</w:t>
      </w:r>
    </w:p>
    <w:p>
      <w:pPr>
        <w:pStyle w:val="BodyText"/>
      </w:pPr>
      <w:hyperlink r:id="rId29">
        <w:r>
          <w:rPr>
            <w:rStyle w:val="Hyperlink"/>
          </w:rPr>
          <w:t xml:space="preserve">https://www.cpc.ncep.noaa.gov/products/analysis_monitoring/ensostuff/ONI_v5.php</w:t>
        </w:r>
      </w:hyperlink>
    </w:p>
    <w:p>
      <w:pPr>
        <w:pStyle w:val="BodyText"/>
      </w:pPr>
      <w:hyperlink r:id="rId30">
        <w:r>
          <w:rPr>
            <w:rStyle w:val="Hyperlink"/>
          </w:rPr>
          <w:t xml:space="preserve">[7]</w:t>
        </w:r>
      </w:hyperlink>
      <w:r>
        <w:t xml:space="preserve"> </w:t>
      </w:r>
      <w:r>
        <w:t xml:space="preserve">https://psl.noaa.gov/data/timeseries/month/PDO/</w:t>
      </w:r>
    </w:p>
    <w:p>
      <w:pPr>
        <w:pStyle w:val="BodyText"/>
      </w:pPr>
      <w:hyperlink r:id="rId30">
        <w:r>
          <w:rPr>
            <w:rStyle w:val="Hyperlink"/>
          </w:rPr>
          <w:t xml:space="preserve">https://psl.noaa.gov/data/timeseries/month/PDO/</w:t>
        </w:r>
      </w:hyperlink>
    </w:p>
    <w:p>
      <w:pPr>
        <w:pStyle w:val="BodyText"/>
      </w:pPr>
      <w:hyperlink r:id="rId32">
        <w:r>
          <w:rPr>
            <w:rStyle w:val="Hyperlink"/>
          </w:rPr>
          <w:t xml:space="preserve">[8]</w:t>
        </w:r>
      </w:hyperlink>
      <w:r>
        <w:t xml:space="preserve"> </w:t>
      </w:r>
      <w:r>
        <w:t xml:space="preserve">https://repository.library.noaa.gov/view/noaa/52093/noaa_52093_DS1.pdf</w:t>
      </w:r>
    </w:p>
    <w:p>
      <w:pPr>
        <w:pStyle w:val="BodyText"/>
      </w:pPr>
      <w:hyperlink r:id="rId32">
        <w:r>
          <w:rPr>
            <w:rStyle w:val="Hyperlink"/>
          </w:rPr>
          <w:t xml:space="preserve">https://repository.library.noaa.gov/view/noaa/52093/noaa_52093_DS1.pdf</w:t>
        </w:r>
      </w:hyperlink>
    </w:p>
    <w:p>
      <w:pPr>
        <w:pStyle w:val="BodyText"/>
      </w:pPr>
      <w:hyperlink r:id="rId34">
        <w:r>
          <w:rPr>
            <w:rStyle w:val="Hyperlink"/>
          </w:rPr>
          <w:t xml:space="preserve">[9]</w:t>
        </w:r>
      </w:hyperlink>
      <w:r>
        <w:t xml:space="preserve"> </w:t>
      </w:r>
      <w:hyperlink r:id="rId34">
        <w:r>
          <w:rPr>
            <w:rStyle w:val="Hyperlink"/>
          </w:rPr>
          <w:t xml:space="preserve">[17]</w:t>
        </w:r>
      </w:hyperlink>
      <w:r>
        <w:t xml:space="preserve"> </w:t>
      </w:r>
      <w:r>
        <w:t xml:space="preserve">https://www.shijou.metro.tokyo.lg.jp/torihiki/geppo</w:t>
      </w:r>
    </w:p>
    <w:p>
      <w:pPr>
        <w:pStyle w:val="BodyText"/>
      </w:pPr>
      <w:hyperlink r:id="rId34">
        <w:r>
          <w:rPr>
            <w:rStyle w:val="Hyperlink"/>
          </w:rPr>
          <w:t xml:space="preserve">https://www.shijou.metro.tokyo.lg.jp/torihiki/geppo</w:t>
        </w:r>
      </w:hyperlink>
    </w:p>
    <w:p>
      <w:pPr>
        <w:pStyle w:val="BodyText"/>
      </w:pPr>
      <w:hyperlink r:id="rId35">
        <w:r>
          <w:rPr>
            <w:rStyle w:val="Hyperlink"/>
          </w:rPr>
          <w:t xml:space="preserve">[10]</w:t>
        </w:r>
      </w:hyperlink>
      <w:r>
        <w:t xml:space="preserve"> </w:t>
      </w:r>
      <w:r>
        <w:t xml:space="preserve">https://www.maff.go.jp/j/tokei/kouhyou/suisan_ryutu/index.html</w:t>
      </w:r>
    </w:p>
    <w:p>
      <w:pPr>
        <w:pStyle w:val="BodyText"/>
      </w:pPr>
      <w:hyperlink r:id="rId35">
        <w:r>
          <w:rPr>
            <w:rStyle w:val="Hyperlink"/>
          </w:rPr>
          <w:t xml:space="preserve">https://www.maff.go.jp/j/tokei/kouhyou/suisan_ryutu/index.html</w:t>
        </w:r>
      </w:hyperlink>
    </w:p>
    <w:p>
      <w:pPr>
        <w:pStyle w:val="BodyText"/>
      </w:pPr>
      <w:hyperlink r:id="rId44">
        <w:r>
          <w:rPr>
            <w:rStyle w:val="Hyperlink"/>
          </w:rPr>
          <w:t xml:space="preserve">[12]</w:t>
        </w:r>
      </w:hyperlink>
      <w:r>
        <w:t xml:space="preserve"> </w:t>
      </w:r>
      <w:r>
        <w:t xml:space="preserve">https://www.federalregister.gov/documents/2023/12/15/2023-27532/fisheries-off-west-coast-states-coastal-pelagic-species-fisheries-biennial-specifications-2023-2024</w:t>
      </w:r>
    </w:p>
    <w:p>
      <w:pPr>
        <w:pStyle w:val="BodyText"/>
      </w:pPr>
      <w:hyperlink r:id="rId44">
        <w:r>
          <w:rPr>
            <w:rStyle w:val="Hyperlink"/>
          </w:rPr>
          <w:t xml:space="preserve">https://www.federalregister.gov/documents/2023/12/15/2023-27532/fisheries-off-west-coast-states-coastal-pelagic-species-fisheries-biennial-specifications-2023-2024</w:t>
        </w:r>
      </w:hyperlink>
    </w:p>
    <w:p>
      <w:pPr>
        <w:pStyle w:val="BodyText"/>
      </w:pPr>
      <w:hyperlink r:id="rId49">
        <w:r>
          <w:rPr>
            <w:rStyle w:val="Hyperlink"/>
          </w:rPr>
          <w:t xml:space="preserve">[14]</w:t>
        </w:r>
      </w:hyperlink>
      <w:r>
        <w:t xml:space="preserve"> </w:t>
      </w:r>
      <w:r>
        <w:t xml:space="preserve">https://coastwatch.pfeg.noaa.gov/erddap/griddap/erdUI36mo.html</w:t>
      </w:r>
    </w:p>
    <w:p>
      <w:pPr>
        <w:pStyle w:val="BodyText"/>
      </w:pPr>
      <w:hyperlink r:id="rId49">
        <w:r>
          <w:rPr>
            <w:rStyle w:val="Hyperlink"/>
          </w:rPr>
          <w:t xml:space="preserve">https://coastwatch.pfeg.noaa.gov/erddap/griddap/erdUI36mo.html</w:t>
        </w:r>
      </w:hyperlink>
    </w:p>
    <w:p>
      <w:pPr>
        <w:pStyle w:val="BodyText"/>
      </w:pPr>
      <w:hyperlink r:id="rId50">
        <w:r>
          <w:rPr>
            <w:rStyle w:val="Hyperlink"/>
          </w:rPr>
          <w:t xml:space="preserve">[15]</w:t>
        </w:r>
      </w:hyperlink>
      <w:r>
        <w:t xml:space="preserve"> </w:t>
      </w:r>
      <w:r>
        <w:t xml:space="preserve">https://modis.gsfc.nasa.gov/data/dataprod/chlor_a.php</w:t>
      </w:r>
    </w:p>
    <w:p>
      <w:pPr>
        <w:pStyle w:val="BodyText"/>
      </w:pPr>
      <w:hyperlink r:id="rId50">
        <w:r>
          <w:rPr>
            <w:rStyle w:val="Hyperlink"/>
          </w:rPr>
          <w:t xml:space="preserve">https://modis.gsfc.nasa.gov/data/dataprod/chlor_a.php</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coastwatch.pfeg.noaa.gov/erddap/griddap/erdUI36mo.html" TargetMode="External" /><Relationship Type="http://schemas.openxmlformats.org/officeDocument/2006/relationships/hyperlink" Id="rId50" Target="https://modis.gsfc.nasa.gov/data/dataprod/chlor_a.php" TargetMode="External" /><Relationship Type="http://schemas.openxmlformats.org/officeDocument/2006/relationships/hyperlink" Id="rId30" Target="https://psl.noaa.gov/data/timeseries/month/PDO/" TargetMode="External" /><Relationship Type="http://schemas.openxmlformats.org/officeDocument/2006/relationships/hyperlink" Id="rId32" Target="https://repository.library.noaa.gov/view/noaa/52093/noaa_52093_DS1.pdf" TargetMode="External" /><Relationship Type="http://schemas.openxmlformats.org/officeDocument/2006/relationships/hyperlink" Id="rId21" Target="https://wildlife.ca.gov/Conservation/Marine/Pelagic-Fisheries/Pacific-Mackerel" TargetMode="External" /><Relationship Type="http://schemas.openxmlformats.org/officeDocument/2006/relationships/hyperlink" Id="rId29" Target="https://www.cpc.ncep.noaa.gov/products/analysis_monitoring/ensostuff/ONI_v5.php" TargetMode="External" /><Relationship Type="http://schemas.openxmlformats.org/officeDocument/2006/relationships/hyperlink" Id="rId44" Target="https://www.federalregister.gov/documents/2023/12/15/2023-27532/fisheries-off-west-coast-states-coastal-pelagic-species-fisheries-biennial-specifications-2023-2024" TargetMode="External" /><Relationship Type="http://schemas.openxmlformats.org/officeDocument/2006/relationships/hyperlink" Id="rId23" Target="https://www.fisheries.noaa.gov/species/west-coast-coastal-pelagic-species/management" TargetMode="External" /><Relationship Type="http://schemas.openxmlformats.org/officeDocument/2006/relationships/hyperlink" Id="rId35" Target="https://www.maff.go.jp/j/tokei/kouhyou/suisan_ryutu/index.html" TargetMode="External" /><Relationship Type="http://schemas.openxmlformats.org/officeDocument/2006/relationships/hyperlink" Id="rId24" Target="https://www.npfc.int/system/files/2025-04/Stock%20assessment%20report%20for%20chub%20mackerel.pdf" TargetMode="External" /><Relationship Type="http://schemas.openxmlformats.org/officeDocument/2006/relationships/hyperlink" Id="rId22" Target="https://www.pcouncil.org/documents/2025/09/2023-cps-safe-may-2024.pdf/" TargetMode="External" /><Relationship Type="http://schemas.openxmlformats.org/officeDocument/2006/relationships/hyperlink" Id="rId34" Target="https://www.shijou.metro.tokyo.lg.jp/torihiki/geppo" TargetMode="External" /></Relationships>
</file>

<file path=word/_rels/footnotes.xml.rels><?xml version="1.0" encoding="UTF-8"?><Relationships xmlns="http://schemas.openxmlformats.org/package/2006/relationships"><Relationship Type="http://schemas.openxmlformats.org/officeDocument/2006/relationships/hyperlink" Id="rId49" Target="https://coastwatch.pfeg.noaa.gov/erddap/griddap/erdUI36mo.html" TargetMode="External" /><Relationship Type="http://schemas.openxmlformats.org/officeDocument/2006/relationships/hyperlink" Id="rId50" Target="https://modis.gsfc.nasa.gov/data/dataprod/chlor_a.php" TargetMode="External" /><Relationship Type="http://schemas.openxmlformats.org/officeDocument/2006/relationships/hyperlink" Id="rId30" Target="https://psl.noaa.gov/data/timeseries/month/PDO/" TargetMode="External" /><Relationship Type="http://schemas.openxmlformats.org/officeDocument/2006/relationships/hyperlink" Id="rId32" Target="https://repository.library.noaa.gov/view/noaa/52093/noaa_52093_DS1.pdf" TargetMode="External" /><Relationship Type="http://schemas.openxmlformats.org/officeDocument/2006/relationships/hyperlink" Id="rId21" Target="https://wildlife.ca.gov/Conservation/Marine/Pelagic-Fisheries/Pacific-Mackerel" TargetMode="External" /><Relationship Type="http://schemas.openxmlformats.org/officeDocument/2006/relationships/hyperlink" Id="rId29" Target="https://www.cpc.ncep.noaa.gov/products/analysis_monitoring/ensostuff/ONI_v5.php" TargetMode="External" /><Relationship Type="http://schemas.openxmlformats.org/officeDocument/2006/relationships/hyperlink" Id="rId44" Target="https://www.federalregister.gov/documents/2023/12/15/2023-27532/fisheries-off-west-coast-states-coastal-pelagic-species-fisheries-biennial-specifications-2023-2024" TargetMode="External" /><Relationship Type="http://schemas.openxmlformats.org/officeDocument/2006/relationships/hyperlink" Id="rId23" Target="https://www.fisheries.noaa.gov/species/west-coast-coastal-pelagic-species/management" TargetMode="External" /><Relationship Type="http://schemas.openxmlformats.org/officeDocument/2006/relationships/hyperlink" Id="rId35" Target="https://www.maff.go.jp/j/tokei/kouhyou/suisan_ryutu/index.html" TargetMode="External" /><Relationship Type="http://schemas.openxmlformats.org/officeDocument/2006/relationships/hyperlink" Id="rId24" Target="https://www.npfc.int/system/files/2025-04/Stock%20assessment%20report%20for%20chub%20mackerel.pdf" TargetMode="External" /><Relationship Type="http://schemas.openxmlformats.org/officeDocument/2006/relationships/hyperlink" Id="rId22" Target="https://www.pcouncil.org/documents/2025/09/2023-cps-safe-may-2024.pdf/" TargetMode="External" /><Relationship Type="http://schemas.openxmlformats.org/officeDocument/2006/relationships/hyperlink" Id="rId34" Target="https://www.shijou.metro.tokyo.lg.jp/torihiki/gepp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2026-03-17T18:23:09Z</dcterms:created>
  <dcterms:modified xsi:type="dcterms:W3CDTF">2026-03-17T18:23:09Z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