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06" w:name="content"/>
    <w:bookmarkStart w:id="105" w:name="X1c5a42428f64e83907ffecc424235b50e23073f"/>
    <w:p>
      <w:pPr>
        <w:pStyle w:val="Heading1"/>
      </w:pPr>
      <w:r>
        <w:t xml:space="preserve">Design Report Blueprint for 3D Reconstruction and Phenotypic Analysis of Crop Grains Using Control-Theoretic Modeling, Estimation, and Active Sensing</w:t>
      </w:r>
    </w:p>
    <w:bookmarkStart w:id="29" w:name="executive-summary"/>
    <w:p>
      <w:pPr>
        <w:pStyle w:val="Heading2"/>
      </w:pPr>
      <w:r>
        <w:t xml:space="preserve">Executive summary</w:t>
      </w:r>
    </w:p>
    <w:p>
      <w:pPr>
        <w:pStyle w:val="FirstParagraph"/>
      </w:pPr>
      <w:r>
        <w:t xml:space="preserve">This report provides a rigorous design-and-analysis blueprint for building (and documenting) an end-to-end system that reconstructs crop grain geometry in 3D and extracts phenotypic traits (morphology, surface texture/color, and—optionally—internal structure and spectral/biochemical proxies) with quantified uncertainty. The overarching technical idea is to treat the entire phenotyping line—grain handling → sensing → reconstruction → trait extraction → quality control—as a</w:t>
      </w:r>
      <w:r>
        <w:t xml:space="preserve"> </w:t>
      </w:r>
      <w:r>
        <w:rPr>
          <w:b/>
          <w:bCs/>
        </w:rPr>
        <w:t xml:space="preserve">dynamical system</w:t>
      </w:r>
      <w:r>
        <w:t xml:space="preserve"> </w:t>
      </w:r>
      <w:r>
        <w:t xml:space="preserve">with latent states (grain pose/shape, illumination, calibration drift, conveyor/robot kinematics) and noisy observations (images, depth maps, CT projections, spectra), enabling principled use of</w:t>
      </w:r>
      <w:r>
        <w:t xml:space="preserve"> </w:t>
      </w:r>
      <w:r>
        <w:rPr>
          <w:b/>
          <w:bCs/>
        </w:rPr>
        <w:t xml:space="preserve">state-space modeling</w:t>
      </w:r>
      <w:r>
        <w:t xml:space="preserve">,</w:t>
      </w:r>
      <w:r>
        <w:t xml:space="preserve"> </w:t>
      </w:r>
      <w:r>
        <w:rPr>
          <w:b/>
          <w:bCs/>
        </w:rPr>
        <w:t xml:space="preserve">observability/identifiability analysis</w:t>
      </w:r>
      <w:r>
        <w:t xml:space="preserve">,</w:t>
      </w:r>
      <w:r>
        <w:t xml:space="preserve"> </w:t>
      </w:r>
      <w:r>
        <w:rPr>
          <w:b/>
          <w:bCs/>
        </w:rPr>
        <w:t xml:space="preserve">Bayesian estimation and smoothing</w:t>
      </w:r>
      <w:r>
        <w:t xml:space="preserve">, and</w:t>
      </w:r>
      <w:r>
        <w:t xml:space="preserve"> </w:t>
      </w:r>
      <w:r>
        <w:rPr>
          <w:b/>
          <w:bCs/>
        </w:rPr>
        <w:t xml:space="preserve">feedback control</w:t>
      </w:r>
      <w:r>
        <w:t xml:space="preserve"> </w:t>
      </w:r>
      <w:r>
        <w:t xml:space="preserve">for active sensing and robotic handling. This aligns naturally with high-throughput seed phenotyping platforms that already integrate robotics and imaging pipelines (e.g., phenoSeeder)</w:t>
      </w:r>
      <w:r>
        <w:t xml:space="preserve"> </w:t>
      </w:r>
      <w:hyperlink r:id="rId21">
        <w:r>
          <w:rPr>
            <w:rStyle w:val="Hyperlink"/>
          </w:rPr>
          <w:t xml:space="preserve">[1]</w:t>
        </w:r>
      </w:hyperlink>
      <w:r>
        <w:t xml:space="preserve"> </w:t>
      </w:r>
      <w:r>
        <w:t xml:space="preserve">and with recent seed-focused 3D datasets and challenges (e.g., a 3D wheat-seed reconstruction dataset/challenge with 2D/3D stations and ground truth point clouds)</w:t>
      </w:r>
      <w:r>
        <w:t xml:space="preserve"> </w:t>
      </w:r>
      <w:hyperlink r:id="rId22">
        <w:r>
          <w:rPr>
            <w:rStyle w:val="Hyperlink"/>
          </w:rPr>
          <w:t xml:space="preserve">[2]</w:t>
        </w:r>
      </w:hyperlink>
      <w:r>
        <w:t xml:space="preserve">.</w:t>
      </w:r>
    </w:p>
    <w:p>
      <w:pPr>
        <w:pStyle w:val="BodyText"/>
      </w:pPr>
      <w:r>
        <w:t xml:space="preserve">Key design conclusions supported by the last decade of primary literature and open datasets:</w:t>
      </w:r>
    </w:p>
    <w:p>
      <w:pPr>
        <w:pStyle w:val="Compact"/>
        <w:numPr>
          <w:ilvl w:val="0"/>
          <w:numId w:val="1001"/>
        </w:numPr>
      </w:pPr>
      <w:r>
        <w:rPr>
          <w:b/>
          <w:bCs/>
        </w:rPr>
        <w:t xml:space="preserve">Best “throughput per dollar” for external grain geometry</w:t>
      </w:r>
      <w:r>
        <w:t xml:space="preserve"> </w:t>
      </w:r>
      <w:r>
        <w:t xml:space="preserve">typically comes from either (a) multi-view RGB + photogrammetry/visual hull methods integrated with efficient inference (including learned 3D-from-few-views), or (b) structured-light scanning where sub-0.1 mm accuracy is achievable at modest scan times. Structured-light scanning has demonstrated grain-length/width/thickness errors on the order of ~1–2% with ~10 s per grain in a reported cereal-grain system</w:t>
      </w:r>
      <w:r>
        <w:t xml:space="preserve"> </w:t>
      </w:r>
      <w:hyperlink r:id="rId23">
        <w:r>
          <w:rPr>
            <w:rStyle w:val="Hyperlink"/>
          </w:rPr>
          <w:t xml:space="preserve">[3]</w:t>
        </w:r>
      </w:hyperlink>
      <w:r>
        <w:t xml:space="preserve">.</w:t>
      </w:r>
    </w:p>
    <w:p>
      <w:pPr>
        <w:pStyle w:val="Compact"/>
        <w:numPr>
          <w:ilvl w:val="0"/>
          <w:numId w:val="1001"/>
        </w:numPr>
      </w:pPr>
      <w:r>
        <w:rPr>
          <w:b/>
          <w:bCs/>
        </w:rPr>
        <w:t xml:space="preserve">Highest-fidelity internal + external phenotyping</w:t>
      </w:r>
      <w:r>
        <w:t xml:space="preserve"> </w:t>
      </w:r>
      <w:r>
        <w:t xml:space="preserve">is achieved by X-ray micro-CT, which can reach micrometer-scale voxel sizes (e.g., 4–15 μm/pixel reported for wheat grain μCT) but with substantial acquisition time (e.g., ~30 min per grain at high resolution in one wheat grain development study)</w:t>
      </w:r>
      <w:r>
        <w:t xml:space="preserve"> </w:t>
      </w:r>
      <w:hyperlink r:id="rId24">
        <w:r>
          <w:rPr>
            <w:rStyle w:val="Hyperlink"/>
          </w:rPr>
          <w:t xml:space="preserve">[4]</w:t>
        </w:r>
      </w:hyperlink>
      <w:r>
        <w:t xml:space="preserve">. Batch scanning can materially improve throughput for certain traits (e.g., scanning many rice grains per run in chalkiness quantification)</w:t>
      </w:r>
      <w:r>
        <w:t xml:space="preserve"> </w:t>
      </w:r>
      <w:hyperlink r:id="rId25">
        <w:r>
          <w:rPr>
            <w:rStyle w:val="Hyperlink"/>
          </w:rPr>
          <w:t xml:space="preserve">[5]</w:t>
        </w:r>
      </w:hyperlink>
      <w:r>
        <w:t xml:space="preserve">.</w:t>
      </w:r>
    </w:p>
    <w:p>
      <w:pPr>
        <w:pStyle w:val="Compact"/>
        <w:numPr>
          <w:ilvl w:val="0"/>
          <w:numId w:val="1001"/>
        </w:numPr>
      </w:pPr>
      <w:r>
        <w:rPr>
          <w:b/>
          <w:bCs/>
        </w:rPr>
        <w:t xml:space="preserve">Hybrid architectures</w:t>
      </w:r>
      <w:r>
        <w:t xml:space="preserve"> </w:t>
      </w:r>
      <w:r>
        <w:t xml:space="preserve">(RGB/3D + NIR/hyperspectral) are increasingly pragmatic: an integrated wheat platform (“Seedscreener”) reports simultaneous 3D morphology + NIR spectral trait prediction, with explicit throughput and accuracy claims in a seed-by-seed pipeline</w:t>
      </w:r>
      <w:r>
        <w:t xml:space="preserve"> </w:t>
      </w:r>
      <w:hyperlink r:id="rId26">
        <w:r>
          <w:rPr>
            <w:rStyle w:val="Hyperlink"/>
          </w:rPr>
          <w:t xml:space="preserve">[6]</w:t>
        </w:r>
      </w:hyperlink>
      <w:r>
        <w:t xml:space="preserve">, while large open spectral datasets for wheat kernels (including &gt;140k kernels) support statistical modeling and ML-based inference</w:t>
      </w:r>
      <w:r>
        <w:t xml:space="preserve"> </w:t>
      </w:r>
      <w:hyperlink r:id="rId27">
        <w:r>
          <w:rPr>
            <w:rStyle w:val="Hyperlink"/>
          </w:rPr>
          <w:t xml:space="preserve">[7]</w:t>
        </w:r>
      </w:hyperlink>
      <w:r>
        <w:t xml:space="preserve">.</w:t>
      </w:r>
    </w:p>
    <w:p>
      <w:pPr>
        <w:pStyle w:val="Compact"/>
        <w:numPr>
          <w:ilvl w:val="0"/>
          <w:numId w:val="1001"/>
        </w:numPr>
      </w:pPr>
      <w:r>
        <w:rPr>
          <w:b/>
          <w:bCs/>
        </w:rPr>
        <w:t xml:space="preserve">Control-theoretic framing</w:t>
      </w:r>
      <w:r>
        <w:t xml:space="preserve"> </w:t>
      </w:r>
      <w:r>
        <w:t xml:space="preserve">yields concrete engineering benefits: formal observability checks prevent under-instrumented designs, uncertainty propagation supports defensible phenotypic error bars, MPC stabilizes throughput under constraints, and active view planning (Next-Best-View, NBV) can be formulated as information gain maximization with feedback from partial reconstructions</w:t>
      </w:r>
      <w:r>
        <w:t xml:space="preserve"> </w:t>
      </w:r>
      <w:hyperlink r:id="rId28">
        <w:r>
          <w:rPr>
            <w:rStyle w:val="Hyperlink"/>
          </w:rPr>
          <w:t xml:space="preserve">[8]</w:t>
        </w:r>
      </w:hyperlink>
      <w:r>
        <w:t xml:space="preserve">.</w:t>
      </w:r>
    </w:p>
    <w:p>
      <w:pPr>
        <w:pStyle w:val="FirstParagraph"/>
      </w:pPr>
      <w:r>
        <w:t xml:space="preserve">Mermaid diagrams and tables below can be directly embedded in a formal design report.</w:t>
      </w:r>
    </w:p>
    <w:bookmarkEnd w:id="29"/>
    <w:bookmarkStart w:id="31" w:name="objectives-and-scope"/>
    <w:p>
      <w:pPr>
        <w:pStyle w:val="Heading2"/>
      </w:pPr>
      <w:r>
        <w:t xml:space="preserve">Objectives and scope</w:t>
      </w:r>
    </w:p>
    <w:p>
      <w:pPr>
        <w:pStyle w:val="FirstParagraph"/>
      </w:pPr>
      <w:r>
        <w:rPr>
          <w:b/>
          <w:bCs/>
        </w:rPr>
        <w:t xml:space="preserve">Objective.</w:t>
      </w:r>
      <w:r>
        <w:t xml:space="preserve"> </w:t>
      </w:r>
      <w:r>
        <w:t xml:space="preserve">Design a reproducible, high-confidence pipeline that outputs (i) 3D reconstructions (point clouds/meshes/voxels) and (ii) derived phenotypic traits with uncertainties and acceptance criteria (QC), scalable from controlled lab workflows to field-deployable setups. The design should support</w:t>
      </w:r>
      <w:r>
        <w:t xml:space="preserve"> </w:t>
      </w:r>
      <w:r>
        <w:rPr>
          <w:b/>
          <w:bCs/>
        </w:rPr>
        <w:t xml:space="preserve">both measurement</w:t>
      </w:r>
      <w:r>
        <w:t xml:space="preserve"> </w:t>
      </w:r>
      <w:r>
        <w:t xml:space="preserve">(metrology-grade where required) and</w:t>
      </w:r>
      <w:r>
        <w:t xml:space="preserve"> </w:t>
      </w:r>
      <w:r>
        <w:rPr>
          <w:b/>
          <w:bCs/>
        </w:rPr>
        <w:t xml:space="preserve">decision-making</w:t>
      </w:r>
      <w:r>
        <w:t xml:space="preserve"> </w:t>
      </w:r>
      <w:r>
        <w:t xml:space="preserve">(sorting, classification, screening) under explicit latency/throughput constraints.</w:t>
      </w:r>
    </w:p>
    <w:p>
      <w:pPr>
        <w:pStyle w:val="BodyText"/>
      </w:pPr>
      <w:r>
        <w:rPr>
          <w:b/>
          <w:bCs/>
        </w:rPr>
        <w:t xml:space="preserve">Scope definition.</w:t>
      </w:r>
      <w:r>
        <w:t xml:space="preserve"> </w:t>
      </w:r>
      <w:r>
        <w:t xml:space="preserve">The system is decomposed into five coupled subsystems:</w:t>
      </w:r>
    </w:p>
    <w:p>
      <w:pPr>
        <w:pStyle w:val="Compact"/>
        <w:numPr>
          <w:ilvl w:val="0"/>
          <w:numId w:val="1002"/>
        </w:numPr>
      </w:pPr>
      <w:r>
        <w:rPr>
          <w:b/>
          <w:bCs/>
        </w:rPr>
        <w:t xml:space="preserve">Grain handling dynamics:</w:t>
      </w:r>
      <w:r>
        <w:t xml:space="preserve"> </w:t>
      </w:r>
      <w:r>
        <w:t xml:space="preserve">singulation, transport (conveyor/turntable/robot), pose stabilization, and tracking (unique grain ID per sample). Robotic handling is explicitly present in seed phenotyping systems such as phenoSeeder</w:t>
      </w:r>
      <w:r>
        <w:t xml:space="preserve"> </w:t>
      </w:r>
      <w:hyperlink r:id="rId21">
        <w:r>
          <w:rPr>
            <w:rStyle w:val="Hyperlink"/>
          </w:rPr>
          <w:t xml:space="preserve">[1]</w:t>
        </w:r>
      </w:hyperlink>
      <w:r>
        <w:t xml:space="preserve"> </w:t>
      </w:r>
      <w:r>
        <w:t xml:space="preserve">and structured-light grain scanning systems that coordinate a robot and scanner</w:t>
      </w:r>
      <w:r>
        <w:t xml:space="preserve"> </w:t>
      </w:r>
      <w:hyperlink r:id="rId23">
        <w:r>
          <w:rPr>
            <w:rStyle w:val="Hyperlink"/>
          </w:rPr>
          <w:t xml:space="preserve">[3]</w:t>
        </w:r>
      </w:hyperlink>
      <w:r>
        <w:t xml:space="preserve">.</w:t>
      </w:r>
    </w:p>
    <w:p>
      <w:pPr>
        <w:pStyle w:val="Compact"/>
        <w:numPr>
          <w:ilvl w:val="0"/>
          <w:numId w:val="1002"/>
        </w:numPr>
      </w:pPr>
      <w:r>
        <w:rPr>
          <w:b/>
          <w:bCs/>
        </w:rPr>
        <w:t xml:space="preserve">Sensing modalities:</w:t>
      </w:r>
      <w:r>
        <w:t xml:space="preserve"> </w:t>
      </w:r>
      <w:r>
        <w:t xml:space="preserve">multi-view RGB, structured light, depth sensors (stereo/ToF), CT / X-ray, micro-CT, and hyperspectral/NIR (line-scan or snapshot), including optional fusion.</w:t>
      </w:r>
    </w:p>
    <w:p>
      <w:pPr>
        <w:pStyle w:val="Compact"/>
        <w:numPr>
          <w:ilvl w:val="0"/>
          <w:numId w:val="1002"/>
        </w:numPr>
      </w:pPr>
      <w:r>
        <w:rPr>
          <w:b/>
          <w:bCs/>
        </w:rPr>
        <w:t xml:space="preserve">Reconstruction:</w:t>
      </w:r>
      <w:r>
        <w:t xml:space="preserve"> </w:t>
      </w:r>
      <w:r>
        <w:t xml:space="preserve">SfM/MVS, visual hull/volume carving, structured-light depth fusion, CT reconstruction (FBP/iterative), and/or neural rendering (NeRF / 3D Gaussian Splatting) depending on scenario requirements</w:t>
      </w:r>
      <w:r>
        <w:t xml:space="preserve"> </w:t>
      </w:r>
      <w:hyperlink r:id="rId30">
        <w:r>
          <w:rPr>
            <w:rStyle w:val="Hyperlink"/>
          </w:rPr>
          <w:t xml:space="preserve">[9]</w:t>
        </w:r>
      </w:hyperlink>
      <w:r>
        <w:t xml:space="preserve">.</w:t>
      </w:r>
    </w:p>
    <w:p>
      <w:pPr>
        <w:pStyle w:val="Compact"/>
        <w:numPr>
          <w:ilvl w:val="0"/>
          <w:numId w:val="1002"/>
        </w:numPr>
      </w:pPr>
      <w:r>
        <w:rPr>
          <w:b/>
          <w:bCs/>
        </w:rPr>
        <w:t xml:space="preserve">Phenotypic trait extraction:</w:t>
      </w:r>
      <w:r>
        <w:t xml:space="preserve"> </w:t>
      </w:r>
      <w:r>
        <w:t xml:space="preserve">size metrics (L/W/T), volume, surface area, curvature, crease geometry, texture, color/spectral indices, and (if CT available) internal compartments/porosity/chalkiness-associated volumes</w:t>
      </w:r>
      <w:r>
        <w:t xml:space="preserve"> </w:t>
      </w:r>
      <w:hyperlink r:id="rId24">
        <w:r>
          <w:rPr>
            <w:rStyle w:val="Hyperlink"/>
          </w:rPr>
          <w:t xml:space="preserve">[10]</w:t>
        </w:r>
      </w:hyperlink>
      <w:r>
        <w:t xml:space="preserve">.</w:t>
      </w:r>
    </w:p>
    <w:p>
      <w:pPr>
        <w:pStyle w:val="Compact"/>
        <w:numPr>
          <w:ilvl w:val="0"/>
          <w:numId w:val="1002"/>
        </w:numPr>
      </w:pPr>
      <w:r>
        <w:rPr>
          <w:b/>
          <w:bCs/>
        </w:rPr>
        <w:t xml:space="preserve">Control, estimation, and QC:</w:t>
      </w:r>
      <w:r>
        <w:t xml:space="preserve"> </w:t>
      </w:r>
      <w:r>
        <w:t xml:space="preserve">state estimation for pose and calibration drift, active sensing policies (NBV), closed-loop robot/conveyor control (MPC/robust/adaptive), and statistically defensible validation.</w:t>
      </w:r>
    </w:p>
    <w:p>
      <w:pPr>
        <w:pStyle w:val="FirstParagraph"/>
      </w:pPr>
      <w:r>
        <w:rPr>
          <w:b/>
          <w:bCs/>
        </w:rPr>
        <w:t xml:space="preserve">Non-goals (unless needed):</w:t>
      </w:r>
      <w:r>
        <w:t xml:space="preserve"> </w:t>
      </w:r>
      <w:r>
        <w:t xml:space="preserve">genomic association pipelines (GWAS/QTL) and breeding decision optimization; however, the system should produce outputs compatible with downstream quantitative genetics workflows.</w:t>
      </w:r>
    </w:p>
    <w:bookmarkEnd w:id="31"/>
    <w:bookmarkStart w:id="39" w:name="X2523731b2550affa92ebf82f288f6f5c604c878"/>
    <w:p>
      <w:pPr>
        <w:pStyle w:val="Heading2"/>
      </w:pPr>
      <w:r>
        <w:t xml:space="preserve">Background literature survey and open datasets</w:t>
      </w:r>
    </w:p>
    <w:p>
      <w:pPr>
        <w:pStyle w:val="FirstParagraph"/>
      </w:pPr>
      <w:r>
        <w:rPr>
          <w:b/>
          <w:bCs/>
        </w:rPr>
        <w:t xml:space="preserve">Seed/grain phenotyping platforms and pipelines (last decade).</w:t>
      </w:r>
      <w:r>
        <w:t xml:space="preserve"> </w:t>
      </w:r>
      <w:r>
        <w:t xml:space="preserve">Robotic and integrated seed phenotyping has been exemplified by</w:t>
      </w:r>
      <w:r>
        <w:t xml:space="preserve"> </w:t>
      </w:r>
      <w:r>
        <w:rPr>
          <w:b/>
          <w:bCs/>
        </w:rPr>
        <w:t xml:space="preserve">phenoSeeder</w:t>
      </w:r>
      <w:r>
        <w:t xml:space="preserve">, which combines pick-and-place robotics with modular sensors and outputs 2D, 3D volumetric measures, and mass/density-related traits</w:t>
      </w:r>
      <w:r>
        <w:t xml:space="preserve"> </w:t>
      </w:r>
      <w:hyperlink r:id="rId21">
        <w:r>
          <w:rPr>
            <w:rStyle w:val="Hyperlink"/>
          </w:rPr>
          <w:t xml:space="preserve">[1]</w:t>
        </w:r>
      </w:hyperlink>
      <w:r>
        <w:t xml:space="preserve">. For higher-throughput 3D reconstruction from fewer images, a recent wheat seed 3D reconstruction dataset/challenge proposes deep learning to infer point clouds from 1–3 views, reporting ~10× imaging time reduction and ~2% relative errors for volume and principal dimensions when using three images</w:t>
      </w:r>
      <w:r>
        <w:t xml:space="preserve"> </w:t>
      </w:r>
      <w:hyperlink r:id="rId22">
        <w:r>
          <w:rPr>
            <w:rStyle w:val="Hyperlink"/>
          </w:rPr>
          <w:t xml:space="preserve">[2]</w:t>
        </w:r>
      </w:hyperlink>
      <w:r>
        <w:t xml:space="preserve">. These results are especially relevant when the bottleneck is image capture time rather than inference time, which the same work notes as negligible compared to imaging</w:t>
      </w:r>
      <w:r>
        <w:t xml:space="preserve"> </w:t>
      </w:r>
      <w:hyperlink r:id="rId22">
        <w:r>
          <w:rPr>
            <w:rStyle w:val="Hyperlink"/>
          </w:rPr>
          <w:t xml:space="preserve">[11]</w:t>
        </w:r>
      </w:hyperlink>
      <w:r>
        <w:t xml:space="preserve">.</w:t>
      </w:r>
    </w:p>
    <w:p>
      <w:pPr>
        <w:pStyle w:val="BodyText"/>
      </w:pPr>
      <w:r>
        <w:t xml:space="preserve">Low-cost and open seed imaging tools remain significant for high throughput. The</w:t>
      </w:r>
      <w:r>
        <w:t xml:space="preserve"> </w:t>
      </w:r>
      <w:r>
        <w:rPr>
          <w:b/>
          <w:bCs/>
        </w:rPr>
        <w:t xml:space="preserve">BELT + phenoSEED</w:t>
      </w:r>
      <w:r>
        <w:t xml:space="preserve"> </w:t>
      </w:r>
      <w:r>
        <w:t xml:space="preserve">platform is an open-access methodology for automated seed imaging (top/side views) with explicit emphasis on calibrated color/shape traits and throughput improvement compared with manual workflows</w:t>
      </w:r>
      <w:r>
        <w:t xml:space="preserve"> </w:t>
      </w:r>
      <w:hyperlink r:id="rId32">
        <w:r>
          <w:rPr>
            <w:rStyle w:val="Hyperlink"/>
          </w:rPr>
          <w:t xml:space="preserve">[12]</w:t>
        </w:r>
      </w:hyperlink>
      <w:r>
        <w:t xml:space="preserve">. While largely 2D, it provides key lessons for production-grade acquisition (calibration, automation, sample logistics) that transfer to 3D systems.</w:t>
      </w:r>
    </w:p>
    <w:p>
      <w:pPr>
        <w:pStyle w:val="BodyText"/>
      </w:pPr>
      <w:r>
        <w:rPr>
          <w:b/>
          <w:bCs/>
        </w:rPr>
        <w:t xml:space="preserve">Structured light and high-precision 3D for grains.</w:t>
      </w:r>
      <w:r>
        <w:t xml:space="preserve"> </w:t>
      </w:r>
      <w:r>
        <w:t xml:space="preserve">A cereal grain structured-light system reports extracting 3D point clouds and computing length/width/thickness/surface area/volume with average dimensional errors around ~1–2% and efficiency about</w:t>
      </w:r>
      <w:r>
        <w:t xml:space="preserve"> </w:t>
      </w:r>
      <w:r>
        <w:rPr>
          <w:b/>
          <w:bCs/>
        </w:rPr>
        <w:t xml:space="preserve">9.6 s per grain</w:t>
      </w:r>
      <w:r>
        <w:t xml:space="preserve">, plus ML-based filled/unfilled grain discrimination</w:t>
      </w:r>
      <w:r>
        <w:t xml:space="preserve"> </w:t>
      </w:r>
      <w:hyperlink r:id="rId23">
        <w:r>
          <w:rPr>
            <w:rStyle w:val="Hyperlink"/>
          </w:rPr>
          <w:t xml:space="preserve">[3]</w:t>
        </w:r>
      </w:hyperlink>
      <w:r>
        <w:t xml:space="preserve">. This paper is valuable because it includes a</w:t>
      </w:r>
      <w:r>
        <w:t xml:space="preserve"> </w:t>
      </w:r>
      <w:r>
        <w:rPr>
          <w:b/>
          <w:bCs/>
        </w:rPr>
        <w:t xml:space="preserve">robot–scanner cooperative architecture</w:t>
      </w:r>
      <w:r>
        <w:t xml:space="preserve"> </w:t>
      </w:r>
      <w:r>
        <w:t xml:space="preserve">(ROS-controlled) and explicit scanner specs and accuracy statements</w:t>
      </w:r>
      <w:r>
        <w:t xml:space="preserve"> </w:t>
      </w:r>
      <w:hyperlink r:id="rId23">
        <w:r>
          <w:rPr>
            <w:rStyle w:val="Hyperlink"/>
          </w:rPr>
          <w:t xml:space="preserve">[3]</w:t>
        </w:r>
      </w:hyperlink>
      <w:r>
        <w:t xml:space="preserve">.</w:t>
      </w:r>
    </w:p>
    <w:p>
      <w:pPr>
        <w:pStyle w:val="BodyText"/>
      </w:pPr>
      <w:r>
        <w:rPr>
          <w:b/>
          <w:bCs/>
        </w:rPr>
        <w:t xml:space="preserve">X-ray CT / micro-CT for grain internal phenotypes.</w:t>
      </w:r>
      <w:r>
        <w:t xml:space="preserve"> </w:t>
      </w:r>
      <w:r>
        <w:t xml:space="preserve">Micro-CT is increasingly used to quantify internal and external grain morphology. A wheat grain development study reports μCT-based morphometry with</w:t>
      </w:r>
      <w:r>
        <w:t xml:space="preserve"> </w:t>
      </w:r>
      <w:r>
        <w:rPr>
          <w:b/>
          <w:bCs/>
        </w:rPr>
        <w:t xml:space="preserve">4–15 μm/pixel</w:t>
      </w:r>
      <w:r>
        <w:t xml:space="preserve"> </w:t>
      </w:r>
      <w:r>
        <w:t xml:space="preserve">resolution and ~</w:t>
      </w:r>
      <w:r>
        <w:rPr>
          <w:b/>
          <w:bCs/>
        </w:rPr>
        <w:t xml:space="preserve">30 min acquisition per grain</w:t>
      </w:r>
      <w:r>
        <w:t xml:space="preserve"> </w:t>
      </w:r>
      <w:r>
        <w:t xml:space="preserve">for compartment discrimination under their setup</w:t>
      </w:r>
      <w:r>
        <w:t xml:space="preserve"> </w:t>
      </w:r>
      <w:hyperlink r:id="rId24">
        <w:r>
          <w:rPr>
            <w:rStyle w:val="Hyperlink"/>
          </w:rPr>
          <w:t xml:space="preserve">[4]</w:t>
        </w:r>
      </w:hyperlink>
      <w:r>
        <w:t xml:space="preserve">. For rice, high-resolution micro-CT has been used to quantify chalkiness volume in vivo, with discussion of throughput (multiple grains per scan under certain resolutions) and evidence that scanned seeds can germinate normally under their tested conditions</w:t>
      </w:r>
      <w:r>
        <w:t xml:space="preserve"> </w:t>
      </w:r>
      <w:hyperlink r:id="rId25">
        <w:r>
          <w:rPr>
            <w:rStyle w:val="Hyperlink"/>
          </w:rPr>
          <w:t xml:space="preserve">[5]</w:t>
        </w:r>
      </w:hyperlink>
      <w:r>
        <w:t xml:space="preserve">. These works motivate CT when the phenotype is inherently volumetric/internal (e.g., chalkiness, embryo/endosperm structure, voids).</w:t>
      </w:r>
    </w:p>
    <w:p>
      <w:pPr>
        <w:pStyle w:val="BodyText"/>
      </w:pPr>
      <w:r>
        <w:rPr>
          <w:b/>
          <w:bCs/>
        </w:rPr>
        <w:t xml:space="preserve">Spectral (NIR/hyperspectral) seed phenotyping.</w:t>
      </w:r>
      <w:r>
        <w:t xml:space="preserve"> </w:t>
      </w:r>
      <w:r>
        <w:t xml:space="preserve">A “Seedscreener” platform integrates RGB/3D reconstruction with NIR spectrometer-based biochemical trait prediction (protein/starch/gluten), explicitly combining exophenotype (3D geometry) and endophenotype (spectral predictors) with reported success rate and throughput (~90 grains/h)</w:t>
      </w:r>
      <w:r>
        <w:t xml:space="preserve"> </w:t>
      </w:r>
      <w:hyperlink r:id="rId26">
        <w:r>
          <w:rPr>
            <w:rStyle w:val="Hyperlink"/>
          </w:rPr>
          <w:t xml:space="preserve">[6]</w:t>
        </w:r>
      </w:hyperlink>
      <w:r>
        <w:t xml:space="preserve">. Large wheat kernel spectral datasets exist; for example a Frontiers in Plant Science study reports a dataset of</w:t>
      </w:r>
      <w:r>
        <w:t xml:space="preserve"> </w:t>
      </w:r>
      <w:r>
        <w:rPr>
          <w:b/>
          <w:bCs/>
        </w:rPr>
        <w:t xml:space="preserve">&gt;140,000</w:t>
      </w:r>
      <w:r>
        <w:t xml:space="preserve"> </w:t>
      </w:r>
      <w:r>
        <w:t xml:space="preserve">wheat kernels across varieties for classification and feature selection modeling</w:t>
      </w:r>
      <w:r>
        <w:t xml:space="preserve"> </w:t>
      </w:r>
      <w:hyperlink r:id="rId27">
        <w:r>
          <w:rPr>
            <w:rStyle w:val="Hyperlink"/>
          </w:rPr>
          <w:t xml:space="preserve">[7]</w:t>
        </w:r>
      </w:hyperlink>
      <w:r>
        <w:t xml:space="preserve">. Open repositories also distribute seed hyperspectral datasets (e.g., VNS-HW on GitHub, hyperspectral maize seed datasets on Mendeley Data)</w:t>
      </w:r>
      <w:r>
        <w:t xml:space="preserve"> </w:t>
      </w:r>
      <w:hyperlink r:id="rId33">
        <w:r>
          <w:rPr>
            <w:rStyle w:val="Hyperlink"/>
          </w:rPr>
          <w:t xml:space="preserve">[13]</w:t>
        </w:r>
      </w:hyperlink>
      <w:r>
        <w:t xml:space="preserve">.</w:t>
      </w:r>
    </w:p>
    <w:p>
      <w:pPr>
        <w:pStyle w:val="BodyText"/>
      </w:pPr>
      <w:r>
        <w:rPr>
          <w:b/>
          <w:bCs/>
        </w:rPr>
        <w:t xml:space="preserve">Core 3D reconstruction algorithms and benchmarks.</w:t>
      </w:r>
      <w:r>
        <w:t xml:space="preserve"> </w:t>
      </w:r>
      <w:r>
        <w:t xml:space="preserve">For RGB-only multi-view 3D, modern SfM/MVS pipelines are anchored by tools such as</w:t>
      </w:r>
      <w:r>
        <w:t xml:space="preserve"> </w:t>
      </w:r>
      <w:r>
        <w:rPr>
          <w:b/>
          <w:bCs/>
        </w:rPr>
        <w:t xml:space="preserve">COLMAP</w:t>
      </w:r>
      <w:r>
        <w:t xml:space="preserve">—based on “Structure-from-Motion Revisited” and released with an open-source pipeline</w:t>
      </w:r>
      <w:r>
        <w:t xml:space="preserve"> </w:t>
      </w:r>
      <w:hyperlink r:id="rId30">
        <w:r>
          <w:rPr>
            <w:rStyle w:val="Hyperlink"/>
          </w:rPr>
          <w:t xml:space="preserve">[14]</w:t>
        </w:r>
      </w:hyperlink>
      <w:r>
        <w:t xml:space="preserve">—and by open-source libraries such as</w:t>
      </w:r>
      <w:r>
        <w:t xml:space="preserve"> </w:t>
      </w:r>
      <w:r>
        <w:rPr>
          <w:b/>
          <w:bCs/>
        </w:rPr>
        <w:t xml:space="preserve">openMVG</w:t>
      </w:r>
      <w:r>
        <w:t xml:space="preserve"> </w:t>
      </w:r>
      <w:hyperlink r:id="rId34">
        <w:r>
          <w:rPr>
            <w:rStyle w:val="Hyperlink"/>
          </w:rPr>
          <w:t xml:space="preserve">[15]</w:t>
        </w:r>
      </w:hyperlink>
      <w:r>
        <w:t xml:space="preserve">. Reconstruction quality and algorithmic choices can be benchmarked on established MVS datasets such as Tanks and Temples</w:t>
      </w:r>
      <w:r>
        <w:t xml:space="preserve"> </w:t>
      </w:r>
      <w:hyperlink r:id="rId35">
        <w:r>
          <w:rPr>
            <w:rStyle w:val="Hyperlink"/>
          </w:rPr>
          <w:t xml:space="preserve">[16]</w:t>
        </w:r>
      </w:hyperlink>
      <w:r>
        <w:t xml:space="preserve"> </w:t>
      </w:r>
      <w:r>
        <w:t xml:space="preserve">and ETH3D</w:t>
      </w:r>
      <w:r>
        <w:t xml:space="preserve"> </w:t>
      </w:r>
      <w:hyperlink r:id="rId36">
        <w:r>
          <w:rPr>
            <w:rStyle w:val="Hyperlink"/>
          </w:rPr>
          <w:t xml:space="preserve">[17]</w:t>
        </w:r>
      </w:hyperlink>
      <w:r>
        <w:t xml:space="preserve">, while seed-specific evaluation increasingly leverages dedicated datasets like the Wheat Seed 3D Reconstruction Challenge</w:t>
      </w:r>
      <w:r>
        <w:t xml:space="preserve"> </w:t>
      </w:r>
      <w:hyperlink r:id="rId22">
        <w:r>
          <w:rPr>
            <w:rStyle w:val="Hyperlink"/>
          </w:rPr>
          <w:t xml:space="preserve">[2]</w:t>
        </w:r>
      </w:hyperlink>
      <w:r>
        <w:t xml:space="preserve">.</w:t>
      </w:r>
    </w:p>
    <w:p>
      <w:pPr>
        <w:pStyle w:val="BodyText"/>
      </w:pPr>
      <w:r>
        <w:rPr>
          <w:b/>
          <w:bCs/>
        </w:rPr>
        <w:t xml:space="preserve">Open datasets to prioritize in a design report.</w:t>
      </w:r>
      <w:r>
        <w:t xml:space="preserve"> </w:t>
      </w:r>
      <w:r>
        <w:t xml:space="preserve">The design report should explicitly list datasets for both (a) model development and (b) external reproducibility. The table below prioritizes open/official sources and seed/grain relevance.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Dataset / resource</w:t>
            </w:r>
          </w:p>
        </w:tc>
        <w:tc>
          <w:tcPr/>
          <w:p>
            <w:pPr>
              <w:pStyle w:val="Compact"/>
            </w:pPr>
            <w:r>
              <w:t xml:space="preserve">Modality</w:t>
            </w:r>
          </w:p>
        </w:tc>
        <w:tc>
          <w:tcPr/>
          <w:p>
            <w:pPr>
              <w:pStyle w:val="Compact"/>
              <w:jc w:val="right"/>
            </w:pPr>
            <w:r>
              <w:t xml:space="preserve">Size / scope</w:t>
            </w:r>
          </w:p>
        </w:tc>
        <w:tc>
          <w:tcPr/>
          <w:p>
            <w:pPr>
              <w:pStyle w:val="Compact"/>
            </w:pPr>
            <w:r>
              <w:t xml:space="preserve">Typical tasks</w:t>
            </w:r>
          </w:p>
        </w:tc>
        <w:tc>
          <w:tcPr/>
          <w:p>
            <w:pPr>
              <w:pStyle w:val="Compact"/>
            </w:pPr>
            <w:r>
              <w:t xml:space="preserve">Access / license notes (as reported)</w:t>
            </w:r>
          </w:p>
        </w:tc>
      </w:tr>
      <w:tr>
        <w:tc>
          <w:tcPr/>
          <w:p>
            <w:pPr>
              <w:pStyle w:val="Compact"/>
            </w:pPr>
            <w:r>
              <w:t xml:space="preserve">GrainSet (Scientific Data 2023)</w:t>
            </w:r>
          </w:p>
        </w:tc>
        <w:tc>
          <w:tcPr/>
          <w:p>
            <w:pPr>
              <w:pStyle w:val="Compact"/>
            </w:pPr>
            <w:r>
              <w:t xml:space="preserve">High-res RGB single-kernel images + annotations incl. size &amp; weight fields</w:t>
            </w:r>
          </w:p>
        </w:tc>
        <w:tc>
          <w:tcPr/>
          <w:p>
            <w:pPr>
              <w:pStyle w:val="Compact"/>
              <w:jc w:val="right"/>
            </w:pPr>
            <w:r>
              <w:t xml:space="preserve">~352.7K images across wheat/maize/sorghum/rice; includes per-kernel metadata and category labels</w:t>
            </w:r>
          </w:p>
        </w:tc>
        <w:tc>
          <w:tcPr/>
          <w:p>
            <w:pPr>
              <w:pStyle w:val="Compact"/>
            </w:pPr>
            <w:r>
              <w:t xml:space="preserve">Inspection, classification, segmentation; supports morphology proxies</w:t>
            </w:r>
          </w:p>
        </w:tc>
        <w:tc>
          <w:tcPr/>
          <w:p>
            <w:pPr>
              <w:pStyle w:val="Compact"/>
            </w:pPr>
            <w:r>
              <w:t xml:space="preserve">Deposited on Figshare under</w:t>
            </w:r>
            <w:r>
              <w:t xml:space="preserve"> </w:t>
            </w:r>
            <w:r>
              <w:rPr>
                <w:b/>
                <w:bCs/>
              </w:rPr>
              <w:t xml:space="preserve">CC BY 4.0</w:t>
            </w:r>
            <w:r>
              <w:t xml:space="preserve"> </w:t>
            </w:r>
            <w:r>
              <w:t xml:space="preserve">per paper; table provides per-grain-type DOIs</w:t>
            </w:r>
            <w:r>
              <w:t xml:space="preserve"> </w:t>
            </w:r>
            <w:hyperlink r:id="rId37">
              <w:r>
                <w:rPr>
                  <w:rStyle w:val="Hyperlink"/>
                </w:rPr>
                <w:t xml:space="preserve">[18]</w:t>
              </w:r>
            </w:hyperlink>
          </w:p>
        </w:tc>
      </w:tr>
      <w:tr>
        <w:tc>
          <w:tcPr/>
          <w:p>
            <w:pPr>
              <w:pStyle w:val="Compact"/>
            </w:pPr>
            <w:r>
              <w:t xml:space="preserve">Wheat Seed 3D Reconstruction dataset/challenge (ICCVW 2023)</w:t>
            </w:r>
          </w:p>
        </w:tc>
        <w:tc>
          <w:tcPr/>
          <w:p>
            <w:pPr>
              <w:pStyle w:val="Compact"/>
            </w:pPr>
            <w:r>
              <w:t xml:space="preserve">Multi-view images + ground truth point clouds</w:t>
            </w:r>
          </w:p>
        </w:tc>
        <w:tc>
          <w:tcPr/>
          <w:p>
            <w:pPr>
              <w:pStyle w:val="Compact"/>
              <w:jc w:val="right"/>
            </w:pPr>
            <w:r>
              <w:t xml:space="preserve">2964 seeds split train/val/test; per seed includes 1 color image, 36 grayscale images, high-res point cloud (~50k pts) and resampled point clouds</w:t>
            </w:r>
            <w:r>
              <w:t xml:space="preserve"> </w:t>
            </w:r>
            <w:hyperlink r:id="rId22">
              <w:r>
                <w:rPr>
                  <w:rStyle w:val="Hyperlink"/>
                </w:rPr>
                <w:t xml:space="preserve">[11]</w:t>
              </w:r>
            </w:hyperlink>
          </w:p>
        </w:tc>
        <w:tc>
          <w:tcPr/>
          <w:p>
            <w:pPr>
              <w:pStyle w:val="Compact"/>
            </w:pPr>
            <w:r>
              <w:t xml:space="preserve">3D reconstruction from 1–3 views; volume and dimensional estimation</w:t>
            </w:r>
          </w:p>
        </w:tc>
        <w:tc>
          <w:tcPr/>
          <w:p>
            <w:pPr>
              <w:pStyle w:val="Compact"/>
            </w:pPr>
            <w:r>
              <w:t xml:space="preserve">Dataset record references challenge infrastructure; split and content described in paper</w:t>
            </w:r>
            <w:r>
              <w:t xml:space="preserve"> </w:t>
            </w:r>
            <w:hyperlink r:id="rId22">
              <w:r>
                <w:rPr>
                  <w:rStyle w:val="Hyperlink"/>
                </w:rPr>
                <w:t xml:space="preserve">[2]</w:t>
              </w:r>
            </w:hyperlink>
          </w:p>
        </w:tc>
      </w:tr>
      <w:tr>
        <w:tc>
          <w:tcPr/>
          <w:p>
            <w:pPr>
              <w:pStyle w:val="Compact"/>
            </w:pPr>
            <w:r>
              <w:t xml:space="preserve">Hyperspectral wheat kernel dataset (Frontiers 2020)</w:t>
            </w:r>
          </w:p>
        </w:tc>
        <w:tc>
          <w:tcPr/>
          <w:p>
            <w:pPr>
              <w:pStyle w:val="Compact"/>
            </w:pPr>
            <w:r>
              <w:t xml:space="preserve">NIR hyperspectroscopy</w:t>
            </w:r>
          </w:p>
        </w:tc>
        <w:tc>
          <w:tcPr/>
          <w:p>
            <w:pPr>
              <w:pStyle w:val="Compact"/>
              <w:jc w:val="right"/>
            </w:pPr>
            <w:r>
              <w:t xml:space="preserve">&gt;140,000 kernels, 30 varieties</w:t>
            </w:r>
          </w:p>
        </w:tc>
        <w:tc>
          <w:tcPr/>
          <w:p>
            <w:pPr>
              <w:pStyle w:val="Compact"/>
            </w:pPr>
            <w:r>
              <w:t xml:space="preserve">Variety classification; spectral feature learning/selection</w:t>
            </w:r>
          </w:p>
        </w:tc>
        <w:tc>
          <w:tcPr/>
          <w:p>
            <w:pPr>
              <w:pStyle w:val="Compact"/>
            </w:pPr>
            <w:r>
              <w:t xml:space="preserve">Dataset scale described in article</w:t>
            </w:r>
            <w:r>
              <w:t xml:space="preserve"> </w:t>
            </w:r>
            <w:hyperlink r:id="rId27">
              <w:r>
                <w:rPr>
                  <w:rStyle w:val="Hyperlink"/>
                </w:rPr>
                <w:t xml:space="preserve">[7]</w:t>
              </w:r>
            </w:hyperlink>
          </w:p>
        </w:tc>
      </w:tr>
      <w:tr>
        <w:tc>
          <w:tcPr/>
          <w:p>
            <w:pPr>
              <w:pStyle w:val="Compact"/>
            </w:pPr>
            <w:r>
              <w:t xml:space="preserve">VNS-HW hyperspectral wheat dataset (GitHub)</w:t>
            </w:r>
          </w:p>
        </w:tc>
        <w:tc>
          <w:tcPr/>
          <w:p>
            <w:pPr>
              <w:pStyle w:val="Compact"/>
            </w:pPr>
            <w:r>
              <w:t xml:space="preserve">VIS–NIR–SWIR hyperspectral (claimed 400–1700 nm range)</w:t>
            </w:r>
          </w:p>
        </w:tc>
        <w:tc>
          <w:tcPr/>
          <w:p>
            <w:pPr>
              <w:pStyle w:val="Compact"/>
              <w:jc w:val="right"/>
            </w:pPr>
            <w:r>
              <w:t xml:space="preserve">Released with code/model</w:t>
            </w:r>
          </w:p>
        </w:tc>
        <w:tc>
          <w:tcPr/>
          <w:p>
            <w:pPr>
              <w:pStyle w:val="Compact"/>
            </w:pPr>
            <w:r>
              <w:t xml:space="preserve">Wheat-seed classification; spatial-spectral modeling</w:t>
            </w:r>
          </w:p>
        </w:tc>
        <w:tc>
          <w:tcPr/>
          <w:p>
            <w:pPr>
              <w:pStyle w:val="Compact"/>
            </w:pPr>
            <w:r>
              <w:t xml:space="preserve">Release and band range described in repository</w:t>
            </w:r>
            <w:r>
              <w:t xml:space="preserve"> </w:t>
            </w:r>
            <w:hyperlink r:id="rId33">
              <w:r>
                <w:rPr>
                  <w:rStyle w:val="Hyperlink"/>
                </w:rPr>
                <w:t xml:space="preserve">[19]</w:t>
              </w:r>
            </w:hyperlink>
          </w:p>
        </w:tc>
      </w:tr>
      <w:tr>
        <w:tc>
          <w:tcPr/>
          <w:p>
            <w:pPr>
              <w:pStyle w:val="Compact"/>
            </w:pPr>
            <w:r>
              <w:t xml:space="preserve">DON-infected wheat kernel hyperspectral dataset (Dryad)</w:t>
            </w:r>
          </w:p>
        </w:tc>
        <w:tc>
          <w:tcPr/>
          <w:p>
            <w:pPr>
              <w:pStyle w:val="Compact"/>
            </w:pPr>
            <w:r>
              <w:t xml:space="preserve">Hyperspectral reflectance of kernels + associated metadata</w:t>
            </w:r>
          </w:p>
        </w:tc>
        <w:tc>
          <w:tcPr/>
          <w:p>
            <w:pPr>
              <w:pStyle w:val="Compact"/>
              <w:jc w:val="right"/>
            </w:pPr>
            <w:r>
              <w:t xml:space="preserve">Research dataset with DOI</w:t>
            </w:r>
          </w:p>
        </w:tc>
        <w:tc>
          <w:tcPr/>
          <w:p>
            <w:pPr>
              <w:pStyle w:val="Compact"/>
            </w:pPr>
            <w:r>
              <w:t xml:space="preserve">Phenomic prediction / disease-related traits</w:t>
            </w:r>
          </w:p>
        </w:tc>
        <w:tc>
          <w:tcPr/>
          <w:p>
            <w:pPr>
              <w:pStyle w:val="Compact"/>
            </w:pPr>
            <w:r>
              <w:t xml:space="preserve">Dataset hosted on Dryad with DOI</w:t>
            </w:r>
            <w:r>
              <w:t xml:space="preserve"> </w:t>
            </w:r>
            <w:hyperlink r:id="rId38">
              <w:r>
                <w:rPr>
                  <w:rStyle w:val="Hyperlink"/>
                </w:rPr>
                <w:t xml:space="preserve">[20]</w:t>
              </w:r>
            </w:hyperlink>
          </w:p>
        </w:tc>
      </w:tr>
    </w:tbl>
    <w:bookmarkEnd w:id="39"/>
    <w:bookmarkStart w:id="55" w:name="Xcd4080584c227f483cda261543e8cd47ae07baf"/>
    <w:p>
      <w:pPr>
        <w:pStyle w:val="Heading2"/>
      </w:pPr>
      <w:r>
        <w:t xml:space="preserve">System architecture options and sensing/imaging models</w:t>
      </w:r>
    </w:p>
    <w:bookmarkStart w:id="45" w:name="Xceaa6be7c805eb6c038d24356d51ea6bf4a5924"/>
    <w:p>
      <w:pPr>
        <w:pStyle w:val="Heading3"/>
      </w:pPr>
      <w:r>
        <w:t xml:space="preserve">Architecture options with cost–throughput–accuracy tradeoffs</w:t>
      </w:r>
    </w:p>
    <w:p>
      <w:pPr>
        <w:pStyle w:val="FirstParagraph"/>
      </w:pPr>
      <w:r>
        <w:t xml:space="preserve">A design report should present multiple architectures as</w:t>
      </w:r>
      <w:r>
        <w:t xml:space="preserve"> </w:t>
      </w:r>
      <w:r>
        <w:rPr>
          <w:b/>
          <w:bCs/>
        </w:rPr>
        <w:t xml:space="preserve">design points</w:t>
      </w:r>
      <w:r>
        <w:t xml:space="preserve"> </w:t>
      </w:r>
      <w:r>
        <w:t xml:space="preserve">rather than a single solution, because “best” depends on phenotype targets, throughput, and deployment setting.</w:t>
      </w:r>
    </w:p>
    <w:p>
      <w:pPr>
        <w:pStyle w:val="BodyText"/>
      </w:pPr>
      <w:r>
        <w:t xml:space="preserve">The table below summarizes practical options (capability-driven, not vendor-specific). Cost ranges are approximate and should be quoted as</w:t>
      </w:r>
      <w:r>
        <w:t xml:space="preserve"> </w:t>
      </w:r>
      <w:r>
        <w:rPr>
          <w:i/>
          <w:iCs/>
        </w:rPr>
        <w:t xml:space="preserve">order-of-magnitude</w:t>
      </w:r>
      <w:r>
        <w:t xml:space="preserve"> </w:t>
      </w:r>
      <w:r>
        <w:t xml:space="preserve">unless you have procurement quotes; publicly stated pricing examples are cited where available (e.g., micro-CT cost ranges, structured-light scanner retail pricing, commodity depth camera pricing).</w:t>
      </w:r>
      <w:r>
        <w:t xml:space="preserve"> </w:t>
      </w:r>
      <w:hyperlink r:id="rId40">
        <w:r>
          <w:rPr>
            <w:rStyle w:val="Hyperlink"/>
          </w:rPr>
          <w:t xml:space="preserve">[21]</w:t>
        </w:r>
      </w:hyperlink>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Modality / architecture</w:t>
            </w:r>
          </w:p>
        </w:tc>
        <w:tc>
          <w:tcPr/>
          <w:p>
            <w:pPr>
              <w:pStyle w:val="Compact"/>
            </w:pPr>
            <w:r>
              <w:t xml:space="preserve">What you get</w:t>
            </w:r>
          </w:p>
        </w:tc>
        <w:tc>
          <w:tcPr/>
          <w:p>
            <w:pPr>
              <w:pStyle w:val="Compact"/>
            </w:pPr>
            <w:r>
              <w:t xml:space="preserve">Typical accuracy scale</w:t>
            </w:r>
          </w:p>
        </w:tc>
        <w:tc>
          <w:tcPr/>
          <w:p>
            <w:pPr>
              <w:pStyle w:val="Compact"/>
            </w:pPr>
            <w:r>
              <w:t xml:space="preserve">Throughput drivers</w:t>
            </w:r>
          </w:p>
        </w:tc>
        <w:tc>
          <w:tcPr/>
          <w:p>
            <w:pPr>
              <w:pStyle w:val="Compact"/>
            </w:pPr>
            <w:r>
              <w:t xml:space="preserve">Cost / complexity notes</w:t>
            </w:r>
          </w:p>
        </w:tc>
      </w:tr>
      <w:tr>
        <w:tc>
          <w:tcPr/>
          <w:p>
            <w:pPr>
              <w:pStyle w:val="Compact"/>
            </w:pPr>
            <w:r>
              <w:t xml:space="preserve">Multi-view RGB photogrammetry (SfM+MVS)</w:t>
            </w:r>
          </w:p>
        </w:tc>
        <w:tc>
          <w:tcPr/>
          <w:p>
            <w:pPr>
              <w:pStyle w:val="Compact"/>
            </w:pPr>
            <w:r>
              <w:t xml:space="preserve">Dense surface geometry (+ texture) from multiple images</w:t>
            </w:r>
          </w:p>
        </w:tc>
        <w:tc>
          <w:tcPr/>
          <w:p>
            <w:pPr>
              <w:pStyle w:val="Compact"/>
            </w:pPr>
            <w:r>
              <w:t xml:space="preserve">Often sub-mm to ~mm depending on optics, calibration, feature quality; sensitive to surface reflectance</w:t>
            </w:r>
          </w:p>
        </w:tc>
        <w:tc>
          <w:tcPr/>
          <w:p>
            <w:pPr>
              <w:pStyle w:val="Compact"/>
            </w:pPr>
            <w:r>
              <w:t xml:space="preserve">Image count per grain, pose coverage, compute; can be accelerated with learned 3D-from-few-views</w:t>
            </w:r>
            <w:r>
              <w:t xml:space="preserve"> </w:t>
            </w:r>
            <w:hyperlink r:id="rId22">
              <w:r>
                <w:rPr>
                  <w:rStyle w:val="Hyperlink"/>
                </w:rPr>
                <w:t xml:space="preserve">[22]</w:t>
              </w:r>
            </w:hyperlink>
          </w:p>
        </w:tc>
        <w:tc>
          <w:tcPr/>
          <w:p>
            <w:pPr>
              <w:pStyle w:val="Compact"/>
            </w:pPr>
            <w:r>
              <w:t xml:space="preserve">Low–moderate capex (cameras + lighting + compute); highest design effort is calibration + robust automation</w:t>
            </w:r>
          </w:p>
        </w:tc>
      </w:tr>
      <w:tr>
        <w:tc>
          <w:tcPr/>
          <w:p>
            <w:pPr>
              <w:pStyle w:val="Compact"/>
            </w:pPr>
            <w:r>
              <w:t xml:space="preserve">Visual hull / volume carving (silhouette-based)</w:t>
            </w:r>
          </w:p>
        </w:tc>
        <w:tc>
          <w:tcPr/>
          <w:p>
            <w:pPr>
              <w:pStyle w:val="Compact"/>
            </w:pPr>
            <w:r>
              <w:t xml:space="preserve">Surface/voxel model robust to specularities if silhouettes are clean</w:t>
            </w:r>
          </w:p>
        </w:tc>
        <w:tc>
          <w:tcPr/>
          <w:p>
            <w:pPr>
              <w:pStyle w:val="Compact"/>
            </w:pPr>
            <w:r>
              <w:t xml:space="preserve">Strongly depends on number of views; seed dataset paper notes high view counts (e.g., 36) yield very low systematic volume error in sphere analysis and reduce error compared to few views</w:t>
            </w:r>
            <w:r>
              <w:t xml:space="preserve"> </w:t>
            </w:r>
            <w:hyperlink r:id="rId22">
              <w:r>
                <w:rPr>
                  <w:rStyle w:val="Hyperlink"/>
                </w:rPr>
                <w:t xml:space="preserve">[11]</w:t>
              </w:r>
            </w:hyperlink>
          </w:p>
        </w:tc>
        <w:tc>
          <w:tcPr/>
          <w:p>
            <w:pPr>
              <w:pStyle w:val="Compact"/>
            </w:pPr>
            <w:r>
              <w:t xml:space="preserve">Controlled background + segmentation are key; turntable/robotic acquisition time dominates</w:t>
            </w:r>
          </w:p>
        </w:tc>
        <w:tc>
          <w:tcPr/>
          <w:p>
            <w:pPr>
              <w:pStyle w:val="Compact"/>
            </w:pPr>
            <w:r>
              <w:t xml:space="preserve">Often simpler than full MVS under low texture; requires consistent segmentation</w:t>
            </w:r>
          </w:p>
        </w:tc>
      </w:tr>
      <w:tr>
        <w:tc>
          <w:tcPr/>
          <w:p>
            <w:pPr>
              <w:pStyle w:val="Compact"/>
            </w:pPr>
            <w:r>
              <w:t xml:space="preserve">Structured light (projector+camera triangulation)</w:t>
            </w:r>
          </w:p>
        </w:tc>
        <w:tc>
          <w:tcPr/>
          <w:p>
            <w:pPr>
              <w:pStyle w:val="Compact"/>
            </w:pPr>
            <w:r>
              <w:t xml:space="preserve">High-density depth/point cloud; robust on small objects</w:t>
            </w:r>
          </w:p>
        </w:tc>
        <w:tc>
          <w:tcPr/>
          <w:p>
            <w:pPr>
              <w:pStyle w:val="Compact"/>
            </w:pPr>
            <w:r>
              <w:t xml:space="preserve">Reported single-sided accuracy on order of</w:t>
            </w:r>
            <w:r>
              <w:t xml:space="preserve"> </w:t>
            </w:r>
            <w:r>
              <w:rPr>
                <w:b/>
                <w:bCs/>
              </w:rPr>
              <w:t xml:space="preserve">0.05 mm</w:t>
            </w:r>
            <w:r>
              <w:t xml:space="preserve"> </w:t>
            </w:r>
            <w:r>
              <w:t xml:space="preserve">for a specific scanner in a grain system</w:t>
            </w:r>
            <w:r>
              <w:t xml:space="preserve"> </w:t>
            </w:r>
            <w:hyperlink r:id="rId23">
              <w:r>
                <w:rPr>
                  <w:rStyle w:val="Hyperlink"/>
                </w:rPr>
                <w:t xml:space="preserve">[3]</w:t>
              </w:r>
            </w:hyperlink>
          </w:p>
        </w:tc>
        <w:tc>
          <w:tcPr/>
          <w:p>
            <w:pPr>
              <w:pStyle w:val="Compact"/>
            </w:pPr>
            <w:r>
              <w:t xml:space="preserve">Scan time + robot path planning; reported</w:t>
            </w:r>
            <w:r>
              <w:t xml:space="preserve"> </w:t>
            </w:r>
            <w:r>
              <w:rPr>
                <w:b/>
                <w:bCs/>
              </w:rPr>
              <w:t xml:space="preserve">~9.6 s/grain</w:t>
            </w:r>
            <w:r>
              <w:t xml:space="preserve"> </w:t>
            </w:r>
            <w:r>
              <w:t xml:space="preserve">in one pipeline</w:t>
            </w:r>
            <w:r>
              <w:t xml:space="preserve"> </w:t>
            </w:r>
            <w:hyperlink r:id="rId23">
              <w:r>
                <w:rPr>
                  <w:rStyle w:val="Hyperlink"/>
                </w:rPr>
                <w:t xml:space="preserve">[3]</w:t>
              </w:r>
            </w:hyperlink>
          </w:p>
        </w:tc>
        <w:tc>
          <w:tcPr/>
          <w:p>
            <w:pPr>
              <w:pStyle w:val="Compact"/>
            </w:pPr>
            <w:r>
              <w:t xml:space="preserve">Moderate cost for desktop/handheld structured-light units; e.g., consumer/prosumer scanner listings show ~$4k class pricing for a model cited in such work</w:t>
            </w:r>
            <w:r>
              <w:t xml:space="preserve"> </w:t>
            </w:r>
            <w:hyperlink r:id="rId41">
              <w:r>
                <w:rPr>
                  <w:rStyle w:val="Hyperlink"/>
                </w:rPr>
                <w:t xml:space="preserve">[23]</w:t>
              </w:r>
            </w:hyperlink>
          </w:p>
        </w:tc>
      </w:tr>
      <w:tr>
        <w:tc>
          <w:tcPr/>
          <w:p>
            <w:pPr>
              <w:pStyle w:val="Compact"/>
            </w:pPr>
            <w:r>
              <w:t xml:space="preserve">Stereo depth sensors (RGB-D; e.g., RealSense-class stereo)</w:t>
            </w:r>
          </w:p>
        </w:tc>
        <w:tc>
          <w:tcPr/>
          <w:p>
            <w:pPr>
              <w:pStyle w:val="Compact"/>
            </w:pPr>
            <w:r>
              <w:t xml:space="preserve">Depth map + RGB (lower precision than structured light for small grains unless close-range)</w:t>
            </w:r>
          </w:p>
        </w:tc>
        <w:tc>
          <w:tcPr/>
          <w:p>
            <w:pPr>
              <w:pStyle w:val="Compact"/>
            </w:pPr>
            <w:r>
              <w:t xml:space="preserve">Vendor spec: depth accuracy</w:t>
            </w:r>
            <w:r>
              <w:t xml:space="preserve"> </w:t>
            </w:r>
            <w:r>
              <w:rPr>
                <w:b/>
                <w:bCs/>
              </w:rPr>
              <w:t xml:space="preserve">&lt;2% at 4 m</w:t>
            </w:r>
            <w:r>
              <w:t xml:space="preserve">, up to</w:t>
            </w:r>
            <w:r>
              <w:t xml:space="preserve"> </w:t>
            </w:r>
            <w:r>
              <w:rPr>
                <w:b/>
                <w:bCs/>
              </w:rPr>
              <w:t xml:space="preserve">90 fps</w:t>
            </w:r>
            <w:r>
              <w:t xml:space="preserve"> </w:t>
            </w:r>
            <w:hyperlink r:id="rId42">
              <w:r>
                <w:rPr>
                  <w:rStyle w:val="Hyperlink"/>
                </w:rPr>
                <w:t xml:space="preserve">[24]</w:t>
              </w:r>
            </w:hyperlink>
          </w:p>
        </w:tc>
        <w:tc>
          <w:tcPr/>
          <w:p>
            <w:pPr>
              <w:pStyle w:val="Compact"/>
            </w:pPr>
            <w:r>
              <w:t xml:space="preserve">Excellent for fast pose/rough shape capture; limited by spatial resolution at close range</w:t>
            </w:r>
          </w:p>
        </w:tc>
        <w:tc>
          <w:tcPr/>
          <w:p>
            <w:pPr>
              <w:pStyle w:val="Compact"/>
            </w:pPr>
            <w:r>
              <w:t xml:space="preserve">Commodity dev kits can be a few hundred USD (example pricing in distributor listings)</w:t>
            </w:r>
            <w:r>
              <w:t xml:space="preserve"> </w:t>
            </w:r>
            <w:hyperlink r:id="rId43">
              <w:r>
                <w:rPr>
                  <w:rStyle w:val="Hyperlink"/>
                </w:rPr>
                <w:t xml:space="preserve">[25]</w:t>
              </w:r>
            </w:hyperlink>
          </w:p>
        </w:tc>
      </w:tr>
      <w:tr>
        <w:tc>
          <w:tcPr/>
          <w:p>
            <w:pPr>
              <w:pStyle w:val="Compact"/>
            </w:pPr>
            <w:r>
              <w:t xml:space="preserve">Time-of-flight (ToF) depth</w:t>
            </w:r>
          </w:p>
        </w:tc>
        <w:tc>
          <w:tcPr/>
          <w:p>
            <w:pPr>
              <w:pStyle w:val="Compact"/>
            </w:pPr>
            <w:r>
              <w:t xml:space="preserve">Depth map; can work in lower texture cases</w:t>
            </w:r>
          </w:p>
        </w:tc>
        <w:tc>
          <w:tcPr/>
          <w:p>
            <w:pPr>
              <w:pStyle w:val="Compact"/>
            </w:pPr>
            <w:r>
              <w:t xml:space="preserve">Accuracy depends heavily on multipath, material, range; requires characterization</w:t>
            </w:r>
          </w:p>
        </w:tc>
        <w:tc>
          <w:tcPr/>
          <w:p>
            <w:pPr>
              <w:pStyle w:val="Compact"/>
            </w:pPr>
            <w:r>
              <w:t xml:space="preserve">High frame rates possible; best for coarse 3D in motion</w:t>
            </w:r>
          </w:p>
        </w:tc>
        <w:tc>
          <w:tcPr/>
          <w:p>
            <w:pPr>
              <w:pStyle w:val="Compact"/>
            </w:pPr>
            <w:r>
              <w:t xml:space="preserve">Moderate; often easier than structured light but less accurate for small objects</w:t>
            </w:r>
          </w:p>
        </w:tc>
      </w:tr>
      <w:tr>
        <w:tc>
          <w:tcPr/>
          <w:p>
            <w:pPr>
              <w:pStyle w:val="Compact"/>
            </w:pPr>
            <w:r>
              <w:t xml:space="preserve">X-ray CT / micro-CT</w:t>
            </w:r>
          </w:p>
        </w:tc>
        <w:tc>
          <w:tcPr/>
          <w:p>
            <w:pPr>
              <w:pStyle w:val="Compact"/>
            </w:pPr>
            <w:r>
              <w:t xml:space="preserve">Internal + external structure; volumetric traits; tissue/void segmentation possible</w:t>
            </w:r>
          </w:p>
        </w:tc>
        <w:tc>
          <w:tcPr/>
          <w:p>
            <w:pPr>
              <w:pStyle w:val="Compact"/>
            </w:pPr>
            <w:r>
              <w:t xml:space="preserve">Wheat μCT example:</w:t>
            </w:r>
            <w:r>
              <w:t xml:space="preserve"> </w:t>
            </w:r>
            <w:r>
              <w:rPr>
                <w:b/>
                <w:bCs/>
              </w:rPr>
              <w:t xml:space="preserve">4–15 μm/pixel</w:t>
            </w:r>
            <w:r>
              <w:t xml:space="preserve">, acquisition ~</w:t>
            </w:r>
            <w:r>
              <w:rPr>
                <w:b/>
                <w:bCs/>
              </w:rPr>
              <w:t xml:space="preserve">30 min grain</w:t>
            </w:r>
            <w:r>
              <w:t xml:space="preserve"> </w:t>
            </w:r>
            <w:hyperlink r:id="rId24">
              <w:r>
                <w:rPr>
                  <w:rStyle w:val="Hyperlink"/>
                </w:rPr>
                <w:t xml:space="preserve">[4]</w:t>
              </w:r>
            </w:hyperlink>
          </w:p>
        </w:tc>
        <w:tc>
          <w:tcPr/>
          <w:p>
            <w:pPr>
              <w:pStyle w:val="Compact"/>
            </w:pPr>
            <w:r>
              <w:t xml:space="preserve">Scan time dominates; can batch scan multiple grains at lower resolution for some traits</w:t>
            </w:r>
            <w:r>
              <w:t xml:space="preserve"> </w:t>
            </w:r>
            <w:hyperlink r:id="rId25">
              <w:r>
                <w:rPr>
                  <w:rStyle w:val="Hyperlink"/>
                </w:rPr>
                <w:t xml:space="preserve">[5]</w:t>
              </w:r>
            </w:hyperlink>
          </w:p>
        </w:tc>
        <w:tc>
          <w:tcPr/>
          <w:p>
            <w:pPr>
              <w:pStyle w:val="Compact"/>
            </w:pPr>
            <w:r>
              <w:t xml:space="preserve">High capex: public guidance suggests benchtop micro-CT often</w:t>
            </w:r>
            <w:r>
              <w:t xml:space="preserve"> </w:t>
            </w:r>
            <w:r>
              <w:rPr>
                <w:b/>
                <w:bCs/>
              </w:rPr>
              <w:t xml:space="preserve">$200k–$450k</w:t>
            </w:r>
            <w:r>
              <w:t xml:space="preserve">, larger systems</w:t>
            </w:r>
            <w:r>
              <w:t xml:space="preserve"> </w:t>
            </w:r>
            <w:r>
              <w:rPr>
                <w:b/>
                <w:bCs/>
              </w:rPr>
              <w:t xml:space="preserve">$500k–$1M</w:t>
            </w:r>
            <w:r>
              <w:t xml:space="preserve"> </w:t>
            </w:r>
            <w:hyperlink r:id="rId40">
              <w:r>
                <w:rPr>
                  <w:rStyle w:val="Hyperlink"/>
                </w:rPr>
                <w:t xml:space="preserve">[26]</w:t>
              </w:r>
            </w:hyperlink>
          </w:p>
        </w:tc>
      </w:tr>
      <w:tr>
        <w:tc>
          <w:tcPr/>
          <w:p>
            <w:pPr>
              <w:pStyle w:val="Compact"/>
            </w:pPr>
            <w:r>
              <w:t xml:space="preserve">Hyperspectral / NIR (alone or fused)</w:t>
            </w:r>
          </w:p>
        </w:tc>
        <w:tc>
          <w:tcPr/>
          <w:p>
            <w:pPr>
              <w:pStyle w:val="Compact"/>
            </w:pPr>
            <w:r>
              <w:t xml:space="preserve">Spectral signatures; biochemical proxies; can complement 3D shape</w:t>
            </w:r>
          </w:p>
        </w:tc>
        <w:tc>
          <w:tcPr/>
          <w:p>
            <w:pPr>
              <w:pStyle w:val="Compact"/>
            </w:pPr>
            <w:r>
              <w:t xml:space="preserve">Depends on calibration and SNR; per-band uncertainty matters</w:t>
            </w:r>
          </w:p>
        </w:tc>
        <w:tc>
          <w:tcPr/>
          <w:p>
            <w:pPr>
              <w:pStyle w:val="Compact"/>
            </w:pPr>
            <w:r>
              <w:t xml:space="preserve">Line-scan systems depend on conveyor speed; snapshot is easier but costlier</w:t>
            </w:r>
          </w:p>
        </w:tc>
        <w:tc>
          <w:tcPr/>
          <w:p>
            <w:pPr>
              <w:pStyle w:val="Compact"/>
            </w:pPr>
            <w:r>
              <w:t xml:space="preserve">Requires careful radiometric calibration and illumination stability</w:t>
            </w:r>
            <w:r>
              <w:t xml:space="preserve"> </w:t>
            </w:r>
            <w:hyperlink r:id="rId44">
              <w:r>
                <w:rPr>
                  <w:rStyle w:val="Hyperlink"/>
                </w:rPr>
                <w:t xml:space="preserve">[27]</w:t>
              </w:r>
            </w:hyperlink>
          </w:p>
        </w:tc>
      </w:tr>
    </w:tbl>
    <w:bookmarkEnd w:id="45"/>
    <w:bookmarkStart w:id="46" w:name="system-block-diagram-and-pipeline-flow"/>
    <w:p>
      <w:pPr>
        <w:pStyle w:val="Heading3"/>
      </w:pPr>
      <w:r>
        <w:t xml:space="preserve">System block diagram and pipeline flow</w:t>
      </w:r>
    </w:p>
    <w:p>
      <w:pPr>
        <w:pStyle w:val="FirstParagraph"/>
      </w:pPr>
      <w:r>
        <w:t xml:space="preserve">A design report benefits from a clear block diagram showing where estimation and control “live”.</w:t>
      </w:r>
    </w:p>
    <w:p>
      <w:pPr>
        <w:pStyle w:val="SourceCode"/>
      </w:pPr>
      <w:r>
        <w:rPr>
          <w:rStyle w:val="VerbatimChar"/>
        </w:rPr>
        <w:t xml:space="preserve">flowchart LR</w:t>
      </w:r>
      <w:r>
        <w:br/>
      </w:r>
      <w:r>
        <w:rPr>
          <w:rStyle w:val="VerbatimChar"/>
        </w:rPr>
        <w:t xml:space="preserve">  A[Grain input: bulk sample] --&gt; B[Singulation &amp; ID tracking]</w:t>
      </w:r>
      <w:r>
        <w:br/>
      </w:r>
      <w:r>
        <w:rPr>
          <w:rStyle w:val="VerbatimChar"/>
        </w:rPr>
        <w:t xml:space="preserve">  B --&gt; C[Handling dynamics: conveyor/turntable/robot]</w:t>
      </w:r>
      <w:r>
        <w:br/>
      </w:r>
      <w:r>
        <w:rPr>
          <w:rStyle w:val="VerbatimChar"/>
        </w:rPr>
        <w:t xml:space="preserve">  C --&gt; D[Sensor suite]</w:t>
      </w:r>
      <w:r>
        <w:br/>
      </w:r>
      <w:r>
        <w:rPr>
          <w:rStyle w:val="VerbatimChar"/>
        </w:rPr>
        <w:t xml:space="preserve">  D --&gt;|RGB multi-view| E1[SfM/MVS or visual hull]</w:t>
      </w:r>
      <w:r>
        <w:br/>
      </w:r>
      <w:r>
        <w:rPr>
          <w:rStyle w:val="VerbatimChar"/>
        </w:rPr>
        <w:t xml:space="preserve">  D --&gt;|Structured light / depth| E2[Depth fusion / surface recon]</w:t>
      </w:r>
      <w:r>
        <w:br/>
      </w:r>
      <w:r>
        <w:rPr>
          <w:rStyle w:val="VerbatimChar"/>
        </w:rPr>
        <w:t xml:space="preserve">  D --&gt;|X-ray CT / micro-CT| E3[Tomographic recon]</w:t>
      </w:r>
      <w:r>
        <w:br/>
      </w:r>
      <w:r>
        <w:rPr>
          <w:rStyle w:val="VerbatimChar"/>
        </w:rPr>
        <w:t xml:space="preserve">  D --&gt;|NIR/HSI| E4[Spectral calibration &amp; feature extraction]</w:t>
      </w:r>
      <w:r>
        <w:br/>
      </w:r>
      <w:r>
        <w:br/>
      </w:r>
      <w:r>
        <w:rPr>
          <w:rStyle w:val="VerbatimChar"/>
        </w:rPr>
        <w:t xml:space="preserve">  E1 --&gt; F[Unified 3D representation: mesh/point cloud/voxel]</w:t>
      </w:r>
      <w:r>
        <w:br/>
      </w:r>
      <w:r>
        <w:rPr>
          <w:rStyle w:val="VerbatimChar"/>
        </w:rPr>
        <w:t xml:space="preserve">  E2 --&gt; F</w:t>
      </w:r>
      <w:r>
        <w:br/>
      </w:r>
      <w:r>
        <w:rPr>
          <w:rStyle w:val="VerbatimChar"/>
        </w:rPr>
        <w:t xml:space="preserve">  E3 --&gt; F</w:t>
      </w:r>
      <w:r>
        <w:br/>
      </w:r>
      <w:r>
        <w:rPr>
          <w:rStyle w:val="VerbatimChar"/>
        </w:rPr>
        <w:t xml:space="preserve">  E4 --&gt; G[Spectral trait vector]</w:t>
      </w:r>
      <w:r>
        <w:br/>
      </w:r>
      <w:r>
        <w:br/>
      </w:r>
      <w:r>
        <w:rPr>
          <w:rStyle w:val="VerbatimChar"/>
        </w:rPr>
        <w:t xml:space="preserve">  F --&gt; H[Phenotypic traits: size, volume, SA, curvature, texture]</w:t>
      </w:r>
      <w:r>
        <w:br/>
      </w:r>
      <w:r>
        <w:rPr>
          <w:rStyle w:val="VerbatimChar"/>
        </w:rPr>
        <w:t xml:space="preserve">  G --&gt; H</w:t>
      </w:r>
      <w:r>
        <w:br/>
      </w:r>
      <w:r>
        <w:br/>
      </w:r>
      <w:r>
        <w:rPr>
          <w:rStyle w:val="VerbatimChar"/>
        </w:rPr>
        <w:t xml:space="preserve">  H --&gt; I[QC + uncertainty + audit trail]</w:t>
      </w:r>
      <w:r>
        <w:br/>
      </w:r>
      <w:r>
        <w:rPr>
          <w:rStyle w:val="VerbatimChar"/>
        </w:rPr>
        <w:t xml:space="preserve">  I --&gt; J[Downstream: screening, sorting, breeding analytics]</w:t>
      </w:r>
      <w:r>
        <w:br/>
      </w:r>
      <w:r>
        <w:br/>
      </w:r>
      <w:r>
        <w:rPr>
          <w:rStyle w:val="VerbatimChar"/>
        </w:rPr>
        <w:t xml:space="preserve">  K[State estimation &amp; smoothing\n(KF/EKF/UKF/PF, BA)] --&gt; C</w:t>
      </w:r>
      <w:r>
        <w:br/>
      </w:r>
      <w:r>
        <w:rPr>
          <w:rStyle w:val="VerbatimChar"/>
        </w:rPr>
        <w:t xml:space="preserve">  K --&gt; D</w:t>
      </w:r>
      <w:r>
        <w:br/>
      </w:r>
      <w:r>
        <w:rPr>
          <w:rStyle w:val="VerbatimChar"/>
        </w:rPr>
        <w:t xml:space="preserve">  L[Feedback control\n(MPC/robust/adaptive, NBV)] --&gt; C</w:t>
      </w:r>
      <w:r>
        <w:br/>
      </w:r>
      <w:r>
        <w:rPr>
          <w:rStyle w:val="VerbatimChar"/>
        </w:rPr>
        <w:t xml:space="preserve">  L --&gt; D</w:t>
      </w:r>
    </w:p>
    <w:bookmarkEnd w:id="46"/>
    <w:bookmarkStart w:id="54" w:name="sensing-and-imaging-models"/>
    <w:p>
      <w:pPr>
        <w:pStyle w:val="Heading3"/>
      </w:pPr>
      <w:r>
        <w:t xml:space="preserve">Sensing and imaging models</w:t>
      </w:r>
    </w:p>
    <w:p>
      <w:pPr>
        <w:pStyle w:val="FirstParagraph"/>
      </w:pPr>
      <w:r>
        <w:t xml:space="preserve">A control-theoretic design report should explicitly define</w:t>
      </w:r>
      <w:r>
        <w:t xml:space="preserve"> </w:t>
      </w:r>
      <w:r>
        <w:rPr>
          <w:b/>
          <w:bCs/>
        </w:rPr>
        <w:t xml:space="preserve">forward models</w:t>
      </w:r>
      <w:r>
        <w:t xml:space="preserve"> </w:t>
      </w:r>
      <w:r>
        <w:t xml:space="preserve">(how states generate measurements) and</w:t>
      </w:r>
      <w:r>
        <w:t xml:space="preserve"> </w:t>
      </w:r>
      <w:r>
        <w:rPr>
          <w:b/>
          <w:bCs/>
        </w:rPr>
        <w:t xml:space="preserve">noise models</w:t>
      </w:r>
      <w:r>
        <w:t xml:space="preserve"> </w:t>
      </w:r>
      <w:r>
        <w:t xml:space="preserve">(how uncertainty enters). Below are recommended canonical models for the modalities in scope.</w:t>
      </w:r>
    </w:p>
    <w:p>
      <w:pPr>
        <w:pStyle w:val="BodyText"/>
      </w:pPr>
      <w:r>
        <w:rPr>
          <w:b/>
          <w:bCs/>
        </w:rPr>
        <w:t xml:space="preserve">Geometric camera model (RGB / multi-view).</w:t>
      </w:r>
      <w:r>
        <w:t xml:space="preserve"> </w:t>
      </w:r>
      <w:r>
        <w:t xml:space="preserve">Use the pinhole model with intrinsics</w:t>
      </w:r>
      <w:r>
        <w:t xml:space="preserve"> </w:t>
      </w:r>
      <m:oMath>
        <m:r>
          <m:t>K</m:t>
        </m:r>
      </m:oMath>
      <w:r>
        <w:t xml:space="preserve"> </w:t>
      </w:r>
      <w:r>
        <w:t xml:space="preserve">and extrinsics</w:t>
      </w:r>
      <w:r>
        <w:t xml:space="preserve"> </w:t>
      </w:r>
      <m:oMath>
        <m:d>
          <m:dPr>
            <m:begChr m:val="("/>
            <m:sepChr m:val=""/>
            <m:endChr m:val=")"/>
            <m:grow/>
          </m:dPr>
          <m:e>
            <m:r>
              <m:t>R</m:t>
            </m:r>
            <m:r>
              <m:rPr>
                <m:sty m:val="p"/>
              </m:rPr>
              <m:t>,</m:t>
            </m:r>
            <m:r>
              <m:t>t</m:t>
            </m:r>
          </m:e>
        </m:d>
      </m:oMath>
      <w:r>
        <w:t xml:space="preserve">:</w:t>
      </w:r>
      <w:r>
        <w:br/>
      </w:r>
    </w:p>
    <w:p>
      <w:pPr>
        <w:pStyle w:val="BodyText"/>
      </w:pPr>
      <m:oMathPara>
        <m:oMathParaPr>
          <m:jc m:val="center"/>
        </m:oMathParaPr>
        <m:oMath>
          <m:acc>
            <m:accPr>
              <m:chr m:val="̃"/>
            </m:accPr>
            <m:e>
              <m:r>
                <m:rPr>
                  <m:sty m:val="b"/>
                </m:rPr>
                <m:t>u</m:t>
              </m:r>
            </m:e>
          </m:acc>
          <m:r>
            <m:rPr>
              <m:sty m:val="p"/>
            </m:rPr>
            <m:t>∼</m:t>
          </m:r>
          <m:r>
            <m:rPr>
              <m:sty m:val="b"/>
            </m:rPr>
            <m:t>K</m:t>
          </m:r>
          <m:r>
            <m:t> </m:t>
          </m:r>
          <m:d>
            <m:dPr>
              <m:begChr m:val="["/>
              <m:sepChr m:val=""/>
              <m:endChr m:val="]"/>
              <m:grow/>
            </m:dPr>
            <m:e>
              <m:r>
                <m:rPr>
                  <m:sty m:val="b"/>
                </m:rPr>
                <m:t>R</m:t>
              </m:r>
              <m:r>
                <m:rPr>
                  <m:sty m:val="p"/>
                </m:rPr>
                <m:t>∣</m:t>
              </m:r>
              <m:r>
                <m:rPr>
                  <m:sty m:val="b"/>
                </m:rPr>
                <m:t>t</m:t>
              </m:r>
            </m:e>
          </m:d>
          <m:r>
            <m:t> </m:t>
          </m:r>
          <m:acc>
            <m:accPr>
              <m:chr m:val="̃"/>
            </m:accPr>
            <m:e>
              <m:r>
                <m:rPr>
                  <m:sty m:val="b"/>
                </m:rPr>
                <m:t>X</m:t>
              </m:r>
            </m:e>
          </m:acc>
          <m:r>
            <m:rPr>
              <m:sty m:val="p"/>
            </m:rPr>
            <m:t>,</m:t>
          </m:r>
          <m:r>
            <m:t> </m:t>
          </m:r>
          <m:r>
            <m:rPr>
              <m:sty m:val="b"/>
            </m:rPr>
            <m:t>u</m:t>
          </m:r>
          <m:r>
            <m:rPr>
              <m:sty m:val="p"/>
            </m:rPr>
            <m:t>=</m:t>
          </m:r>
          <m:d>
            <m:dPr>
              <m:begChr m:val="["/>
              <m:sepChr m:val=""/>
              <m:endChr m:val="]"/>
              <m:grow/>
            </m:dPr>
            <m:e>
              <m:m>
                <m:mPr>
                  <m:baseJc m:val="center"/>
                  <m:plcHide m:val="on"/>
                  <m:mcs>
                    <m:mc>
                      <m:mcPr>
                        <m:mcJc m:val="center"/>
                        <m:count m:val="1"/>
                      </m:mcPr>
                    </m:mc>
                  </m:mcs>
                </m:mPr>
                <m:mr>
                  <m:e>
                    <m:r>
                      <m:t>u</m:t>
                    </m:r>
                    <m:r>
                      <m:rPr>
                        <m:sty m:val="p"/>
                      </m:rPr>
                      <m:t>/</m:t>
                    </m:r>
                    <m:r>
                      <m:t>w</m:t>
                    </m:r>
                  </m:e>
                </m:mr>
                <m:mr>
                  <m:e>
                    <m:r>
                      <m:t>v</m:t>
                    </m:r>
                    <m:r>
                      <m:rPr>
                        <m:sty m:val="p"/>
                      </m:rPr>
                      <m:t>/</m:t>
                    </m:r>
                    <m:r>
                      <m:t>w</m:t>
                    </m:r>
                  </m:e>
                </m:mr>
              </m:m>
            </m:e>
          </m:d>
          <m:r>
            <m:rPr>
              <m:sty m:val="p"/>
            </m:rPr>
            <m:t>,</m:t>
          </m:r>
        </m:oMath>
      </m:oMathPara>
    </w:p>
    <w:p>
      <w:pPr>
        <w:pStyle w:val="FirstParagraph"/>
      </w:pPr>
      <w:r>
        <w:t xml:space="preserve">with lens distortion handled explicitly (radial/tangential) in calibration. This formulation is standard in multi-view geometry course notes and vision libraries</w:t>
      </w:r>
      <w:r>
        <w:t xml:space="preserve"> </w:t>
      </w:r>
      <w:hyperlink r:id="rId47">
        <w:r>
          <w:rPr>
            <w:rStyle w:val="Hyperlink"/>
          </w:rPr>
          <w:t xml:space="preserve">[28]</w:t>
        </w:r>
      </w:hyperlink>
      <w:r>
        <w:t xml:space="preserve">. In practice, OpenCV’s calibration pipeline (e.g.,</w:t>
      </w:r>
      <w:r>
        <w:t xml:space="preserve"> </w:t>
      </w:r>
      <w:r>
        <w:rPr>
          <w:rStyle w:val="VerbatimChar"/>
        </w:rPr>
        <w:t xml:space="preserve">cv.calibrateCamera</w:t>
      </w:r>
      <w:r>
        <w:t xml:space="preserve">) provides intrinsics and distortion estimates from planar targets</w:t>
      </w:r>
      <w:r>
        <w:t xml:space="preserve"> </w:t>
      </w:r>
      <w:hyperlink r:id="rId48">
        <w:r>
          <w:rPr>
            <w:rStyle w:val="Hyperlink"/>
          </w:rPr>
          <w:t xml:space="preserve">[29]</w:t>
        </w:r>
      </w:hyperlink>
      <w:r>
        <w:t xml:space="preserve">.</w:t>
      </w:r>
    </w:p>
    <w:p>
      <w:pPr>
        <w:pStyle w:val="BodyText"/>
      </w:pPr>
      <w:r>
        <w:rPr>
          <w:b/>
          <w:bCs/>
        </w:rPr>
        <w:t xml:space="preserve">Radiometric image formation and noise (RGB).</w:t>
      </w:r>
      <w:r>
        <w:t xml:space="preserve"> </w:t>
      </w:r>
      <w:r>
        <w:t xml:space="preserve">For quantitative intensity (texture/color/defect), model the measured pixel</w:t>
      </w:r>
      <w:r>
        <w:t xml:space="preserve"> </w:t>
      </w:r>
      <m:oMath>
        <m:r>
          <m:t>y</m:t>
        </m:r>
      </m:oMath>
      <w:r>
        <w:t xml:space="preserve"> </w:t>
      </w:r>
      <w:r>
        <w:t xml:space="preserve">as a (possibly linearized) function of scene radiance and exposure, with noise decomposed into photon (shot) noise + read noise + quantization. For machine-vision cameras, characterizing this via</w:t>
      </w:r>
      <w:r>
        <w:t xml:space="preserve"> </w:t>
      </w:r>
      <w:r>
        <w:rPr>
          <w:b/>
          <w:bCs/>
        </w:rPr>
        <w:t xml:space="preserve">EMVA 1288</w:t>
      </w:r>
      <w:r>
        <w:t xml:space="preserve"> </w:t>
      </w:r>
      <w:r>
        <w:t xml:space="preserve">is recommended because it standardizes how SNR, photon transfer curves, and related performance parameters are measured and reported</w:t>
      </w:r>
      <w:r>
        <w:t xml:space="preserve"> </w:t>
      </w:r>
      <w:hyperlink r:id="rId49">
        <w:r>
          <w:rPr>
            <w:rStyle w:val="Hyperlink"/>
          </w:rPr>
          <w:t xml:space="preserve">[30]</w:t>
        </w:r>
      </w:hyperlink>
      <w:r>
        <w:t xml:space="preserve">.</w:t>
      </w:r>
    </w:p>
    <w:p>
      <w:pPr>
        <w:pStyle w:val="BodyText"/>
      </w:pPr>
      <w:r>
        <w:rPr>
          <w:b/>
          <w:bCs/>
        </w:rPr>
        <w:t xml:space="preserve">Stereo / depth camera measurement model.</w:t>
      </w:r>
      <w:r>
        <w:t xml:space="preserve"> </w:t>
      </w:r>
      <w:r>
        <w:t xml:space="preserve">For stereo, disparity</w:t>
      </w:r>
      <w:r>
        <w:t xml:space="preserve"> </w:t>
      </w:r>
      <m:oMath>
        <m:r>
          <m:t>d</m:t>
        </m:r>
      </m:oMath>
      <w:r>
        <w:t xml:space="preserve"> </w:t>
      </w:r>
      <w:r>
        <w:t xml:space="preserve">relates to depth</w:t>
      </w:r>
      <w:r>
        <w:t xml:space="preserve"> </w:t>
      </w:r>
      <m:oMath>
        <m:r>
          <m:t>Z</m:t>
        </m:r>
      </m:oMath>
      <w:r>
        <w:t xml:space="preserve"> </w:t>
      </w:r>
      <w:r>
        <w:t xml:space="preserve">(idealized):</w:t>
      </w:r>
      <w:r>
        <w:br/>
      </w:r>
    </w:p>
    <w:p>
      <w:pPr>
        <w:pStyle w:val="BodyText"/>
      </w:pPr>
      <m:oMathPara>
        <m:oMathParaPr>
          <m:jc m:val="center"/>
        </m:oMathParaPr>
        <m:oMath>
          <m:r>
            <m:t>Z</m:t>
          </m:r>
          <m:r>
            <m:rPr>
              <m:sty m:val="p"/>
            </m:rPr>
            <m:t>=</m:t>
          </m:r>
          <m:f>
            <m:fPr>
              <m:type m:val="bar"/>
            </m:fPr>
            <m:num>
              <m:r>
                <m:t>f</m:t>
              </m:r>
              <m:r>
                <m:t>B</m:t>
              </m:r>
            </m:num>
            <m:den>
              <m:r>
                <m:t>d</m:t>
              </m:r>
            </m:den>
          </m:f>
          <m:r>
            <m:rPr>
              <m:sty m:val="p"/>
            </m:rPr>
            <m:t>,</m:t>
          </m:r>
        </m:oMath>
      </m:oMathPara>
    </w:p>
    <w:p>
      <w:pPr>
        <w:pStyle w:val="FirstParagraph"/>
      </w:pPr>
      <w:r>
        <w:t xml:space="preserve">so depth uncertainty grows roughly with</w:t>
      </w:r>
      <w:r>
        <w:t xml:space="preserve"> </w:t>
      </w:r>
      <m:oMath>
        <m:sSup>
          <m:e>
            <m:r>
              <m:t>Z</m:t>
            </m:r>
          </m:e>
          <m:sup>
            <m:r>
              <m:t>2</m:t>
            </m:r>
          </m:sup>
        </m:sSup>
      </m:oMath>
      <w:r>
        <w:t xml:space="preserve"> </w:t>
      </w:r>
      <w:r>
        <w:t xml:space="preserve">for constant disparity error—a key throughput–accuracy coupling when grains are small and you must work close. Vendor specifications can be used as constraints/priors; for example, RealSense D455-class devices specify depth accuracy</w:t>
      </w:r>
      <w:r>
        <w:t xml:space="preserve"> </w:t>
      </w:r>
      <w:r>
        <w:rPr>
          <w:b/>
          <w:bCs/>
        </w:rPr>
        <w:t xml:space="preserve">&lt;2% at 4 m</w:t>
      </w:r>
      <w:r>
        <w:t xml:space="preserve"> </w:t>
      </w:r>
      <w:r>
        <w:t xml:space="preserve">and up to</w:t>
      </w:r>
      <w:r>
        <w:t xml:space="preserve"> </w:t>
      </w:r>
      <w:r>
        <w:rPr>
          <w:b/>
          <w:bCs/>
        </w:rPr>
        <w:t xml:space="preserve">90 fps</w:t>
      </w:r>
      <w:r>
        <w:t xml:space="preserve"> </w:t>
      </w:r>
      <w:r>
        <w:t xml:space="preserve">operation</w:t>
      </w:r>
      <w:r>
        <w:t xml:space="preserve"> </w:t>
      </w:r>
      <w:hyperlink r:id="rId42">
        <w:r>
          <w:rPr>
            <w:rStyle w:val="Hyperlink"/>
          </w:rPr>
          <w:t xml:space="preserve">[24]</w:t>
        </w:r>
      </w:hyperlink>
      <w:r>
        <w:t xml:space="preserve">. Academic evaluations can be cited for metrological characterization and systematic errors</w:t>
      </w:r>
      <w:r>
        <w:t xml:space="preserve"> </w:t>
      </w:r>
      <w:hyperlink r:id="rId50">
        <w:r>
          <w:rPr>
            <w:rStyle w:val="Hyperlink"/>
          </w:rPr>
          <w:t xml:space="preserve">[31]</w:t>
        </w:r>
      </w:hyperlink>
      <w:r>
        <w:t xml:space="preserve">.</w:t>
      </w:r>
    </w:p>
    <w:p>
      <w:pPr>
        <w:pStyle w:val="BodyText"/>
      </w:pPr>
      <w:r>
        <w:rPr>
          <w:b/>
          <w:bCs/>
        </w:rPr>
        <w:t xml:space="preserve">Structured light triangulation model.</w:t>
      </w:r>
      <w:r>
        <w:t xml:space="preserve"> </w:t>
      </w:r>
      <w:r>
        <w:t xml:space="preserve">Structured light measures depth by projecting known patterns and triangulating correspondences between projector and camera(s). Practical grain systems report scanner architectures based on projector + cameras and triangulation with sinusoidal gratings</w:t>
      </w:r>
      <w:r>
        <w:t xml:space="preserve"> </w:t>
      </w:r>
      <w:hyperlink r:id="rId23">
        <w:r>
          <w:rPr>
            <w:rStyle w:val="Hyperlink"/>
          </w:rPr>
          <w:t xml:space="preserve">[3]</w:t>
        </w:r>
      </w:hyperlink>
      <w:r>
        <w:t xml:space="preserve">. In a design report, model it analogously to stereo but with “projector as inverse camera,” yielding a calibrated baseline and pixel correspondence that provides depth.</w:t>
      </w:r>
    </w:p>
    <w:p>
      <w:pPr>
        <w:pStyle w:val="BodyText"/>
      </w:pPr>
      <w:r>
        <w:rPr>
          <w:b/>
          <w:bCs/>
        </w:rPr>
        <w:t xml:space="preserve">CT / micro-CT forward model (Beer–Lambert + Radon transform).</w:t>
      </w:r>
      <w:r>
        <w:t xml:space="preserve"> </w:t>
      </w:r>
      <w:r>
        <w:t xml:space="preserve">For X-ray CT, measurements are line integrals of attenuation</w:t>
      </w:r>
      <w:r>
        <w:t xml:space="preserve"> </w:t>
      </w:r>
      <m:oMath>
        <m:r>
          <m:t>μ</m:t>
        </m:r>
        <m:d>
          <m:dPr>
            <m:begChr m:val="("/>
            <m:sepChr m:val=""/>
            <m:endChr m:val=")"/>
            <m:grow/>
          </m:dPr>
          <m:e>
            <m:r>
              <m:rPr>
                <m:sty m:val="b"/>
              </m:rPr>
              <m:t>x</m:t>
            </m:r>
          </m:e>
        </m:d>
      </m:oMath>
      <w:r>
        <w:t xml:space="preserve"> </w:t>
      </w:r>
      <w:r>
        <w:t xml:space="preserve">along rays</w:t>
      </w:r>
      <w:r>
        <w:t xml:space="preserve"> </w:t>
      </w:r>
      <m:oMath>
        <m:r>
          <m:t>L</m:t>
        </m:r>
      </m:oMath>
      <w:r>
        <w:t xml:space="preserve">:</w:t>
      </w:r>
      <w:r>
        <w:br/>
      </w:r>
    </w:p>
    <w:p>
      <w:pPr>
        <w:pStyle w:val="BodyText"/>
      </w:pPr>
      <m:oMathPara>
        <m:oMathParaPr>
          <m:jc m:val="center"/>
        </m:oMathParaPr>
        <m:oMath>
          <m:r>
            <m:t>I</m:t>
          </m:r>
          <m:r>
            <m:rPr>
              <m:sty m:val="p"/>
            </m:rPr>
            <m:t>=</m:t>
          </m:r>
          <m:sSub>
            <m:e>
              <m:r>
                <m:t>I</m:t>
              </m:r>
            </m:e>
            <m:sub>
              <m:r>
                <m:t>0</m:t>
              </m:r>
            </m:sub>
          </m:sSub>
          <m:r>
            <m:t> </m:t>
          </m:r>
          <m:r>
            <m:rPr>
              <m:sty m:val="p"/>
            </m:rPr>
            <m:t>exp</m:t>
          </m:r>
          <m:r>
            <m:t>​</m:t>
          </m:r>
          <m:d>
            <m:dPr>
              <m:begChr m:val="("/>
              <m:sepChr m:val=""/>
              <m:endChr m:val=")"/>
              <m:grow/>
            </m:dPr>
            <m:e>
              <m:r>
                <m:rPr>
                  <m:sty m:val="p"/>
                </m:rPr>
                <m:t>−</m:t>
              </m:r>
              <m:nary>
                <m:naryPr>
                  <m:chr m:val="∫"/>
                  <m:limLoc m:val="subSup"/>
                  <m:subHide m:val="off"/>
                  <m:supHide m:val="on"/>
                </m:naryPr>
                <m:sub>
                  <m:r>
                    <m:t>L</m:t>
                  </m:r>
                </m:sub>
                <m:sup>
                  <m:r>
                    <m:t>​</m:t>
                  </m:r>
                </m:sup>
                <m:e>
                  <m:r>
                    <m:t>μ</m:t>
                  </m:r>
                </m:e>
              </m:nary>
              <m:d>
                <m:dPr>
                  <m:begChr m:val="("/>
                  <m:sepChr m:val=""/>
                  <m:endChr m:val=")"/>
                  <m:grow/>
                </m:dPr>
                <m:e>
                  <m:r>
                    <m:t>s</m:t>
                  </m:r>
                </m:e>
              </m:d>
              <m:r>
                <m:t> </m:t>
              </m:r>
              <m:r>
                <m:t>d</m:t>
              </m:r>
              <m:r>
                <m:t>s</m:t>
              </m:r>
            </m:e>
          </m:d>
          <m:r>
            <m:rPr>
              <m:sty m:val="p"/>
            </m:rPr>
            <m:t>,</m:t>
          </m:r>
          <m:r>
            <m:t>  </m:t>
          </m:r>
          <m:r>
            <m:t>p</m:t>
          </m:r>
          <m:r>
            <m:rPr>
              <m:sty m:val="p"/>
            </m:rPr>
            <m:t>=</m:t>
          </m:r>
          <m:r>
            <m:rPr>
              <m:sty m:val="p"/>
            </m:rPr>
            <m:t>−</m:t>
          </m:r>
          <m:r>
            <m:rPr>
              <m:sty m:val="p"/>
            </m:rPr>
            <m:t>ln</m:t>
          </m:r>
          <m:r>
            <m:t>​</m:t>
          </m:r>
          <m:d>
            <m:dPr>
              <m:begChr m:val="("/>
              <m:sepChr m:val=""/>
              <m:endChr m:val=")"/>
              <m:grow/>
            </m:dPr>
            <m:e>
              <m:f>
                <m:fPr>
                  <m:type m:val="bar"/>
                </m:fPr>
                <m:num>
                  <m:r>
                    <m:t>I</m:t>
                  </m:r>
                </m:num>
                <m:den>
                  <m:sSub>
                    <m:e>
                      <m:r>
                        <m:t>I</m:t>
                      </m:r>
                    </m:e>
                    <m:sub>
                      <m:r>
                        <m:t>0</m:t>
                      </m:r>
                    </m:sub>
                  </m:sSub>
                </m:den>
              </m:f>
            </m:e>
          </m:d>
          <m:r>
            <m:rPr>
              <m:sty m:val="p"/>
            </m:rPr>
            <m:t>=</m:t>
          </m:r>
          <m:nary>
            <m:naryPr>
              <m:chr m:val="∫"/>
              <m:limLoc m:val="subSup"/>
              <m:subHide m:val="off"/>
              <m:supHide m:val="on"/>
            </m:naryPr>
            <m:sub>
              <m:r>
                <m:t>L</m:t>
              </m:r>
            </m:sub>
            <m:sup>
              <m:r>
                <m:t>​</m:t>
              </m:r>
            </m:sup>
            <m:e>
              <m:r>
                <m:t>μ</m:t>
              </m:r>
            </m:e>
          </m:nary>
          <m:d>
            <m:dPr>
              <m:begChr m:val="("/>
              <m:sepChr m:val=""/>
              <m:endChr m:val=")"/>
              <m:grow/>
            </m:dPr>
            <m:e>
              <m:r>
                <m:t>s</m:t>
              </m:r>
            </m:e>
          </m:d>
          <m:r>
            <m:t> </m:t>
          </m:r>
          <m:r>
            <m:t>d</m:t>
          </m:r>
          <m:r>
            <m:t>s</m:t>
          </m:r>
          <m:r>
            <m:rPr>
              <m:sty m:val="p"/>
            </m:rPr>
            <m:t>,</m:t>
          </m:r>
        </m:oMath>
      </m:oMathPara>
    </w:p>
    <w:p>
      <w:pPr>
        <w:pStyle w:val="FirstParagraph"/>
      </w:pPr>
      <w:r>
        <w:t xml:space="preserve">i.e., a Radon transform of</w:t>
      </w:r>
      <w:r>
        <w:t xml:space="preserve"> </w:t>
      </w:r>
      <m:oMath>
        <m:r>
          <m:t>μ</m:t>
        </m:r>
      </m:oMath>
      <w:r>
        <w:t xml:space="preserve">. Tutorials and lecture notes explicitly connect Beer–Lambert physics to Radon/filtered-backprojection reconstruction</w:t>
      </w:r>
      <w:r>
        <w:t xml:space="preserve"> </w:t>
      </w:r>
      <w:hyperlink r:id="rId51">
        <w:r>
          <w:rPr>
            <w:rStyle w:val="Hyperlink"/>
          </w:rPr>
          <w:t xml:space="preserve">[32]</w:t>
        </w:r>
      </w:hyperlink>
      <w:r>
        <w:t xml:space="preserve">. This is central for identifiability: you can only reconstruct details that are supported by sufficient angular sampling and SNR.</w:t>
      </w:r>
    </w:p>
    <w:p>
      <w:pPr>
        <w:pStyle w:val="BodyText"/>
      </w:pPr>
      <w:r>
        <w:rPr>
          <w:b/>
          <w:bCs/>
        </w:rPr>
        <w:t xml:space="preserve">Hyperspectral radiometric model.</w:t>
      </w:r>
      <w:r>
        <w:t xml:space="preserve"> </w:t>
      </w:r>
      <w:r>
        <w:t xml:space="preserve">Hyperspectral pipelines should distinguish raw DN → radiance → reflectance. Calibration must address illumination, sensor response, and stray light; NIST guidance emphasizes the importance of radiometric characterization artifacts and handling scattered light in hyperspectral imagers</w:t>
      </w:r>
      <w:r>
        <w:t xml:space="preserve"> </w:t>
      </w:r>
      <w:hyperlink r:id="rId44">
        <w:r>
          <w:rPr>
            <w:rStyle w:val="Hyperlink"/>
          </w:rPr>
          <w:t xml:space="preserve">[33]</w:t>
        </w:r>
      </w:hyperlink>
      <w:r>
        <w:t xml:space="preserve">. Practical calibration procedures using low-cost reflectance references are reported in the literature</w:t>
      </w:r>
      <w:r>
        <w:t xml:space="preserve"> </w:t>
      </w:r>
      <w:hyperlink r:id="rId52">
        <w:r>
          <w:rPr>
            <w:rStyle w:val="Hyperlink"/>
          </w:rPr>
          <w:t xml:space="preserve">[34]</w:t>
        </w:r>
      </w:hyperlink>
      <w:r>
        <w:t xml:space="preserve">, and industry explanations clarify the difference between raw/radiance/reflectance products</w:t>
      </w:r>
      <w:r>
        <w:t xml:space="preserve"> </w:t>
      </w:r>
      <w:hyperlink r:id="rId53">
        <w:r>
          <w:rPr>
            <w:rStyle w:val="Hyperlink"/>
          </w:rPr>
          <w:t xml:space="preserve">[35]</w:t>
        </w:r>
      </w:hyperlink>
      <w:r>
        <w:t xml:space="preserve">.</w:t>
      </w:r>
    </w:p>
    <w:bookmarkEnd w:id="54"/>
    <w:bookmarkEnd w:id="55"/>
    <w:bookmarkStart w:id="71" w:name="X8dfbec0a6d4ccdac804ac19626c4a879e3899fd"/>
    <w:p>
      <w:pPr>
        <w:pStyle w:val="Heading2"/>
      </w:pPr>
      <w:r>
        <w:t xml:space="preserve">State-space modeling, observability/identifiability, and estimation/filtering</w:t>
      </w:r>
    </w:p>
    <w:p>
      <w:pPr>
        <w:pStyle w:val="FirstParagraph"/>
      </w:pPr>
      <w:r>
        <w:t xml:space="preserve">This section is the “control theory spine” of the design report: define state, measurement, and parameter models for the imaging pipeline and grain handling; analyze what is theoretically recoverable; then propose estimators with explicit assumptions.</w:t>
      </w:r>
    </w:p>
    <w:bookmarkStart w:id="57" w:name="Xba8b35d68a273771e7fb22c549465d54eef26c6"/>
    <w:p>
      <w:pPr>
        <w:pStyle w:val="Heading3"/>
      </w:pPr>
      <w:r>
        <w:t xml:space="preserve">Dynamic models for grain handling and imaging</w:t>
      </w:r>
    </w:p>
    <w:p>
      <w:pPr>
        <w:pStyle w:val="FirstParagraph"/>
      </w:pPr>
      <w:r>
        <w:rPr>
          <w:b/>
          <w:bCs/>
        </w:rPr>
        <w:t xml:space="preserve">A minimal discrete-time grain pose model (conveyor or turntable).</w:t>
      </w:r>
      <w:r>
        <w:t xml:space="preserve"> </w:t>
      </w:r>
      <w:r>
        <w:t xml:space="preserve">Let the grain’s rigid pose be represented by position</w:t>
      </w:r>
      <w:r>
        <w:t xml:space="preserve"> </w:t>
      </w:r>
      <m:oMath>
        <m:sSub>
          <m:e>
            <m:r>
              <m:rPr>
                <m:sty m:val="b"/>
              </m:rPr>
              <m:t>p</m:t>
            </m:r>
          </m:e>
          <m:sub>
            <m:r>
              <m:t>k</m:t>
            </m:r>
          </m:sub>
        </m:sSub>
        <m:r>
          <m:rPr>
            <m:sty m:val="p"/>
          </m:rPr>
          <m:t>∈</m:t>
        </m:r>
        <m:sSup>
          <m:e>
            <m:r>
              <m:rPr>
                <m:sty m:val="p"/>
                <m:scr m:val="double-struck"/>
              </m:rPr>
              <m:t>R</m:t>
            </m:r>
          </m:e>
          <m:sup>
            <m:r>
              <m:t>3</m:t>
            </m:r>
          </m:sup>
        </m:sSup>
      </m:oMath>
      <w:r>
        <w:t xml:space="preserve"> </w:t>
      </w:r>
      <w:r>
        <w:t xml:space="preserve">and orientation</w:t>
      </w:r>
      <w:r>
        <w:t xml:space="preserve"> </w:t>
      </w:r>
      <m:oMath>
        <m:sSub>
          <m:e>
            <m:r>
              <m:rPr>
                <m:sty m:val="b"/>
              </m:rPr>
              <m:t>q</m:t>
            </m:r>
          </m:e>
          <m:sub>
            <m:r>
              <m:t>k</m:t>
            </m:r>
          </m:sub>
        </m:sSub>
      </m:oMath>
      <w:r>
        <w:t xml:space="preserve"> </w:t>
      </w:r>
      <w:r>
        <w:t xml:space="preserve">(unit quaternion), with velocities</w:t>
      </w:r>
      <w:r>
        <w:t xml:space="preserve"> </w:t>
      </w:r>
      <m:oMath>
        <m:sSub>
          <m:e>
            <m:r>
              <m:rPr>
                <m:sty m:val="b"/>
              </m:rPr>
              <m:t>v</m:t>
            </m:r>
          </m:e>
          <m:sub>
            <m:r>
              <m:t>k</m:t>
            </m:r>
          </m:sub>
        </m:sSub>
      </m:oMath>
      <w:r>
        <w:t xml:space="preserve">,</w:t>
      </w:r>
      <w:r>
        <w:t xml:space="preserve"> </w:t>
      </w:r>
      <m:oMath>
        <m:sSub>
          <m:e>
            <m:r>
              <m:rPr>
                <m:sty m:val="b"/>
              </m:rPr>
              <m:t>ω</m:t>
            </m:r>
          </m:e>
          <m:sub>
            <m:r>
              <m:t>k</m:t>
            </m:r>
          </m:sub>
        </m:sSub>
      </m:oMath>
      <w:r>
        <w:t xml:space="preserve">. Define state:</w:t>
      </w:r>
    </w:p>
    <w:p>
      <w:pPr>
        <w:pStyle w:val="BodyText"/>
      </w:pPr>
      <m:oMathPara>
        <m:oMathParaPr>
          <m:jc m:val="center"/>
        </m:oMathParaPr>
        <m:oMath>
          <m:sSub>
            <m:e>
              <m:r>
                <m:rPr>
                  <m:sty m:val="b"/>
                </m:rPr>
                <m:t>x</m:t>
              </m:r>
            </m:e>
            <m:sub>
              <m:r>
                <m:t>k</m:t>
              </m:r>
            </m:sub>
          </m:sSub>
          <m:r>
            <m:rPr>
              <m:sty m:val="p"/>
            </m:rPr>
            <m:t>=</m:t>
          </m:r>
          <m:d>
            <m:dPr>
              <m:begChr m:val="["/>
              <m:sepChr m:val=""/>
              <m:endChr m:val="]"/>
              <m:grow/>
            </m:dPr>
            <m:e>
              <m:m>
                <m:mPr>
                  <m:baseJc m:val="center"/>
                  <m:plcHide m:val="on"/>
                  <m:mcs>
                    <m:mc>
                      <m:mcPr>
                        <m:mcJc m:val="center"/>
                        <m:count m:val="1"/>
                      </m:mcPr>
                    </m:mc>
                  </m:mcs>
                </m:mPr>
                <m:mr>
                  <m:e>
                    <m:sSub>
                      <m:e>
                        <m:r>
                          <m:rPr>
                            <m:sty m:val="b"/>
                          </m:rPr>
                          <m:t>p</m:t>
                        </m:r>
                      </m:e>
                      <m:sub>
                        <m:r>
                          <m:t>k</m:t>
                        </m:r>
                      </m:sub>
                    </m:sSub>
                  </m:e>
                </m:mr>
                <m:mr>
                  <m:e>
                    <m:sSub>
                      <m:e>
                        <m:r>
                          <m:rPr>
                            <m:sty m:val="b"/>
                          </m:rPr>
                          <m:t>v</m:t>
                        </m:r>
                      </m:e>
                      <m:sub>
                        <m:r>
                          <m:t>k</m:t>
                        </m:r>
                      </m:sub>
                    </m:sSub>
                  </m:e>
                </m:mr>
                <m:mr>
                  <m:e>
                    <m:sSub>
                      <m:e>
                        <m:r>
                          <m:rPr>
                            <m:sty m:val="b"/>
                          </m:rPr>
                          <m:t>q</m:t>
                        </m:r>
                      </m:e>
                      <m:sub>
                        <m:r>
                          <m:t>k</m:t>
                        </m:r>
                      </m:sub>
                    </m:sSub>
                  </m:e>
                </m:mr>
                <m:mr>
                  <m:e>
                    <m:sSub>
                      <m:e>
                        <m:r>
                          <m:rPr>
                            <m:sty m:val="b"/>
                          </m:rPr>
                          <m:t>ω</m:t>
                        </m:r>
                      </m:e>
                      <m:sub>
                        <m:r>
                          <m:t>k</m:t>
                        </m:r>
                      </m:sub>
                    </m:sSub>
                  </m:e>
                </m:mr>
              </m:m>
            </m:e>
          </m:d>
          <m:r>
            <m:rPr>
              <m:sty m:val="p"/>
            </m:rPr>
            <m:t>.</m:t>
          </m:r>
        </m:oMath>
      </m:oMathPara>
    </w:p>
    <w:p>
      <w:pPr>
        <w:pStyle w:val="FirstParagraph"/>
      </w:pPr>
      <w:r>
        <w:t xml:space="preserve">A simple kinematic propagation (with sampling</w:t>
      </w:r>
      <w:r>
        <w:t xml:space="preserve"> </w:t>
      </w:r>
      <m:oMath>
        <m:r>
          <m:t>Δ</m:t>
        </m:r>
        <m:r>
          <m:t>t</m:t>
        </m:r>
      </m:oMath>
      <w:r>
        <w:t xml:space="preserve">) is:</w:t>
      </w:r>
    </w:p>
    <w:p>
      <w:pPr>
        <w:pStyle w:val="BodyText"/>
      </w:pPr>
      <m:oMathPara>
        <m:oMathParaPr>
          <m:jc m:val="center"/>
        </m:oMathParaPr>
        <m:oMath>
          <m:sSub>
            <m:e>
              <m:r>
                <m:rPr>
                  <m:sty m:val="b"/>
                </m:rPr>
                <m:t>p</m:t>
              </m:r>
            </m:e>
            <m:sub>
              <m:r>
                <m:t>k</m:t>
              </m:r>
              <m:r>
                <m:rPr>
                  <m:sty m:val="p"/>
                </m:rPr>
                <m:t>+</m:t>
              </m:r>
              <m:r>
                <m:t>1</m:t>
              </m:r>
            </m:sub>
          </m:sSub>
          <m:r>
            <m:rPr>
              <m:sty m:val="p"/>
            </m:rPr>
            <m:t>=</m:t>
          </m:r>
          <m:sSub>
            <m:e>
              <m:r>
                <m:rPr>
                  <m:sty m:val="b"/>
                </m:rPr>
                <m:t>p</m:t>
              </m:r>
            </m:e>
            <m:sub>
              <m:r>
                <m:t>k</m:t>
              </m:r>
            </m:sub>
          </m:sSub>
          <m:r>
            <m:rPr>
              <m:sty m:val="p"/>
            </m:rPr>
            <m:t>+</m:t>
          </m:r>
          <m:r>
            <m:t>Δ</m:t>
          </m:r>
          <m:r>
            <m:t>t</m:t>
          </m:r>
          <m:r>
            <m:t> </m:t>
          </m:r>
          <m:sSub>
            <m:e>
              <m:r>
                <m:rPr>
                  <m:sty m:val="b"/>
                </m:rPr>
                <m:t>v</m:t>
              </m:r>
            </m:e>
            <m:sub>
              <m:r>
                <m:t>k</m:t>
              </m:r>
            </m:sub>
          </m:sSub>
          <m:r>
            <m:rPr>
              <m:sty m:val="p"/>
            </m:rPr>
            <m:t>+</m:t>
          </m:r>
          <m:sSubSup>
            <m:e>
              <m:r>
                <m:rPr>
                  <m:sty m:val="b"/>
                </m:rPr>
                <m:t>w</m:t>
              </m:r>
            </m:e>
            <m:sub>
              <m:r>
                <m:t>k</m:t>
              </m:r>
            </m:sub>
            <m:sup>
              <m:r>
                <m:t>p</m:t>
              </m:r>
            </m:sup>
          </m:sSubSup>
          <m:r>
            <m:rPr>
              <m:sty m:val="p"/>
            </m:rPr>
            <m:t>,</m:t>
          </m:r>
          <m:r>
            <m:t> </m:t>
          </m:r>
          <m:sSub>
            <m:e>
              <m:r>
                <m:rPr>
                  <m:sty m:val="b"/>
                </m:rPr>
                <m:t>v</m:t>
              </m:r>
            </m:e>
            <m:sub>
              <m:r>
                <m:t>k</m:t>
              </m:r>
              <m:r>
                <m:rPr>
                  <m:sty m:val="p"/>
                </m:rPr>
                <m:t>+</m:t>
              </m:r>
              <m:r>
                <m:t>1</m:t>
              </m:r>
            </m:sub>
          </m:sSub>
          <m:r>
            <m:rPr>
              <m:sty m:val="p"/>
            </m:rPr>
            <m:t>=</m:t>
          </m:r>
          <m:sSub>
            <m:e>
              <m:r>
                <m:rPr>
                  <m:sty m:val="b"/>
                </m:rPr>
                <m:t>v</m:t>
              </m:r>
            </m:e>
            <m:sub>
              <m:r>
                <m:t>k</m:t>
              </m:r>
            </m:sub>
          </m:sSub>
          <m:r>
            <m:rPr>
              <m:sty m:val="p"/>
            </m:rPr>
            <m:t>+</m:t>
          </m:r>
          <m:sSubSup>
            <m:e>
              <m:r>
                <m:rPr>
                  <m:sty m:val="b"/>
                </m:rPr>
                <m:t>w</m:t>
              </m:r>
            </m:e>
            <m:sub>
              <m:r>
                <m:t>k</m:t>
              </m:r>
            </m:sub>
            <m:sup>
              <m:r>
                <m:t>v</m:t>
              </m:r>
            </m:sup>
          </m:sSubSup>
          <m:r>
            <m:rPr>
              <m:sty m:val="p"/>
            </m:rPr>
            <m:t>,</m:t>
          </m:r>
        </m:oMath>
      </m:oMathPara>
    </w:p>
    <w:p>
      <w:pPr>
        <w:pStyle w:val="FirstParagraph"/>
      </w:pPr>
      <m:oMathPara>
        <m:oMathParaPr>
          <m:jc m:val="center"/>
        </m:oMathParaPr>
        <m:oMath>
          <m:sSub>
            <m:e>
              <m:r>
                <m:rPr>
                  <m:sty m:val="b"/>
                </m:rPr>
                <m:t>q</m:t>
              </m:r>
            </m:e>
            <m:sub>
              <m:r>
                <m:t>k</m:t>
              </m:r>
              <m:r>
                <m:rPr>
                  <m:sty m:val="p"/>
                </m:rPr>
                <m:t>+</m:t>
              </m:r>
              <m:r>
                <m:t>1</m:t>
              </m:r>
            </m:sub>
          </m:sSub>
          <m:r>
            <m:rPr>
              <m:sty m:val="p"/>
            </m:rPr>
            <m:t>=</m:t>
          </m:r>
          <m:sSub>
            <m:e>
              <m:r>
                <m:rPr>
                  <m:sty m:val="b"/>
                </m:rPr>
                <m:t>q</m:t>
              </m:r>
            </m:e>
            <m:sub>
              <m:r>
                <m:t>k</m:t>
              </m:r>
            </m:sub>
          </m:sSub>
          <m:r>
            <m:rPr>
              <m:sty m:val="p"/>
            </m:rPr>
            <m:t>⊗</m:t>
          </m:r>
          <m:r>
            <m:rPr>
              <m:sty m:val="p"/>
            </m:rPr>
            <m:t>exp</m:t>
          </m:r>
          <m:r>
            <m:t>​</m:t>
          </m:r>
          <m:d>
            <m:dPr>
              <m:begChr m:val="("/>
              <m:sepChr m:val=""/>
              <m:endChr m:val=")"/>
              <m:grow/>
            </m:dPr>
            <m:e>
              <m:f>
                <m:fPr>
                  <m:type m:val="lin"/>
                </m:fPr>
                <m:num>
                  <m:r>
                    <m:t>Δ</m:t>
                  </m:r>
                  <m:r>
                    <m:t>t</m:t>
                  </m:r>
                </m:num>
                <m:den>
                  <m:r>
                    <m:t>2</m:t>
                  </m:r>
                </m:den>
              </m:f>
              <m:sSub>
                <m:e>
                  <m:r>
                    <m:rPr>
                      <m:sty m:val="b"/>
                    </m:rPr>
                    <m:t>ω</m:t>
                  </m:r>
                </m:e>
                <m:sub>
                  <m:r>
                    <m:t>k</m:t>
                  </m:r>
                </m:sub>
              </m:sSub>
            </m:e>
          </m:d>
          <m:r>
            <m:rPr>
              <m:sty m:val="p"/>
            </m:rPr>
            <m:t>+</m:t>
          </m:r>
          <m:sSubSup>
            <m:e>
              <m:r>
                <m:rPr>
                  <m:sty m:val="b"/>
                </m:rPr>
                <m:t>w</m:t>
              </m:r>
            </m:e>
            <m:sub>
              <m:r>
                <m:t>k</m:t>
              </m:r>
            </m:sub>
            <m:sup>
              <m:r>
                <m:t>q</m:t>
              </m:r>
            </m:sup>
          </m:sSubSup>
          <m:r>
            <m:rPr>
              <m:sty m:val="p"/>
            </m:rPr>
            <m:t>,</m:t>
          </m:r>
          <m:r>
            <m:t> </m:t>
          </m:r>
          <m:sSub>
            <m:e>
              <m:r>
                <m:rPr>
                  <m:sty m:val="b"/>
                </m:rPr>
                <m:t>ω</m:t>
              </m:r>
            </m:e>
            <m:sub>
              <m:r>
                <m:t>k</m:t>
              </m:r>
              <m:r>
                <m:rPr>
                  <m:sty m:val="p"/>
                </m:rPr>
                <m:t>+</m:t>
              </m:r>
              <m:r>
                <m:t>1</m:t>
              </m:r>
            </m:sub>
          </m:sSub>
          <m:r>
            <m:rPr>
              <m:sty m:val="p"/>
            </m:rPr>
            <m:t>=</m:t>
          </m:r>
          <m:sSub>
            <m:e>
              <m:r>
                <m:rPr>
                  <m:sty m:val="b"/>
                </m:rPr>
                <m:t>ω</m:t>
              </m:r>
            </m:e>
            <m:sub>
              <m:r>
                <m:t>k</m:t>
              </m:r>
            </m:sub>
          </m:sSub>
          <m:r>
            <m:rPr>
              <m:sty m:val="p"/>
            </m:rPr>
            <m:t>+</m:t>
          </m:r>
          <m:sSubSup>
            <m:e>
              <m:r>
                <m:rPr>
                  <m:sty m:val="b"/>
                </m:rPr>
                <m:t>w</m:t>
              </m:r>
            </m:e>
            <m:sub>
              <m:r>
                <m:t>k</m:t>
              </m:r>
            </m:sub>
            <m:sup>
              <m:r>
                <m:t>ω</m:t>
              </m:r>
            </m:sup>
          </m:sSubSup>
          <m:r>
            <m:rPr>
              <m:sty m:val="p"/>
            </m:rPr>
            <m:t>,</m:t>
          </m:r>
        </m:oMath>
      </m:oMathPara>
    </w:p>
    <w:p>
      <w:pPr>
        <w:pStyle w:val="FirstParagraph"/>
      </w:pPr>
      <w:r>
        <w:t xml:space="preserve">with process noise terms capturing slip, bouncing, and actuator uncertainty. If turntable angular velocity is commanded,</w:t>
      </w:r>
      <w:r>
        <w:t xml:space="preserve"> </w:t>
      </w:r>
      <m:oMath>
        <m:sSub>
          <m:e>
            <m:r>
              <m:rPr>
                <m:sty m:val="b"/>
              </m:rPr>
              <m:t>ω</m:t>
            </m:r>
          </m:e>
          <m:sub>
            <m:r>
              <m:t>k</m:t>
            </m:r>
          </m:sub>
        </m:sSub>
      </m:oMath>
      <w:r>
        <w:t xml:space="preserve"> </w:t>
      </w:r>
      <w:r>
        <w:t xml:space="preserve">can be input-driven with uncertainty.</w:t>
      </w:r>
    </w:p>
    <w:p>
      <w:pPr>
        <w:pStyle w:val="BodyText"/>
      </w:pPr>
      <w:r>
        <w:rPr>
          <w:b/>
          <w:bCs/>
        </w:rPr>
        <w:t xml:space="preserve">Dynamic imaging pipeline model (calibration drift + illumination).</w:t>
      </w:r>
      <w:r>
        <w:t xml:space="preserve"> </w:t>
      </w:r>
      <w:r>
        <w:t xml:space="preserve">Many “mysterious” failure modes (texture loss, inconsistent color traits, depth bias drift) can be modeled as slow states:</w:t>
      </w:r>
    </w:p>
    <w:p>
      <w:pPr>
        <w:pStyle w:val="BodyText"/>
      </w:pPr>
      <m:oMathPara>
        <m:oMathParaPr>
          <m:jc m:val="center"/>
        </m:oMathParaPr>
        <m:oMath>
          <m:sSub>
            <m:e>
              <m:r>
                <m:rPr>
                  <m:sty m:val="b"/>
                </m:rPr>
                <m:t>z</m:t>
              </m:r>
            </m:e>
            <m:sub>
              <m:r>
                <m:t>k</m:t>
              </m:r>
            </m:sub>
          </m:sSub>
          <m:r>
            <m:rPr>
              <m:sty m:val="p"/>
            </m:rPr>
            <m:t>=</m:t>
          </m:r>
          <m:d>
            <m:dPr>
              <m:begChr m:val="["/>
              <m:sepChr m:val=""/>
              <m:endChr m:val="]"/>
              <m:grow/>
            </m:dPr>
            <m:e>
              <m:m>
                <m:mPr>
                  <m:baseJc m:val="center"/>
                  <m:plcHide m:val="on"/>
                  <m:mcs>
                    <m:mc>
                      <m:mcPr>
                        <m:mcJc m:val="center"/>
                        <m:count m:val="1"/>
                      </m:mcPr>
                    </m:mc>
                  </m:mcs>
                </m:mPr>
                <m:mr>
                  <m:e>
                    <m:sSubSup>
                      <m:e>
                        <m:r>
                          <m:rPr>
                            <m:sty m:val="b"/>
                          </m:rPr>
                          <m:t>θ</m:t>
                        </m:r>
                      </m:e>
                      <m:sub>
                        <m:r>
                          <m:t>k</m:t>
                        </m:r>
                      </m:sub>
                      <m:sup>
                        <m:r>
                          <m:rPr>
                            <m:nor/>
                            <m:sty m:val="p"/>
                          </m:rPr>
                          <m:t>cal</m:t>
                        </m:r>
                      </m:sup>
                    </m:sSubSup>
                  </m:e>
                </m:mr>
                <m:mr>
                  <m:e>
                    <m:sSubSup>
                      <m:e>
                        <m:r>
                          <m:rPr>
                            <m:sty m:val="b"/>
                          </m:rPr>
                          <m:t>θ</m:t>
                        </m:r>
                      </m:e>
                      <m:sub>
                        <m:r>
                          <m:t>k</m:t>
                        </m:r>
                      </m:sub>
                      <m:sup>
                        <m:r>
                          <m:rPr>
                            <m:nor/>
                            <m:sty m:val="p"/>
                          </m:rPr>
                          <m:t>illum</m:t>
                        </m:r>
                      </m:sup>
                    </m:sSubSup>
                  </m:e>
                </m:mr>
                <m:mr>
                  <m:e>
                    <m:sSubSup>
                      <m:e>
                        <m:r>
                          <m:rPr>
                            <m:sty m:val="b"/>
                          </m:rPr>
                          <m:t>θ</m:t>
                        </m:r>
                      </m:e>
                      <m:sub>
                        <m:r>
                          <m:t>k</m:t>
                        </m:r>
                      </m:sub>
                      <m:sup>
                        <m:r>
                          <m:rPr>
                            <m:nor/>
                            <m:sty m:val="p"/>
                          </m:rPr>
                          <m:t>focus</m:t>
                        </m:r>
                      </m:sup>
                    </m:sSubSup>
                  </m:e>
                </m:mr>
              </m:m>
            </m:e>
          </m:d>
          <m:r>
            <m:rPr>
              <m:sty m:val="p"/>
            </m:rPr>
            <m:t>,</m:t>
          </m:r>
          <m:r>
            <m:t>  </m:t>
          </m:r>
          <m:sSub>
            <m:e>
              <m:r>
                <m:rPr>
                  <m:sty m:val="b"/>
                </m:rPr>
                <m:t>z</m:t>
              </m:r>
            </m:e>
            <m:sub>
              <m:r>
                <m:t>k</m:t>
              </m:r>
              <m:r>
                <m:rPr>
                  <m:sty m:val="p"/>
                </m:rPr>
                <m:t>+</m:t>
              </m:r>
              <m:r>
                <m:t>1</m:t>
              </m:r>
            </m:sub>
          </m:sSub>
          <m:r>
            <m:rPr>
              <m:sty m:val="p"/>
            </m:rPr>
            <m:t>=</m:t>
          </m:r>
          <m:sSub>
            <m:e>
              <m:r>
                <m:rPr>
                  <m:sty m:val="b"/>
                </m:rPr>
                <m:t>z</m:t>
              </m:r>
            </m:e>
            <m:sub>
              <m:r>
                <m:t>k</m:t>
              </m:r>
            </m:sub>
          </m:sSub>
          <m:r>
            <m:rPr>
              <m:sty m:val="p"/>
            </m:rPr>
            <m:t>+</m:t>
          </m:r>
          <m:sSubSup>
            <m:e>
              <m:r>
                <m:rPr>
                  <m:sty m:val="b"/>
                </m:rPr>
                <m:t>w</m:t>
              </m:r>
            </m:e>
            <m:sub>
              <m:r>
                <m:t>k</m:t>
              </m:r>
            </m:sub>
            <m:sup>
              <m:r>
                <m:t>z</m:t>
              </m:r>
            </m:sup>
          </m:sSubSup>
          <m:r>
            <m:rPr>
              <m:sty m:val="p"/>
            </m:rPr>
            <m:t>,</m:t>
          </m:r>
        </m:oMath>
      </m:oMathPara>
    </w:p>
    <w:p>
      <w:pPr>
        <w:pStyle w:val="FirstParagraph"/>
      </w:pPr>
      <w:r>
        <w:t xml:space="preserve">where</w:t>
      </w:r>
      <w:r>
        <w:t xml:space="preserve"> </w:t>
      </w:r>
      <m:oMath>
        <m:sSup>
          <m:e>
            <m:r>
              <m:rPr>
                <m:sty m:val="b"/>
              </m:rPr>
              <m:t>θ</m:t>
            </m:r>
          </m:e>
          <m:sup>
            <m:r>
              <m:rPr>
                <m:nor/>
                <m:sty m:val="p"/>
              </m:rPr>
              <m:t>cal</m:t>
            </m:r>
          </m:sup>
        </m:sSup>
      </m:oMath>
      <w:r>
        <w:t xml:space="preserve"> </w:t>
      </w:r>
      <w:r>
        <w:t xml:space="preserve">are extrinsic parameters (multi-camera, camera–projector, camera–robot hand-eye),</w:t>
      </w:r>
      <w:r>
        <w:t xml:space="preserve"> </w:t>
      </w:r>
      <m:oMath>
        <m:sSup>
          <m:e>
            <m:r>
              <m:rPr>
                <m:sty m:val="b"/>
              </m:rPr>
              <m:t>θ</m:t>
            </m:r>
          </m:e>
          <m:sup>
            <m:r>
              <m:rPr>
                <m:nor/>
                <m:sty m:val="p"/>
              </m:rPr>
              <m:t>illum</m:t>
            </m:r>
          </m:sup>
        </m:sSup>
      </m:oMath>
      <w:r>
        <w:t xml:space="preserve"> </w:t>
      </w:r>
      <w:r>
        <w:t xml:space="preserve">encodes illumination intensity/spectrum, and</w:t>
      </w:r>
      <w:r>
        <w:t xml:space="preserve"> </w:t>
      </w:r>
      <m:oMath>
        <m:sSup>
          <m:e>
            <m:r>
              <m:rPr>
                <m:sty m:val="b"/>
              </m:rPr>
              <m:t>θ</m:t>
            </m:r>
          </m:e>
          <m:sup>
            <m:r>
              <m:rPr>
                <m:nor/>
                <m:sty m:val="p"/>
              </m:rPr>
              <m:t>focus</m:t>
            </m:r>
          </m:sup>
        </m:sSup>
      </m:oMath>
      <w:r>
        <w:t xml:space="preserve"> </w:t>
      </w:r>
      <w:r>
        <w:t xml:space="preserve">can capture defocus changes. Such “drift states” are directly motivated by industrial imaging practice and standardized sensor characterization frameworks such as EMVA 1288</w:t>
      </w:r>
      <w:r>
        <w:t xml:space="preserve"> </w:t>
      </w:r>
      <w:hyperlink r:id="rId49">
        <w:r>
          <w:rPr>
            <w:rStyle w:val="Hyperlink"/>
          </w:rPr>
          <w:t xml:space="preserve">[30]</w:t>
        </w:r>
      </w:hyperlink>
      <w:r>
        <w:t xml:space="preserve">.</w:t>
      </w:r>
    </w:p>
    <w:p>
      <w:pPr>
        <w:pStyle w:val="BodyText"/>
      </w:pPr>
      <w:r>
        <w:rPr>
          <w:b/>
          <w:bCs/>
        </w:rPr>
        <w:t xml:space="preserve">Measurement models.</w:t>
      </w:r>
      <w:r>
        <w:t xml:space="preserve"> </w:t>
      </w:r>
      <w:r>
        <w:t xml:space="preserve">Examples:</w:t>
      </w:r>
      <w:r>
        <w:t xml:space="preserve"> </w:t>
      </w:r>
      <w:r>
        <w:t xml:space="preserve">- For RGB keypoints/contours</w:t>
      </w:r>
      <w:r>
        <w:t xml:space="preserve"> </w:t>
      </w:r>
      <m:oMath>
        <m:sSubSup>
          <m:e>
            <m:r>
              <m:rPr>
                <m:sty m:val="b"/>
              </m:rPr>
              <m:t>y</m:t>
            </m:r>
          </m:e>
          <m:sub>
            <m:r>
              <m:t>k</m:t>
            </m:r>
          </m:sub>
          <m:sup>
            <m:r>
              <m:rPr>
                <m:nor/>
                <m:sty m:val="p"/>
              </m:rPr>
              <m:t>rgb</m:t>
            </m:r>
          </m:sup>
        </m:sSubSup>
      </m:oMath>
      <w:r>
        <w:t xml:space="preserve">, measurement function</w:t>
      </w:r>
      <w:r>
        <w:t xml:space="preserve"> </w:t>
      </w:r>
      <m:oMath>
        <m:sSub>
          <m:e>
            <m:r>
              <m:t>h</m:t>
            </m:r>
          </m:e>
          <m:sub>
            <m:r>
              <m:rPr>
                <m:nor/>
                <m:sty m:val="p"/>
              </m:rPr>
              <m:t>rgb</m:t>
            </m:r>
          </m:sub>
        </m:sSub>
        <m:d>
          <m:dPr>
            <m:begChr m:val="("/>
            <m:sepChr m:val=""/>
            <m:endChr m:val=")"/>
            <m:grow/>
          </m:dPr>
          <m:e>
            <m:sSub>
              <m:e>
                <m:r>
                  <m:rPr>
                    <m:sty m:val="b"/>
                  </m:rPr>
                  <m:t>x</m:t>
                </m:r>
              </m:e>
              <m:sub>
                <m:r>
                  <m:t>k</m:t>
                </m:r>
              </m:sub>
            </m:sSub>
            <m:r>
              <m:rPr>
                <m:sty m:val="p"/>
              </m:rPr>
              <m:t>,</m:t>
            </m:r>
            <m:sSub>
              <m:e>
                <m:r>
                  <m:rPr>
                    <m:sty m:val="b"/>
                  </m:rPr>
                  <m:t>z</m:t>
                </m:r>
              </m:e>
              <m:sub>
                <m:r>
                  <m:t>k</m:t>
                </m:r>
              </m:sub>
            </m:sSub>
            <m:r>
              <m:rPr>
                <m:sty m:val="p"/>
              </m:rPr>
              <m:t>,</m:t>
            </m:r>
            <m:r>
              <m:rPr>
                <m:sty m:val="b"/>
              </m:rPr>
              <m:t>ϕ</m:t>
            </m:r>
          </m:e>
        </m:d>
      </m:oMath>
      <w:r>
        <w:t xml:space="preserve"> </w:t>
      </w:r>
      <w:r>
        <w:t xml:space="preserve">uses the calibrated projection model;</w:t>
      </w:r>
      <w:r>
        <w:t xml:space="preserve"> </w:t>
      </w:r>
      <m:oMath>
        <m:r>
          <m:rPr>
            <m:sty m:val="b"/>
          </m:rPr>
          <m:t>ϕ</m:t>
        </m:r>
      </m:oMath>
      <w:r>
        <w:t xml:space="preserve"> </w:t>
      </w:r>
      <w:r>
        <w:t xml:space="preserve">are static shape parameters (below).</w:t>
      </w:r>
      <w:r>
        <w:t xml:space="preserve"> </w:t>
      </w:r>
      <w:r>
        <w:t xml:space="preserve">- For structured light depth</w:t>
      </w:r>
      <w:r>
        <w:t xml:space="preserve"> </w:t>
      </w:r>
      <m:oMath>
        <m:sSubSup>
          <m:e>
            <m:r>
              <m:rPr>
                <m:sty m:val="b"/>
              </m:rPr>
              <m:t>y</m:t>
            </m:r>
          </m:e>
          <m:sub>
            <m:r>
              <m:t>k</m:t>
            </m:r>
          </m:sub>
          <m:sup>
            <m:r>
              <m:rPr>
                <m:nor/>
                <m:sty m:val="p"/>
              </m:rPr>
              <m:t>sl</m:t>
            </m:r>
          </m:sup>
        </m:sSubSup>
      </m:oMath>
      <w:r>
        <w:t xml:space="preserve"> </w:t>
      </w:r>
      <w:r>
        <w:t xml:space="preserve">or stereo depth</w:t>
      </w:r>
      <w:r>
        <w:t xml:space="preserve"> </w:t>
      </w:r>
      <m:oMath>
        <m:sSubSup>
          <m:e>
            <m:r>
              <m:rPr>
                <m:sty m:val="b"/>
              </m:rPr>
              <m:t>y</m:t>
            </m:r>
          </m:e>
          <m:sub>
            <m:r>
              <m:t>k</m:t>
            </m:r>
          </m:sub>
          <m:sup>
            <m:r>
              <m:rPr>
                <m:nor/>
                <m:sty m:val="p"/>
              </m:rPr>
              <m:t>d</m:t>
            </m:r>
          </m:sup>
        </m:sSubSup>
      </m:oMath>
      <w:r>
        <w:t xml:space="preserve">,</w:t>
      </w:r>
      <w:r>
        <w:t xml:space="preserve"> </w:t>
      </w:r>
      <m:oMath>
        <m:sSub>
          <m:e>
            <m:r>
              <m:t>h</m:t>
            </m:r>
          </m:e>
          <m:sub>
            <m:r>
              <m:rPr>
                <m:nor/>
                <m:sty m:val="p"/>
              </m:rPr>
              <m:t>d</m:t>
            </m:r>
          </m:sub>
        </m:sSub>
        <m:d>
          <m:dPr>
            <m:begChr m:val="("/>
            <m:sepChr m:val=""/>
            <m:endChr m:val=")"/>
            <m:grow/>
          </m:dPr>
          <m:e>
            <m:r>
              <m:rPr>
                <m:sty m:val="p"/>
              </m:rPr>
              <m:t>⋅</m:t>
            </m:r>
          </m:e>
        </m:d>
      </m:oMath>
      <w:r>
        <w:t xml:space="preserve"> </w:t>
      </w:r>
      <w:r>
        <w:t xml:space="preserve">encodes triangulation geometry plus a depth noise model (often range-dependent)</w:t>
      </w:r>
      <w:r>
        <w:t xml:space="preserve"> </w:t>
      </w:r>
      <w:hyperlink r:id="rId42">
        <w:r>
          <w:rPr>
            <w:rStyle w:val="Hyperlink"/>
          </w:rPr>
          <w:t xml:space="preserve">[36]</w:t>
        </w:r>
      </w:hyperlink>
      <w:r>
        <w:t xml:space="preserve">.</w:t>
      </w:r>
      <w:r>
        <w:t xml:space="preserve"> </w:t>
      </w:r>
      <w:r>
        <w:t xml:space="preserve">- For CT,</w:t>
      </w:r>
      <w:r>
        <w:t xml:space="preserve"> </w:t>
      </w:r>
      <m:oMath>
        <m:sSup>
          <m:e>
            <m:r>
              <m:rPr>
                <m:sty m:val="b"/>
              </m:rPr>
              <m:t>y</m:t>
            </m:r>
          </m:e>
          <m:sup>
            <m:r>
              <m:rPr>
                <m:nor/>
                <m:sty m:val="p"/>
              </m:rPr>
              <m:t>ct</m:t>
            </m:r>
          </m:sup>
        </m:sSup>
        <m:r>
          <m:rPr>
            <m:sty m:val="p"/>
          </m:rPr>
          <m:t>=</m:t>
        </m:r>
        <m:r>
          <m:t>A</m:t>
        </m:r>
        <m:d>
          <m:dPr>
            <m:begChr m:val="("/>
            <m:sepChr m:val=""/>
            <m:endChr m:val=")"/>
            <m:grow/>
          </m:dPr>
          <m:e>
            <m:r>
              <m:rPr>
                <m:nor/>
                <m:sty m:val="p"/>
              </m:rPr>
              <m:t>pose</m:t>
            </m:r>
          </m:e>
        </m:d>
        <m:r>
          <m:t> </m:t>
        </m:r>
        <m:r>
          <m:rPr>
            <m:sty m:val="b"/>
          </m:rPr>
          <m:t>μ</m:t>
        </m:r>
        <m:r>
          <m:rPr>
            <m:sty m:val="p"/>
          </m:rPr>
          <m:t>+</m:t>
        </m:r>
        <m:r>
          <m:rPr>
            <m:sty m:val="b"/>
          </m:rPr>
          <m:t>v</m:t>
        </m:r>
      </m:oMath>
      <w:r>
        <w:t xml:space="preserve"> </w:t>
      </w:r>
      <w:r>
        <w:t xml:space="preserve">in discretized form, where</w:t>
      </w:r>
      <w:r>
        <w:t xml:space="preserve"> </w:t>
      </w:r>
      <m:oMath>
        <m:r>
          <m:t>A</m:t>
        </m:r>
      </m:oMath>
      <w:r>
        <w:t xml:space="preserve"> </w:t>
      </w:r>
      <w:r>
        <w:t xml:space="preserve">is the ray transform (Radon system matrix)</w:t>
      </w:r>
      <w:r>
        <w:t xml:space="preserve"> </w:t>
      </w:r>
      <w:hyperlink r:id="rId56">
        <w:r>
          <w:rPr>
            <w:rStyle w:val="Hyperlink"/>
          </w:rPr>
          <w:t xml:space="preserve">[37]</w:t>
        </w:r>
      </w:hyperlink>
      <w:r>
        <w:t xml:space="preserve">.</w:t>
      </w:r>
    </w:p>
    <w:bookmarkEnd w:id="57"/>
    <w:bookmarkStart w:id="61" w:name="Xa6305b48297b10aaab2de2f05308d2b9c950cdd"/>
    <w:p>
      <w:pPr>
        <w:pStyle w:val="Heading3"/>
      </w:pPr>
      <w:r>
        <w:t xml:space="preserve">Shape parameterization as a system identification problem</w:t>
      </w:r>
    </w:p>
    <w:p>
      <w:pPr>
        <w:pStyle w:val="FirstParagraph"/>
      </w:pPr>
      <w:r>
        <w:t xml:space="preserve">A grain is typically static during a scan, so its</w:t>
      </w:r>
      <w:r>
        <w:t xml:space="preserve"> </w:t>
      </w:r>
      <w:r>
        <w:rPr>
          <w:b/>
          <w:bCs/>
        </w:rPr>
        <w:t xml:space="preserve">shape is a parameter</w:t>
      </w:r>
      <w:r>
        <w:t xml:space="preserve"> </w:t>
      </w:r>
      <w:r>
        <w:t xml:space="preserve">(or a high-dimensional latent) rather than a dynamic state. The design report should justify the shape representation because it determines identifiability and compute cost.</w:t>
      </w:r>
    </w:p>
    <w:p>
      <w:pPr>
        <w:pStyle w:val="BodyText"/>
      </w:pPr>
      <w:r>
        <w:rPr>
          <w:b/>
          <w:bCs/>
        </w:rPr>
        <w:t xml:space="preserve">Option A: Low-dimensional parametric models (fast, interpretable).</w:t>
      </w:r>
      <w:r>
        <w:br/>
      </w:r>
      <w:r>
        <w:t xml:space="preserve">Represent the grain as (possibly truncated) superquadric, ellipsoid + crease perturbation, or PCA basis learned from a training set:</w:t>
      </w:r>
    </w:p>
    <w:p>
      <w:pPr>
        <w:pStyle w:val="BodyText"/>
      </w:pPr>
      <m:oMathPara>
        <m:oMathParaPr>
          <m:jc m:val="center"/>
        </m:oMathParaPr>
        <m:oMath>
          <m:r>
            <m:rPr>
              <m:sty m:val="b"/>
            </m:rPr>
            <m:t>s</m:t>
          </m:r>
          <m:d>
            <m:dPr>
              <m:begChr m:val="("/>
              <m:sepChr m:val=""/>
              <m:endChr m:val=")"/>
              <m:grow/>
            </m:dPr>
            <m:e>
              <m:r>
                <m:t>α</m:t>
              </m:r>
            </m:e>
          </m:d>
          <m:r>
            <m:rPr>
              <m:sty m:val="p"/>
            </m:rPr>
            <m:t>=</m:t>
          </m:r>
          <m:acc>
            <m:accPr>
              <m:chr m:val="‾"/>
            </m:accPr>
            <m:e>
              <m:r>
                <m:rPr>
                  <m:sty m:val="b"/>
                </m:rPr>
                <m:t>s</m:t>
              </m:r>
            </m:e>
          </m:acc>
          <m:r>
            <m:rPr>
              <m:sty m:val="p"/>
            </m:rPr>
            <m:t>+</m:t>
          </m:r>
          <m:r>
            <m:rPr>
              <m:sty m:val="b"/>
            </m:rPr>
            <m:t>U</m:t>
          </m:r>
          <m:r>
            <m:t>α</m:t>
          </m:r>
          <m:r>
            <m:rPr>
              <m:sty m:val="p"/>
            </m:rPr>
            <m:t>,</m:t>
          </m:r>
          <m:r>
            <m:t> </m:t>
          </m:r>
          <m:r>
            <m:t>α</m:t>
          </m:r>
          <m:r>
            <m:rPr>
              <m:sty m:val="p"/>
            </m:rPr>
            <m:t>∈</m:t>
          </m:r>
          <m:sSup>
            <m:e>
              <m:r>
                <m:rPr>
                  <m:sty m:val="p"/>
                  <m:scr m:val="double-struck"/>
                </m:rPr>
                <m:t>R</m:t>
              </m:r>
            </m:e>
            <m:sup>
              <m:r>
                <m:t>r</m:t>
              </m:r>
            </m:sup>
          </m:sSup>
          <m:r>
            <m:rPr>
              <m:sty m:val="p"/>
            </m:rPr>
            <m:t>,</m:t>
          </m:r>
          <m:r>
            <m:t> </m:t>
          </m:r>
          <m:r>
            <m:t>r</m:t>
          </m:r>
          <m:r>
            <m:rPr>
              <m:sty m:val="p"/>
            </m:rPr>
            <m:t>≪</m:t>
          </m:r>
          <m:r>
            <m:t>n</m:t>
          </m:r>
          <m:r>
            <m:rPr>
              <m:sty m:val="p"/>
            </m:rPr>
            <m:t>.</m:t>
          </m:r>
        </m:oMath>
      </m:oMathPara>
    </w:p>
    <w:p>
      <w:pPr>
        <w:pStyle w:val="FirstParagraph"/>
      </w:pPr>
      <w:r>
        <w:t xml:space="preserve">This enables classical identifiability tools because parameters are finite-dimensional.</w:t>
      </w:r>
    </w:p>
    <w:p>
      <w:pPr>
        <w:pStyle w:val="BodyText"/>
      </w:pPr>
      <w:r>
        <w:rPr>
          <w:b/>
          <w:bCs/>
        </w:rPr>
        <w:t xml:space="preserve">Option B: Discrete surface/volume representations (high fidelity).</w:t>
      </w:r>
      <w:r>
        <w:br/>
      </w:r>
      <w:r>
        <w:t xml:space="preserve">Point cloud</w:t>
      </w:r>
      <w:r>
        <w:t xml:space="preserve"> </w:t>
      </w:r>
      <m:oMath>
        <m:r>
          <m:rPr>
            <m:sty m:val="p"/>
          </m:rPr>
          <m:t>{</m:t>
        </m:r>
        <m:sSub>
          <m:e>
            <m:r>
              <m:rPr>
                <m:sty m:val="b"/>
              </m:rPr>
              <m:t>X</m:t>
            </m:r>
          </m:e>
          <m:sub>
            <m:r>
              <m:t>i</m:t>
            </m:r>
          </m:sub>
        </m:sSub>
        <m:r>
          <m:rPr>
            <m:sty m:val="p"/>
          </m:rPr>
          <m:t>}</m:t>
        </m:r>
      </m:oMath>
      <w:r>
        <w:t xml:space="preserve">, mesh vertices, or voxel occupancy. Wheat seed reconstruction work explicitly uses point cloud outputs and derives traits afterward (a “white-box” approach)</w:t>
      </w:r>
      <w:r>
        <w:t xml:space="preserve"> </w:t>
      </w:r>
      <w:hyperlink r:id="rId22">
        <w:r>
          <w:rPr>
            <w:rStyle w:val="Hyperlink"/>
          </w:rPr>
          <w:t xml:space="preserve">[11]</w:t>
        </w:r>
      </w:hyperlink>
      <w:r>
        <w:t xml:space="preserve">, while micro-CT studies segment compartments in voxel volumes and compute morphometric features</w:t>
      </w:r>
      <w:r>
        <w:t xml:space="preserve"> </w:t>
      </w:r>
      <w:hyperlink r:id="rId24">
        <w:r>
          <w:rPr>
            <w:rStyle w:val="Hyperlink"/>
          </w:rPr>
          <w:t xml:space="preserve">[4]</w:t>
        </w:r>
      </w:hyperlink>
      <w:r>
        <w:t xml:space="preserve">.</w:t>
      </w:r>
    </w:p>
    <w:p>
      <w:pPr>
        <w:pStyle w:val="BodyText"/>
      </w:pPr>
      <w:r>
        <w:rPr>
          <w:b/>
          <w:bCs/>
        </w:rPr>
        <w:t xml:space="preserve">Option C: Neural implicit representations (compact, differentiable).</w:t>
      </w:r>
      <w:r>
        <w:br/>
      </w:r>
      <w:r>
        <w:t xml:space="preserve">NeRF represents a scene with an MLP mapping</w:t>
      </w:r>
      <w:r>
        <w:t xml:space="preserve"> </w:t>
      </w:r>
      <m:oMath>
        <m:d>
          <m:dPr>
            <m:begChr m:val="("/>
            <m:sepChr m:val=""/>
            <m:endChr m:val=")"/>
            <m:grow/>
          </m:dPr>
          <m:e>
            <m:r>
              <m:t>x</m:t>
            </m:r>
            <m:r>
              <m:rPr>
                <m:sty m:val="p"/>
              </m:rPr>
              <m:t>,</m:t>
            </m:r>
            <m:r>
              <m:t>y</m:t>
            </m:r>
            <m:r>
              <m:rPr>
                <m:sty m:val="p"/>
              </m:rPr>
              <m:t>,</m:t>
            </m:r>
            <m:r>
              <m:t>z</m:t>
            </m:r>
            <m:r>
              <m:rPr>
                <m:sty m:val="p"/>
              </m:rPr>
              <m:t>,</m:t>
            </m:r>
            <m:r>
              <m:t>θ</m:t>
            </m:r>
            <m:r>
              <m:rPr>
                <m:sty m:val="p"/>
              </m:rPr>
              <m:t>,</m:t>
            </m:r>
            <m:r>
              <m:t>ϕ</m:t>
            </m:r>
          </m:e>
        </m:d>
        <m:r>
          <m:rPr>
            <m:sty m:val="p"/>
          </m:rPr>
          <m:t>→</m:t>
        </m:r>
        <m:d>
          <m:dPr>
            <m:begChr m:val="("/>
            <m:sepChr m:val=""/>
            <m:endChr m:val=")"/>
            <m:grow/>
          </m:dPr>
          <m:e>
            <m:r>
              <m:t>σ</m:t>
            </m:r>
            <m:r>
              <m:rPr>
                <m:sty m:val="p"/>
              </m:rPr>
              <m:t>,</m:t>
            </m:r>
            <m:r>
              <m:rPr>
                <m:sty m:val="b"/>
              </m:rPr>
              <m:t>c</m:t>
            </m:r>
          </m:e>
        </m:d>
      </m:oMath>
      <w:r>
        <w:t xml:space="preserve"> </w:t>
      </w:r>
      <w:r>
        <w:t xml:space="preserve">and uses differentiable volume rendering for novel view synthesis</w:t>
      </w:r>
      <w:r>
        <w:t xml:space="preserve"> </w:t>
      </w:r>
      <w:hyperlink r:id="rId58">
        <w:r>
          <w:rPr>
            <w:rStyle w:val="Hyperlink"/>
          </w:rPr>
          <w:t xml:space="preserve">[38]</w:t>
        </w:r>
      </w:hyperlink>
      <w:r>
        <w:t xml:space="preserve">. Instant-NGP accelerates training via multiresolution hash encodings</w:t>
      </w:r>
      <w:r>
        <w:t xml:space="preserve"> </w:t>
      </w:r>
      <w:hyperlink r:id="rId59">
        <w:r>
          <w:rPr>
            <w:rStyle w:val="Hyperlink"/>
          </w:rPr>
          <w:t xml:space="preserve">[39]</w:t>
        </w:r>
      </w:hyperlink>
      <w:r>
        <w:t xml:space="preserve">. 3D Gaussian Splatting provides explicit point-based radiance representations enabling real-time rendering</w:t>
      </w:r>
      <w:r>
        <w:t xml:space="preserve"> </w:t>
      </w:r>
      <w:hyperlink r:id="rId60">
        <w:r>
          <w:rPr>
            <w:rStyle w:val="Hyperlink"/>
          </w:rPr>
          <w:t xml:space="preserve">[40]</w:t>
        </w:r>
      </w:hyperlink>
      <w:r>
        <w:t xml:space="preserve">. These methods are increasingly relevant where (i) you want fast view synthesis and (ii) you can exploit differentiability for NBV/active sensing.</w:t>
      </w:r>
    </w:p>
    <w:bookmarkEnd w:id="61"/>
    <w:bookmarkStart w:id="62" w:name="X4f1b09d5c27d46ac908e91443c5807fe8196a98"/>
    <w:p>
      <w:pPr>
        <w:pStyle w:val="Heading3"/>
      </w:pPr>
      <w:r>
        <w:t xml:space="preserve">Observability and identifiability analyses</w:t>
      </w:r>
    </w:p>
    <w:p>
      <w:pPr>
        <w:pStyle w:val="FirstParagraph"/>
      </w:pPr>
      <w:r>
        <w:t xml:space="preserve">A design report targeted to an engineering researcher should explicitly answer:</w:t>
      </w:r>
      <w:r>
        <w:t xml:space="preserve"> </w:t>
      </w:r>
      <w:r>
        <w:rPr>
          <w:i/>
          <w:iCs/>
        </w:rPr>
        <w:t xml:space="preserve">which quantities can be recovered from the chosen sensors and motion</w:t>
      </w:r>
      <w:r>
        <w:t xml:space="preserve">?</w:t>
      </w:r>
    </w:p>
    <w:p>
      <w:pPr>
        <w:pStyle w:val="BodyText"/>
      </w:pPr>
      <w:r>
        <w:rPr>
          <w:b/>
          <w:bCs/>
        </w:rPr>
        <w:t xml:space="preserve">Local observability (pose + drift).</w:t>
      </w:r>
      <w:r>
        <w:t xml:space="preserve"> </w:t>
      </w:r>
      <w:r>
        <w:t xml:space="preserve">For a nonlinear system:</w:t>
      </w:r>
    </w:p>
    <w:p>
      <w:pPr>
        <w:pStyle w:val="BodyText"/>
      </w:pPr>
      <m:oMathPara>
        <m:oMathParaPr>
          <m:jc m:val="center"/>
        </m:oMathParaPr>
        <m:oMath>
          <m:sSub>
            <m:e>
              <m:r>
                <m:rPr>
                  <m:sty m:val="b"/>
                </m:rPr>
                <m:t>x</m:t>
              </m:r>
            </m:e>
            <m:sub>
              <m:r>
                <m:t>k</m:t>
              </m:r>
              <m:r>
                <m:rPr>
                  <m:sty m:val="p"/>
                </m:rPr>
                <m:t>+</m:t>
              </m:r>
              <m:r>
                <m:t>1</m:t>
              </m:r>
            </m:sub>
          </m:sSub>
          <m:r>
            <m:rPr>
              <m:sty m:val="p"/>
            </m:rPr>
            <m:t>=</m:t>
          </m:r>
          <m:r>
            <m:t>f</m:t>
          </m:r>
          <m:d>
            <m:dPr>
              <m:begChr m:val="("/>
              <m:sepChr m:val=""/>
              <m:endChr m:val=")"/>
              <m:grow/>
            </m:dPr>
            <m:e>
              <m:sSub>
                <m:e>
                  <m:r>
                    <m:rPr>
                      <m:sty m:val="b"/>
                    </m:rPr>
                    <m:t>x</m:t>
                  </m:r>
                </m:e>
                <m:sub>
                  <m:r>
                    <m:t>k</m:t>
                  </m:r>
                </m:sub>
              </m:sSub>
              <m:r>
                <m:rPr>
                  <m:sty m:val="p"/>
                </m:rPr>
                <m:t>,</m:t>
              </m:r>
              <m:sSub>
                <m:e>
                  <m:r>
                    <m:rPr>
                      <m:sty m:val="b"/>
                    </m:rPr>
                    <m:t>u</m:t>
                  </m:r>
                </m:e>
                <m:sub>
                  <m:r>
                    <m:t>k</m:t>
                  </m:r>
                </m:sub>
              </m:sSub>
            </m:e>
          </m:d>
          <m:r>
            <m:rPr>
              <m:sty m:val="p"/>
            </m:rPr>
            <m:t>+</m:t>
          </m:r>
          <m:sSub>
            <m:e>
              <m:r>
                <m:rPr>
                  <m:sty m:val="b"/>
                </m:rPr>
                <m:t>w</m:t>
              </m:r>
            </m:e>
            <m:sub>
              <m:r>
                <m:t>k</m:t>
              </m:r>
            </m:sub>
          </m:sSub>
          <m:r>
            <m:rPr>
              <m:sty m:val="p"/>
            </m:rPr>
            <m:t>,</m:t>
          </m:r>
          <m:r>
            <m:t> </m:t>
          </m:r>
          <m:sSub>
            <m:e>
              <m:r>
                <m:rPr>
                  <m:sty m:val="b"/>
                </m:rPr>
                <m:t>y</m:t>
              </m:r>
            </m:e>
            <m:sub>
              <m:r>
                <m:t>k</m:t>
              </m:r>
            </m:sub>
          </m:sSub>
          <m:r>
            <m:rPr>
              <m:sty m:val="p"/>
            </m:rPr>
            <m:t>=</m:t>
          </m:r>
          <m:r>
            <m:t>h</m:t>
          </m:r>
          <m:d>
            <m:dPr>
              <m:begChr m:val="("/>
              <m:sepChr m:val=""/>
              <m:endChr m:val=")"/>
              <m:grow/>
            </m:dPr>
            <m:e>
              <m:sSub>
                <m:e>
                  <m:r>
                    <m:rPr>
                      <m:sty m:val="b"/>
                    </m:rPr>
                    <m:t>x</m:t>
                  </m:r>
                </m:e>
                <m:sub>
                  <m:r>
                    <m:t>k</m:t>
                  </m:r>
                </m:sub>
              </m:sSub>
            </m:e>
          </m:d>
          <m:r>
            <m:rPr>
              <m:sty m:val="p"/>
            </m:rPr>
            <m:t>+</m:t>
          </m:r>
          <m:sSub>
            <m:e>
              <m:r>
                <m:rPr>
                  <m:sty m:val="b"/>
                </m:rPr>
                <m:t>v</m:t>
              </m:r>
            </m:e>
            <m:sub>
              <m:r>
                <m:t>k</m:t>
              </m:r>
            </m:sub>
          </m:sSub>
          <m:r>
            <m:rPr>
              <m:sty m:val="p"/>
            </m:rPr>
            <m:t>,</m:t>
          </m:r>
        </m:oMath>
      </m:oMathPara>
    </w:p>
    <w:p>
      <w:pPr>
        <w:pStyle w:val="FirstParagraph"/>
      </w:pPr>
      <w:r>
        <w:t xml:space="preserve">local observability can be assessed by linearization around a trajectory and checking rank of the discrete-time observability matrix:</w:t>
      </w:r>
    </w:p>
    <w:p>
      <w:pPr>
        <w:pStyle w:val="BodyText"/>
      </w:pPr>
      <m:oMathPara>
        <m:oMathParaPr>
          <m:jc m:val="center"/>
        </m:oMathParaPr>
        <m:oMath>
          <m:r>
            <m:rPr>
              <m:sty m:val="p"/>
              <m:scr m:val="script"/>
            </m:rPr>
            <m:t>O</m:t>
          </m:r>
          <m:r>
            <m:rPr>
              <m:sty m:val="p"/>
            </m:rPr>
            <m:t>=</m:t>
          </m:r>
          <m:d>
            <m:dPr>
              <m:begChr m:val="["/>
              <m:sepChr m:val=""/>
              <m:endChr m:val="]"/>
              <m:grow/>
            </m:dPr>
            <m:e>
              <m:m>
                <m:mPr>
                  <m:baseJc m:val="center"/>
                  <m:plcHide m:val="on"/>
                  <m:mcs>
                    <m:mc>
                      <m:mcPr>
                        <m:mcJc m:val="center"/>
                        <m:count m:val="1"/>
                      </m:mcPr>
                    </m:mc>
                  </m:mcs>
                </m:mPr>
                <m:mr>
                  <m:e>
                    <m:r>
                      <m:t>C</m:t>
                    </m:r>
                  </m:e>
                </m:mr>
                <m:mr>
                  <m:e>
                    <m:r>
                      <m:t>C</m:t>
                    </m:r>
                    <m:r>
                      <m:t>A</m:t>
                    </m:r>
                  </m:e>
                </m:mr>
                <m:mr>
                  <m:e>
                    <m:r>
                      <m:t>C</m:t>
                    </m:r>
                    <m:sSup>
                      <m:e>
                        <m:r>
                          <m:t>A</m:t>
                        </m:r>
                      </m:e>
                      <m:sup>
                        <m:r>
                          <m:t>2</m:t>
                        </m:r>
                      </m:sup>
                    </m:sSup>
                  </m:e>
                </m:mr>
                <m:mr>
                  <m:e>
                    <m:r>
                      <m:rPr>
                        <m:sty m:val="p"/>
                      </m:rPr>
                      <m:t>⋮</m:t>
                    </m:r>
                  </m:e>
                </m:mr>
                <m:mr>
                  <m:e>
                    <m:r>
                      <m:t>C</m:t>
                    </m:r>
                    <m:sSup>
                      <m:e>
                        <m:r>
                          <m:t>A</m:t>
                        </m:r>
                      </m:e>
                      <m:sup>
                        <m:r>
                          <m:t>n</m:t>
                        </m:r>
                        <m:r>
                          <m:rPr>
                            <m:sty m:val="p"/>
                          </m:rPr>
                          <m:t>−</m:t>
                        </m:r>
                        <m:r>
                          <m:t>1</m:t>
                        </m:r>
                      </m:sup>
                    </m:sSup>
                  </m:e>
                </m:mr>
              </m:m>
            </m:e>
          </m:d>
          <m:r>
            <m:rPr>
              <m:sty m:val="p"/>
            </m:rPr>
            <m:t>,</m:t>
          </m:r>
          <m:r>
            <m:t> </m:t>
          </m:r>
          <m:r>
            <m:t>A</m:t>
          </m:r>
          <m:r>
            <m:rPr>
              <m:sty m:val="p"/>
            </m:rPr>
            <m:t>=</m:t>
          </m:r>
          <m:sSub>
            <m:e>
              <m:d>
                <m:dPr>
                  <m:begChr m:val=""/>
                  <m:sepChr m:val=""/>
                  <m:endChr m:val="|"/>
                  <m:grow/>
                </m:dPr>
                <m:e>
                  <m:f>
                    <m:fPr>
                      <m:type m:val="bar"/>
                    </m:fPr>
                    <m:num>
                      <m:r>
                        <m:rPr>
                          <m:sty m:val="p"/>
                        </m:rPr>
                        <m:t>∂</m:t>
                      </m:r>
                      <m:r>
                        <m:t>f</m:t>
                      </m:r>
                    </m:num>
                    <m:den>
                      <m:r>
                        <m:rPr>
                          <m:sty m:val="p"/>
                        </m:rPr>
                        <m:t>∂</m:t>
                      </m:r>
                      <m:r>
                        <m:t>x</m:t>
                      </m:r>
                    </m:den>
                  </m:f>
                </m:e>
              </m:d>
            </m:e>
            <m:sub>
              <m:acc>
                <m:accPr>
                  <m:chr m:val="̂"/>
                </m:accPr>
                <m:e>
                  <m:r>
                    <m:t>x</m:t>
                  </m:r>
                </m:e>
              </m:acc>
            </m:sub>
          </m:sSub>
          <m:r>
            <m:rPr>
              <m:sty m:val="p"/>
            </m:rPr>
            <m:t>,</m:t>
          </m:r>
          <m:r>
            <m:t> </m:t>
          </m:r>
          <m:r>
            <m:t>C</m:t>
          </m:r>
          <m:r>
            <m:rPr>
              <m:sty m:val="p"/>
            </m:rPr>
            <m:t>=</m:t>
          </m:r>
          <m:sSub>
            <m:e>
              <m:d>
                <m:dPr>
                  <m:begChr m:val=""/>
                  <m:sepChr m:val=""/>
                  <m:endChr m:val="|"/>
                  <m:grow/>
                </m:dPr>
                <m:e>
                  <m:f>
                    <m:fPr>
                      <m:type m:val="bar"/>
                    </m:fPr>
                    <m:num>
                      <m:r>
                        <m:rPr>
                          <m:sty m:val="p"/>
                        </m:rPr>
                        <m:t>∂</m:t>
                      </m:r>
                      <m:r>
                        <m:t>h</m:t>
                      </m:r>
                    </m:num>
                    <m:den>
                      <m:r>
                        <m:rPr>
                          <m:sty m:val="p"/>
                        </m:rPr>
                        <m:t>∂</m:t>
                      </m:r>
                      <m:r>
                        <m:t>x</m:t>
                      </m:r>
                    </m:den>
                  </m:f>
                </m:e>
              </m:d>
            </m:e>
            <m:sub>
              <m:acc>
                <m:accPr>
                  <m:chr m:val="̂"/>
                </m:accPr>
                <m:e>
                  <m:r>
                    <m:t>x</m:t>
                  </m:r>
                </m:e>
              </m:acc>
            </m:sub>
          </m:sSub>
          <m:r>
            <m:rPr>
              <m:sty m:val="p"/>
            </m:rPr>
            <m:t>.</m:t>
          </m:r>
        </m:oMath>
      </m:oMathPara>
    </w:p>
    <w:p>
      <w:pPr>
        <w:pStyle w:val="FirstParagraph"/>
      </w:pPr>
      <w:r>
        <w:t xml:space="preserve">For grain scanning, this analysis guides</w:t>
      </w:r>
      <w:r>
        <w:t xml:space="preserve"> </w:t>
      </w:r>
      <w:r>
        <w:rPr>
          <w:b/>
          <w:bCs/>
        </w:rPr>
        <w:t xml:space="preserve">minimum view count</w:t>
      </w:r>
      <w:r>
        <w:t xml:space="preserve"> </w:t>
      </w:r>
      <w:r>
        <w:t xml:space="preserve">and</w:t>
      </w:r>
      <w:r>
        <w:t xml:space="preserve"> </w:t>
      </w:r>
      <w:r>
        <w:rPr>
          <w:b/>
          <w:bCs/>
        </w:rPr>
        <w:t xml:space="preserve">motion excitation</w:t>
      </w:r>
      <w:r>
        <w:t xml:space="preserve">. A practical example: the wheat seed dataset paper explicitly notes that reconstruction quality (and systematic volume error) depends strongly on number of views in silhouette/volume carving</w:t>
      </w:r>
      <w:r>
        <w:t xml:space="preserve"> </w:t>
      </w:r>
      <w:hyperlink r:id="rId22">
        <w:r>
          <w:rPr>
            <w:rStyle w:val="Hyperlink"/>
          </w:rPr>
          <w:t xml:space="preserve">[11]</w:t>
        </w:r>
      </w:hyperlink>
      <w:r>
        <w:t xml:space="preserve">; from an observability viewpoint, insufficient viewpoints create unobservable components of the 3D shape (hidden concavities, ambiguous silhouettes).</w:t>
      </w:r>
    </w:p>
    <w:p>
      <w:pPr>
        <w:pStyle w:val="BodyText"/>
      </w:pPr>
      <w:r>
        <w:rPr>
          <w:b/>
          <w:bCs/>
        </w:rPr>
        <w:t xml:space="preserve">Parameter identifiability (shape + calibration).</w:t>
      </w:r>
      <w:r>
        <w:t xml:space="preserve"> </w:t>
      </w:r>
      <w:r>
        <w:t xml:space="preserve">Treat parameters</w:t>
      </w:r>
      <w:r>
        <w:t xml:space="preserve"> </w:t>
      </w:r>
      <m:oMath>
        <m:r>
          <m:t>θ</m:t>
        </m:r>
      </m:oMath>
      <w:r>
        <w:t xml:space="preserve"> </w:t>
      </w:r>
      <w:r>
        <w:t xml:space="preserve">(shape basis coefficients, intrinsics, extrinsics) as unknown constants. A standard route is examining the Fisher Information Matrix (FIM) under a likelihood model:</w:t>
      </w:r>
    </w:p>
    <w:p>
      <w:pPr>
        <w:pStyle w:val="BodyText"/>
      </w:pPr>
      <m:oMathPara>
        <m:oMathParaPr>
          <m:jc m:val="center"/>
        </m:oMathParaPr>
        <m:oMath>
          <m:r>
            <m:rPr>
              <m:sty m:val="p"/>
              <m:scr m:val="script"/>
            </m:rPr>
            <m:t>I</m:t>
          </m:r>
          <m:d>
            <m:dPr>
              <m:begChr m:val="("/>
              <m:sepChr m:val=""/>
              <m:endChr m:val=")"/>
              <m:grow/>
            </m:dPr>
            <m:e>
              <m:r>
                <m:t>θ</m:t>
              </m:r>
            </m:e>
          </m:d>
          <m:r>
            <m:rPr>
              <m:sty m:val="p"/>
            </m:rPr>
            <m:t>=</m:t>
          </m:r>
          <m:nary>
            <m:naryPr>
              <m:chr m:val="∑"/>
              <m:limLoc m:val="undOvr"/>
              <m:subHide m:val="off"/>
              <m:supHide m:val="on"/>
            </m:naryPr>
            <m:sub>
              <m:r>
                <m:t>k</m:t>
              </m:r>
            </m:sub>
            <m:sup>
              <m:r>
                <m:t>​</m:t>
              </m:r>
            </m:sup>
            <m:e>
              <m:sSup>
                <m:e>
                  <m:d>
                    <m:dPr>
                      <m:begChr m:val="("/>
                      <m:sepChr m:val=""/>
                      <m:endChr m:val=")"/>
                      <m:grow/>
                    </m:dPr>
                    <m:e>
                      <m:f>
                        <m:fPr>
                          <m:type m:val="bar"/>
                        </m:fPr>
                        <m:num>
                          <m:r>
                            <m:rPr>
                              <m:sty m:val="p"/>
                            </m:rPr>
                            <m:t>∂</m:t>
                          </m:r>
                          <m:sSub>
                            <m:e>
                              <m:r>
                                <m:t>h</m:t>
                              </m:r>
                            </m:e>
                            <m:sub>
                              <m:r>
                                <m:t>k</m:t>
                              </m:r>
                            </m:sub>
                          </m:sSub>
                        </m:num>
                        <m:den>
                          <m:r>
                            <m:rPr>
                              <m:sty m:val="p"/>
                            </m:rPr>
                            <m:t>∂</m:t>
                          </m:r>
                          <m:r>
                            <m:t>θ</m:t>
                          </m:r>
                        </m:den>
                      </m:f>
                    </m:e>
                  </m:d>
                </m:e>
                <m:sup>
                  <m:r>
                    <m:rPr>
                      <m:sty m:val="p"/>
                    </m:rPr>
                    <m:t>⊤</m:t>
                  </m:r>
                </m:sup>
              </m:sSup>
            </m:e>
          </m:nary>
          <m:sSubSup>
            <m:e>
              <m:r>
                <m:t>R</m:t>
              </m:r>
            </m:e>
            <m:sub>
              <m:r>
                <m:t>k</m:t>
              </m:r>
            </m:sub>
            <m:sup>
              <m:r>
                <m:rPr>
                  <m:sty m:val="p"/>
                </m:rPr>
                <m:t>−</m:t>
              </m:r>
              <m:r>
                <m:t>1</m:t>
              </m:r>
            </m:sup>
          </m:sSubSup>
          <m:d>
            <m:dPr>
              <m:begChr m:val="("/>
              <m:sepChr m:val=""/>
              <m:endChr m:val=")"/>
              <m:grow/>
            </m:dPr>
            <m:e>
              <m:f>
                <m:fPr>
                  <m:type m:val="bar"/>
                </m:fPr>
                <m:num>
                  <m:r>
                    <m:rPr>
                      <m:sty m:val="p"/>
                    </m:rPr>
                    <m:t>∂</m:t>
                  </m:r>
                  <m:sSub>
                    <m:e>
                      <m:r>
                        <m:t>h</m:t>
                      </m:r>
                    </m:e>
                    <m:sub>
                      <m:r>
                        <m:t>k</m:t>
                      </m:r>
                    </m:sub>
                  </m:sSub>
                </m:num>
                <m:den>
                  <m:r>
                    <m:rPr>
                      <m:sty m:val="p"/>
                    </m:rPr>
                    <m:t>∂</m:t>
                  </m:r>
                  <m:r>
                    <m:t>θ</m:t>
                  </m:r>
                </m:den>
              </m:f>
            </m:e>
          </m:d>
          <m:r>
            <m:rPr>
              <m:sty m:val="p"/>
            </m:rPr>
            <m:t>,</m:t>
          </m:r>
        </m:oMath>
      </m:oMathPara>
    </w:p>
    <w:p>
      <w:pPr>
        <w:pStyle w:val="FirstParagraph"/>
      </w:pPr>
      <w:r>
        <w:t xml:space="preserve">where</w:t>
      </w:r>
      <w:r>
        <w:t xml:space="preserve"> </w:t>
      </w:r>
      <m:oMath>
        <m:sSub>
          <m:e>
            <m:r>
              <m:t>R</m:t>
            </m:r>
          </m:e>
          <m:sub>
            <m:r>
              <m:t>k</m:t>
            </m:r>
          </m:sub>
        </m:sSub>
      </m:oMath>
      <w:r>
        <w:t xml:space="preserve"> </w:t>
      </w:r>
      <w:r>
        <w:t xml:space="preserve">is measurement noise covariance. A near-singular</w:t>
      </w:r>
      <w:r>
        <w:t xml:space="preserve"> </w:t>
      </w:r>
      <m:oMath>
        <m:r>
          <m:rPr>
            <m:sty m:val="p"/>
            <m:scr m:val="script"/>
          </m:rPr>
          <m:t>I</m:t>
        </m:r>
      </m:oMath>
      <w:r>
        <w:t xml:space="preserve"> </w:t>
      </w:r>
      <w:r>
        <w:t xml:space="preserve">indicates non-identifiability or severe ill-conditioning, signaling the need for (i) richer motions (more diverse viewpoints), (ii) better calibration targets, (iii) higher SNR, or (iv) a lower-dimensional shape parameterization.</w:t>
      </w:r>
    </w:p>
    <w:p>
      <w:pPr>
        <w:pStyle w:val="BodyText"/>
      </w:pPr>
      <w:r>
        <w:rPr>
          <w:b/>
          <w:bCs/>
        </w:rPr>
        <w:t xml:space="preserve">CT identifiability.</w:t>
      </w:r>
      <w:r>
        <w:t xml:space="preserve"> </w:t>
      </w:r>
      <w:r>
        <w:t xml:space="preserve">In CT, identifiability is governed by angular sampling and physics; the reconstruction problem is inversion of a Radon transform / line-integral measurements</w:t>
      </w:r>
      <w:r>
        <w:t xml:space="preserve"> </w:t>
      </w:r>
      <w:hyperlink r:id="rId56">
        <w:r>
          <w:rPr>
            <w:rStyle w:val="Hyperlink"/>
          </w:rPr>
          <w:t xml:space="preserve">[37]</w:t>
        </w:r>
      </w:hyperlink>
      <w:r>
        <w:t xml:space="preserve">. Inadequate angular coverage yields structured artifacts (“missing wedge”)—a design report should tie these artifacts to the forward model and sampling plan.</w:t>
      </w:r>
    </w:p>
    <w:bookmarkEnd w:id="62"/>
    <w:bookmarkStart w:id="70" w:name="Xc677b5de0dd9878c168890e488545c597f86a74"/>
    <w:p>
      <w:pPr>
        <w:pStyle w:val="Heading3"/>
      </w:pPr>
      <w:r>
        <w:t xml:space="preserve">Estimation and filtering methods with equations and assumptions</w:t>
      </w:r>
    </w:p>
    <w:p>
      <w:pPr>
        <w:pStyle w:val="FirstParagraph"/>
      </w:pPr>
      <w:r>
        <w:rPr>
          <w:b/>
          <w:bCs/>
        </w:rPr>
        <w:t xml:space="preserve">Linear Kalman filter (KF).</w:t>
      </w:r>
      <w:r>
        <w:t xml:space="preserve"> </w:t>
      </w:r>
      <w:r>
        <w:t xml:space="preserve">For linear Gaussian systems:</w:t>
      </w:r>
    </w:p>
    <w:p>
      <w:pPr>
        <w:pStyle w:val="BodyText"/>
      </w:pPr>
      <m:oMathPara>
        <m:oMathParaPr>
          <m:jc m:val="center"/>
        </m:oMathParaPr>
        <m:oMath>
          <m:sSub>
            <m:e>
              <m:r>
                <m:t>x</m:t>
              </m:r>
            </m:e>
            <m:sub>
              <m:r>
                <m:t>k</m:t>
              </m:r>
              <m:r>
                <m:rPr>
                  <m:sty m:val="p"/>
                </m:rPr>
                <m:t>+</m:t>
              </m:r>
              <m:r>
                <m:t>1</m:t>
              </m:r>
            </m:sub>
          </m:sSub>
          <m:r>
            <m:rPr>
              <m:sty m:val="p"/>
            </m:rPr>
            <m:t>=</m:t>
          </m:r>
          <m:r>
            <m:t>A</m:t>
          </m:r>
          <m:sSub>
            <m:e>
              <m:r>
                <m:t>x</m:t>
              </m:r>
            </m:e>
            <m:sub>
              <m:r>
                <m:t>k</m:t>
              </m:r>
            </m:sub>
          </m:sSub>
          <m:r>
            <m:rPr>
              <m:sty m:val="p"/>
            </m:rPr>
            <m:t>+</m:t>
          </m:r>
          <m:r>
            <m:t>B</m:t>
          </m:r>
          <m:sSub>
            <m:e>
              <m:r>
                <m:t>u</m:t>
              </m:r>
            </m:e>
            <m:sub>
              <m:r>
                <m:t>k</m:t>
              </m:r>
            </m:sub>
          </m:sSub>
          <m:r>
            <m:rPr>
              <m:sty m:val="p"/>
            </m:rPr>
            <m:t>+</m:t>
          </m:r>
          <m:sSub>
            <m:e>
              <m:r>
                <m:t>w</m:t>
              </m:r>
            </m:e>
            <m:sub>
              <m:r>
                <m:t>k</m:t>
              </m:r>
            </m:sub>
          </m:sSub>
          <m:r>
            <m:rPr>
              <m:sty m:val="p"/>
            </m:rPr>
            <m:t>,</m:t>
          </m:r>
          <m:r>
            <m:t> </m:t>
          </m:r>
          <m:sSub>
            <m:e>
              <m:r>
                <m:t>w</m:t>
              </m:r>
            </m:e>
            <m:sub>
              <m:r>
                <m:t>k</m:t>
              </m:r>
            </m:sub>
          </m:sSub>
          <m:r>
            <m:rPr>
              <m:sty m:val="p"/>
            </m:rPr>
            <m:t>∼</m:t>
          </m:r>
          <m:r>
            <m:rPr>
              <m:sty m:val="p"/>
              <m:scr m:val="script"/>
            </m:rPr>
            <m:t>N</m:t>
          </m:r>
          <m:d>
            <m:dPr>
              <m:begChr m:val="("/>
              <m:sepChr m:val=""/>
              <m:endChr m:val=")"/>
              <m:grow/>
            </m:dPr>
            <m:e>
              <m:r>
                <m:t>0</m:t>
              </m:r>
              <m:r>
                <m:rPr>
                  <m:sty m:val="p"/>
                </m:rPr>
                <m:t>,</m:t>
              </m:r>
              <m:r>
                <m:t>Q</m:t>
              </m:r>
            </m:e>
          </m:d>
        </m:oMath>
      </m:oMathPara>
    </w:p>
    <w:p>
      <w:pPr>
        <w:pStyle w:val="FirstParagraph"/>
      </w:pPr>
      <m:oMathPara>
        <m:oMathParaPr>
          <m:jc m:val="center"/>
        </m:oMathParaPr>
        <m:oMath>
          <m:sSub>
            <m:e>
              <m:r>
                <m:t>y</m:t>
              </m:r>
            </m:e>
            <m:sub>
              <m:r>
                <m:t>k</m:t>
              </m:r>
            </m:sub>
          </m:sSub>
          <m:r>
            <m:rPr>
              <m:sty m:val="p"/>
            </m:rPr>
            <m:t>=</m:t>
          </m:r>
          <m:r>
            <m:t>C</m:t>
          </m:r>
          <m:sSub>
            <m:e>
              <m:r>
                <m:t>x</m:t>
              </m:r>
            </m:e>
            <m:sub>
              <m:r>
                <m:t>k</m:t>
              </m:r>
            </m:sub>
          </m:sSub>
          <m:r>
            <m:rPr>
              <m:sty m:val="p"/>
            </m:rPr>
            <m:t>+</m:t>
          </m:r>
          <m:sSub>
            <m:e>
              <m:r>
                <m:t>v</m:t>
              </m:r>
            </m:e>
            <m:sub>
              <m:r>
                <m:t>k</m:t>
              </m:r>
            </m:sub>
          </m:sSub>
          <m:r>
            <m:rPr>
              <m:sty m:val="p"/>
            </m:rPr>
            <m:t>,</m:t>
          </m:r>
          <m:r>
            <m:t> </m:t>
          </m:r>
          <m:sSub>
            <m:e>
              <m:r>
                <m:t>v</m:t>
              </m:r>
            </m:e>
            <m:sub>
              <m:r>
                <m:t>k</m:t>
              </m:r>
            </m:sub>
          </m:sSub>
          <m:r>
            <m:rPr>
              <m:sty m:val="p"/>
            </m:rPr>
            <m:t>∼</m:t>
          </m:r>
          <m:r>
            <m:rPr>
              <m:sty m:val="p"/>
              <m:scr m:val="script"/>
            </m:rPr>
            <m:t>N</m:t>
          </m:r>
          <m:d>
            <m:dPr>
              <m:begChr m:val="("/>
              <m:sepChr m:val=""/>
              <m:endChr m:val=")"/>
              <m:grow/>
            </m:dPr>
            <m:e>
              <m:r>
                <m:t>0</m:t>
              </m:r>
              <m:r>
                <m:rPr>
                  <m:sty m:val="p"/>
                </m:rPr>
                <m:t>,</m:t>
              </m:r>
              <m:r>
                <m:t>R</m:t>
              </m:r>
            </m:e>
          </m:d>
          <m:r>
            <m:rPr>
              <m:sty m:val="p"/>
            </m:rPr>
            <m:t>,</m:t>
          </m:r>
        </m:oMath>
      </m:oMathPara>
    </w:p>
    <w:p>
      <w:pPr>
        <w:pStyle w:val="FirstParagraph"/>
      </w:pPr>
      <w:r>
        <w:t xml:space="preserve">the KF provides optimal (MMSE) recursive estimation; its foundations trace to Kalman’s 1960 paper</w:t>
      </w:r>
      <w:r>
        <w:t xml:space="preserve"> </w:t>
      </w:r>
      <w:hyperlink r:id="rId63">
        <w:r>
          <w:rPr>
            <w:rStyle w:val="Hyperlink"/>
          </w:rPr>
          <w:t xml:space="preserve">[41]</w:t>
        </w:r>
      </w:hyperlink>
      <w:r>
        <w:t xml:space="preserve">.</w:t>
      </w:r>
    </w:p>
    <w:p>
      <w:pPr>
        <w:pStyle w:val="BodyText"/>
      </w:pPr>
      <w:r>
        <w:rPr>
          <w:b/>
          <w:bCs/>
        </w:rPr>
        <w:t xml:space="preserve">Extended Kalman filter (EKF).</w:t>
      </w:r>
      <w:r>
        <w:t xml:space="preserve"> </w:t>
      </w:r>
      <w:r>
        <w:t xml:space="preserve">For nonlinear</w:t>
      </w:r>
      <w:r>
        <w:t xml:space="preserve"> </w:t>
      </w:r>
      <m:oMath>
        <m:r>
          <m:t>f</m:t>
        </m:r>
        <m:r>
          <m:rPr>
            <m:sty m:val="p"/>
          </m:rPr>
          <m:t>,</m:t>
        </m:r>
        <m:r>
          <m:t>h</m:t>
        </m:r>
      </m:oMath>
      <w:r>
        <w:t xml:space="preserve">, EKF linearizes. With Jacobians</w:t>
      </w:r>
      <w:r>
        <w:t xml:space="preserve"> </w:t>
      </w:r>
      <m:oMath>
        <m:sSub>
          <m:e>
            <m:r>
              <m:t>F</m:t>
            </m:r>
          </m:e>
          <m:sub>
            <m:r>
              <m:t>k</m:t>
            </m:r>
          </m:sub>
        </m:sSub>
        <m:r>
          <m:rPr>
            <m:sty m:val="p"/>
          </m:rPr>
          <m:t>=</m:t>
        </m:r>
        <m:r>
          <m:rPr>
            <m:sty m:val="p"/>
          </m:rPr>
          <m:t>∂</m:t>
        </m:r>
        <m:r>
          <m:t>f</m:t>
        </m:r>
        <m:r>
          <m:rPr>
            <m:sty m:val="p"/>
          </m:rPr>
          <m:t>/</m:t>
        </m:r>
        <m:r>
          <m:rPr>
            <m:sty m:val="p"/>
          </m:rPr>
          <m:t>∂</m:t>
        </m:r>
        <m:r>
          <m:t>x</m:t>
        </m:r>
      </m:oMath>
      <w:r>
        <w:t xml:space="preserve">,</w:t>
      </w:r>
      <w:r>
        <w:t xml:space="preserve"> </w:t>
      </w:r>
      <m:oMath>
        <m:sSub>
          <m:e>
            <m:r>
              <m:t>H</m:t>
            </m:r>
          </m:e>
          <m:sub>
            <m:r>
              <m:t>k</m:t>
            </m:r>
          </m:sub>
        </m:sSub>
        <m:r>
          <m:rPr>
            <m:sty m:val="p"/>
          </m:rPr>
          <m:t>=</m:t>
        </m:r>
        <m:r>
          <m:rPr>
            <m:sty m:val="p"/>
          </m:rPr>
          <m:t>∂</m:t>
        </m:r>
        <m:r>
          <m:t>h</m:t>
        </m:r>
        <m:r>
          <m:rPr>
            <m:sty m:val="p"/>
          </m:rPr>
          <m:t>/</m:t>
        </m:r>
        <m:r>
          <m:rPr>
            <m:sty m:val="p"/>
          </m:rPr>
          <m:t>∂</m:t>
        </m:r>
        <m:r>
          <m:t>x</m:t>
        </m:r>
      </m:oMath>
      <w:r>
        <w:t xml:space="preserve">, a standard discrete EKF uses:</w:t>
      </w:r>
    </w:p>
    <w:p>
      <w:pPr>
        <w:pStyle w:val="BodyText"/>
      </w:pPr>
      <m:oMathPara>
        <m:oMathParaPr>
          <m:jc m:val="center"/>
        </m:oMathParaPr>
        <m:oMath>
          <m:sSub>
            <m:e>
              <m:acc>
                <m:accPr>
                  <m:chr m:val="̂"/>
                </m:accPr>
                <m:e>
                  <m:r>
                    <m:t>x</m:t>
                  </m:r>
                </m:e>
              </m:acc>
            </m:e>
            <m:sub>
              <m:r>
                <m:t>k</m:t>
              </m:r>
              <m:r>
                <m:rPr>
                  <m:sty m:val="p"/>
                </m:rPr>
                <m:t>|</m:t>
              </m:r>
              <m:r>
                <m:t>k</m:t>
              </m:r>
              <m:r>
                <m:rPr>
                  <m:sty m:val="p"/>
                </m:rPr>
                <m:t>−</m:t>
              </m:r>
              <m:r>
                <m:t>1</m:t>
              </m:r>
            </m:sub>
          </m:sSub>
          <m:r>
            <m:rPr>
              <m:sty m:val="p"/>
            </m:rPr>
            <m:t>=</m:t>
          </m:r>
          <m:r>
            <m:t>f</m:t>
          </m:r>
          <m:d>
            <m:dPr>
              <m:begChr m:val="("/>
              <m:sepChr m:val=""/>
              <m:endChr m:val=")"/>
              <m:grow/>
            </m:dPr>
            <m:e>
              <m:sSub>
                <m:e>
                  <m:acc>
                    <m:accPr>
                      <m:chr m:val="̂"/>
                    </m:accPr>
                    <m:e>
                      <m:r>
                        <m:t>x</m:t>
                      </m:r>
                    </m:e>
                  </m:acc>
                </m:e>
                <m:sub>
                  <m:r>
                    <m:t>k</m:t>
                  </m:r>
                  <m:r>
                    <m:rPr>
                      <m:sty m:val="p"/>
                    </m:rPr>
                    <m:t>−</m:t>
                  </m:r>
                  <m:r>
                    <m:t>1</m:t>
                  </m:r>
                  <m:r>
                    <m:rPr>
                      <m:sty m:val="p"/>
                    </m:rPr>
                    <m:t>|</m:t>
                  </m:r>
                  <m:r>
                    <m:t>k</m:t>
                  </m:r>
                  <m:r>
                    <m:rPr>
                      <m:sty m:val="p"/>
                    </m:rPr>
                    <m:t>−</m:t>
                  </m:r>
                  <m:r>
                    <m:t>1</m:t>
                  </m:r>
                </m:sub>
              </m:sSub>
              <m:r>
                <m:rPr>
                  <m:sty m:val="p"/>
                </m:rPr>
                <m:t>,</m:t>
              </m:r>
              <m:sSub>
                <m:e>
                  <m:r>
                    <m:t>u</m:t>
                  </m:r>
                </m:e>
                <m:sub>
                  <m:r>
                    <m:t>k</m:t>
                  </m:r>
                  <m:r>
                    <m:rPr>
                      <m:sty m:val="p"/>
                    </m:rPr>
                    <m:t>−</m:t>
                  </m:r>
                  <m:r>
                    <m:t>1</m:t>
                  </m:r>
                </m:sub>
              </m:sSub>
            </m:e>
          </m:d>
          <m:r>
            <m:rPr>
              <m:sty m:val="p"/>
            </m:rPr>
            <m:t>,</m:t>
          </m:r>
          <m:r>
            <m:t> </m:t>
          </m:r>
          <m:sSub>
            <m:e>
              <m:r>
                <m:t>P</m:t>
              </m:r>
            </m:e>
            <m:sub>
              <m:r>
                <m:t>k</m:t>
              </m:r>
              <m:r>
                <m:rPr>
                  <m:sty m:val="p"/>
                </m:rPr>
                <m:t>|</m:t>
              </m:r>
              <m:r>
                <m:t>k</m:t>
              </m:r>
              <m:r>
                <m:rPr>
                  <m:sty m:val="p"/>
                </m:rPr>
                <m:t>−</m:t>
              </m:r>
              <m:r>
                <m:t>1</m:t>
              </m:r>
            </m:sub>
          </m:sSub>
          <m:r>
            <m:rPr>
              <m:sty m:val="p"/>
            </m:rPr>
            <m:t>=</m:t>
          </m:r>
          <m:sSub>
            <m:e>
              <m:r>
                <m:t>F</m:t>
              </m:r>
            </m:e>
            <m:sub>
              <m:r>
                <m:t>k</m:t>
              </m:r>
            </m:sub>
          </m:sSub>
          <m:sSub>
            <m:e>
              <m:r>
                <m:t>P</m:t>
              </m:r>
            </m:e>
            <m:sub>
              <m:r>
                <m:t>k</m:t>
              </m:r>
              <m:r>
                <m:rPr>
                  <m:sty m:val="p"/>
                </m:rPr>
                <m:t>−</m:t>
              </m:r>
              <m:r>
                <m:t>1</m:t>
              </m:r>
              <m:r>
                <m:rPr>
                  <m:sty m:val="p"/>
                </m:rPr>
                <m:t>|</m:t>
              </m:r>
              <m:r>
                <m:t>k</m:t>
              </m:r>
              <m:r>
                <m:rPr>
                  <m:sty m:val="p"/>
                </m:rPr>
                <m:t>−</m:t>
              </m:r>
              <m:r>
                <m:t>1</m:t>
              </m:r>
            </m:sub>
          </m:sSub>
          <m:sSubSup>
            <m:e>
              <m:r>
                <m:t>F</m:t>
              </m:r>
            </m:e>
            <m:sub>
              <m:r>
                <m:t>k</m:t>
              </m:r>
            </m:sub>
            <m:sup>
              <m:r>
                <m:rPr>
                  <m:sty m:val="p"/>
                </m:rPr>
                <m:t>⊤</m:t>
              </m:r>
            </m:sup>
          </m:sSubSup>
          <m:r>
            <m:rPr>
              <m:sty m:val="p"/>
            </m:rPr>
            <m:t>+</m:t>
          </m:r>
          <m:r>
            <m:t>Q</m:t>
          </m:r>
          <m:r>
            <m:rPr>
              <m:sty m:val="p"/>
            </m:rPr>
            <m:t>.</m:t>
          </m:r>
        </m:oMath>
      </m:oMathPara>
    </w:p>
    <w:p>
      <w:pPr>
        <w:pStyle w:val="FirstParagraph"/>
      </w:pPr>
      <m:oMathPara>
        <m:oMathParaPr>
          <m:jc m:val="center"/>
        </m:oMathParaPr>
        <m:oMath>
          <m:sSub>
            <m:e>
              <m:r>
                <m:t>K</m:t>
              </m:r>
            </m:e>
            <m:sub>
              <m:r>
                <m:t>k</m:t>
              </m:r>
            </m:sub>
          </m:sSub>
          <m:r>
            <m:rPr>
              <m:sty m:val="p"/>
            </m:rPr>
            <m:t>=</m:t>
          </m:r>
          <m:sSub>
            <m:e>
              <m:r>
                <m:t>P</m:t>
              </m:r>
            </m:e>
            <m:sub>
              <m:r>
                <m:t>k</m:t>
              </m:r>
              <m:r>
                <m:rPr>
                  <m:sty m:val="p"/>
                </m:rPr>
                <m:t>|</m:t>
              </m:r>
              <m:r>
                <m:t>k</m:t>
              </m:r>
              <m:r>
                <m:rPr>
                  <m:sty m:val="p"/>
                </m:rPr>
                <m:t>−</m:t>
              </m:r>
              <m:r>
                <m:t>1</m:t>
              </m:r>
            </m:sub>
          </m:sSub>
          <m:sSubSup>
            <m:e>
              <m:r>
                <m:t>H</m:t>
              </m:r>
            </m:e>
            <m:sub>
              <m:r>
                <m:t>k</m:t>
              </m:r>
            </m:sub>
            <m:sup>
              <m:r>
                <m:rPr>
                  <m:sty m:val="p"/>
                </m:rPr>
                <m:t>⊤</m:t>
              </m:r>
            </m:sup>
          </m:sSubSup>
          <m:sSup>
            <m:e>
              <m:d>
                <m:dPr>
                  <m:begChr m:val="("/>
                  <m:sepChr m:val=""/>
                  <m:endChr m:val=")"/>
                  <m:grow/>
                </m:dPr>
                <m:e>
                  <m:sSub>
                    <m:e>
                      <m:r>
                        <m:t>H</m:t>
                      </m:r>
                    </m:e>
                    <m:sub>
                      <m:r>
                        <m:t>k</m:t>
                      </m:r>
                    </m:sub>
                  </m:sSub>
                  <m:sSub>
                    <m:e>
                      <m:r>
                        <m:t>P</m:t>
                      </m:r>
                    </m:e>
                    <m:sub>
                      <m:r>
                        <m:t>k</m:t>
                      </m:r>
                      <m:r>
                        <m:rPr>
                          <m:sty m:val="p"/>
                        </m:rPr>
                        <m:t>|</m:t>
                      </m:r>
                      <m:r>
                        <m:t>k</m:t>
                      </m:r>
                      <m:r>
                        <m:rPr>
                          <m:sty m:val="p"/>
                        </m:rPr>
                        <m:t>−</m:t>
                      </m:r>
                      <m:r>
                        <m:t>1</m:t>
                      </m:r>
                    </m:sub>
                  </m:sSub>
                  <m:sSubSup>
                    <m:e>
                      <m:r>
                        <m:t>H</m:t>
                      </m:r>
                    </m:e>
                    <m:sub>
                      <m:r>
                        <m:t>k</m:t>
                      </m:r>
                    </m:sub>
                    <m:sup>
                      <m:r>
                        <m:rPr>
                          <m:sty m:val="p"/>
                        </m:rPr>
                        <m:t>⊤</m:t>
                      </m:r>
                    </m:sup>
                  </m:sSubSup>
                  <m:r>
                    <m:rPr>
                      <m:sty m:val="p"/>
                    </m:rPr>
                    <m:t>+</m:t>
                  </m:r>
                  <m:r>
                    <m:t>R</m:t>
                  </m:r>
                </m:e>
              </m:d>
            </m:e>
            <m:sup>
              <m:r>
                <m:rPr>
                  <m:sty m:val="p"/>
                </m:rPr>
                <m:t>−</m:t>
              </m:r>
              <m:r>
                <m:t>1</m:t>
              </m:r>
            </m:sup>
          </m:sSup>
          <m:r>
            <m:rPr>
              <m:sty m:val="p"/>
            </m:rPr>
            <m:t>,</m:t>
          </m:r>
        </m:oMath>
      </m:oMathPara>
    </w:p>
    <w:p>
      <w:pPr>
        <w:pStyle w:val="FirstParagraph"/>
      </w:pPr>
      <m:oMathPara>
        <m:oMathParaPr>
          <m:jc m:val="center"/>
        </m:oMathParaPr>
        <m:oMath>
          <m:sSub>
            <m:e>
              <m:acc>
                <m:accPr>
                  <m:chr m:val="̂"/>
                </m:accPr>
                <m:e>
                  <m:r>
                    <m:t>x</m:t>
                  </m:r>
                </m:e>
              </m:acc>
            </m:e>
            <m:sub>
              <m:r>
                <m:t>k</m:t>
              </m:r>
              <m:r>
                <m:rPr>
                  <m:sty m:val="p"/>
                </m:rPr>
                <m:t>|</m:t>
              </m:r>
              <m:r>
                <m:t>k</m:t>
              </m:r>
            </m:sub>
          </m:sSub>
          <m:r>
            <m:rPr>
              <m:sty m:val="p"/>
            </m:rPr>
            <m:t>=</m:t>
          </m:r>
          <m:sSub>
            <m:e>
              <m:acc>
                <m:accPr>
                  <m:chr m:val="̂"/>
                </m:accPr>
                <m:e>
                  <m:r>
                    <m:t>x</m:t>
                  </m:r>
                </m:e>
              </m:acc>
            </m:e>
            <m:sub>
              <m:r>
                <m:t>k</m:t>
              </m:r>
              <m:r>
                <m:rPr>
                  <m:sty m:val="p"/>
                </m:rPr>
                <m:t>|</m:t>
              </m:r>
              <m:r>
                <m:t>k</m:t>
              </m:r>
              <m:r>
                <m:rPr>
                  <m:sty m:val="p"/>
                </m:rPr>
                <m:t>−</m:t>
              </m:r>
              <m:r>
                <m:t>1</m:t>
              </m:r>
            </m:sub>
          </m:sSub>
          <m:r>
            <m:rPr>
              <m:sty m:val="p"/>
            </m:rPr>
            <m:t>+</m:t>
          </m:r>
          <m:sSub>
            <m:e>
              <m:r>
                <m:t>K</m:t>
              </m:r>
            </m:e>
            <m:sub>
              <m:r>
                <m:t>k</m:t>
              </m:r>
            </m:sub>
          </m:sSub>
          <m:d>
            <m:dPr>
              <m:begChr m:val="("/>
              <m:sepChr m:val=""/>
              <m:endChr m:val=")"/>
              <m:grow/>
            </m:dPr>
            <m:e>
              <m:sSub>
                <m:e>
                  <m:r>
                    <m:t>y</m:t>
                  </m:r>
                </m:e>
                <m:sub>
                  <m:r>
                    <m:t>k</m:t>
                  </m:r>
                </m:sub>
              </m:sSub>
              <m:r>
                <m:rPr>
                  <m:sty m:val="p"/>
                </m:rPr>
                <m:t>−</m:t>
              </m:r>
              <m:r>
                <m:t>h</m:t>
              </m:r>
              <m:d>
                <m:dPr>
                  <m:begChr m:val="("/>
                  <m:sepChr m:val=""/>
                  <m:endChr m:val=")"/>
                  <m:grow/>
                </m:dPr>
                <m:e>
                  <m:sSub>
                    <m:e>
                      <m:acc>
                        <m:accPr>
                          <m:chr m:val="̂"/>
                        </m:accPr>
                        <m:e>
                          <m:r>
                            <m:t>x</m:t>
                          </m:r>
                        </m:e>
                      </m:acc>
                    </m:e>
                    <m:sub>
                      <m:r>
                        <m:t>k</m:t>
                      </m:r>
                      <m:r>
                        <m:rPr>
                          <m:sty m:val="p"/>
                        </m:rPr>
                        <m:t>|</m:t>
                      </m:r>
                      <m:r>
                        <m:t>k</m:t>
                      </m:r>
                      <m:r>
                        <m:rPr>
                          <m:sty m:val="p"/>
                        </m:rPr>
                        <m:t>−</m:t>
                      </m:r>
                      <m:r>
                        <m:t>1</m:t>
                      </m:r>
                    </m:sub>
                  </m:sSub>
                </m:e>
              </m:d>
            </m:e>
          </m:d>
          <m:r>
            <m:rPr>
              <m:sty m:val="p"/>
            </m:rPr>
            <m:t>,</m:t>
          </m:r>
          <m:r>
            <m:t> </m:t>
          </m:r>
          <m:sSub>
            <m:e>
              <m:r>
                <m:t>P</m:t>
              </m:r>
            </m:e>
            <m:sub>
              <m:r>
                <m:t>k</m:t>
              </m:r>
              <m:r>
                <m:rPr>
                  <m:sty m:val="p"/>
                </m:rPr>
                <m:t>|</m:t>
              </m:r>
              <m:r>
                <m:t>k</m:t>
              </m:r>
            </m:sub>
          </m:sSub>
          <m:r>
            <m:rPr>
              <m:sty m:val="p"/>
            </m:rPr>
            <m:t>=</m:t>
          </m:r>
          <m:d>
            <m:dPr>
              <m:begChr m:val="("/>
              <m:sepChr m:val=""/>
              <m:endChr m:val=")"/>
              <m:grow/>
            </m:dPr>
            <m:e>
              <m:r>
                <m:t>I</m:t>
              </m:r>
              <m:r>
                <m:rPr>
                  <m:sty m:val="p"/>
                </m:rPr>
                <m:t>−</m:t>
              </m:r>
              <m:sSub>
                <m:e>
                  <m:r>
                    <m:t>K</m:t>
                  </m:r>
                </m:e>
                <m:sub>
                  <m:r>
                    <m:t>k</m:t>
                  </m:r>
                </m:sub>
              </m:sSub>
              <m:sSub>
                <m:e>
                  <m:r>
                    <m:t>H</m:t>
                  </m:r>
                </m:e>
                <m:sub>
                  <m:r>
                    <m:t>k</m:t>
                  </m:r>
                </m:sub>
              </m:sSub>
            </m:e>
          </m:d>
          <m:sSub>
            <m:e>
              <m:r>
                <m:t>P</m:t>
              </m:r>
            </m:e>
            <m:sub>
              <m:r>
                <m:t>k</m:t>
              </m:r>
              <m:r>
                <m:rPr>
                  <m:sty m:val="p"/>
                </m:rPr>
                <m:t>|</m:t>
              </m:r>
              <m:r>
                <m:t>k</m:t>
              </m:r>
              <m:r>
                <m:rPr>
                  <m:sty m:val="p"/>
                </m:rPr>
                <m:t>−</m:t>
              </m:r>
              <m:r>
                <m:t>1</m:t>
              </m:r>
            </m:sub>
          </m:sSub>
          <m:r>
            <m:rPr>
              <m:sty m:val="p"/>
            </m:rPr>
            <m:t>.</m:t>
          </m:r>
        </m:oMath>
      </m:oMathPara>
    </w:p>
    <w:p>
      <w:pPr>
        <w:pStyle w:val="FirstParagraph"/>
      </w:pPr>
      <w:r>
        <w:t xml:space="preserve">EKF is widely taught via standard lecture notes; key limitations (approximation/divergence risk) should be stated explicitly</w:t>
      </w:r>
      <w:r>
        <w:t xml:space="preserve"> </w:t>
      </w:r>
      <w:hyperlink r:id="rId64">
        <w:r>
          <w:rPr>
            <w:rStyle w:val="Hyperlink"/>
          </w:rPr>
          <w:t xml:space="preserve">[42]</w:t>
        </w:r>
      </w:hyperlink>
      <w:r>
        <w:t xml:space="preserve">.</w:t>
      </w:r>
    </w:p>
    <w:p>
      <w:pPr>
        <w:pStyle w:val="BodyText"/>
      </w:pPr>
      <w:r>
        <w:rPr>
          <w:b/>
          <w:bCs/>
        </w:rPr>
        <w:t xml:space="preserve">Unscented Kalman filter (UKF).</w:t>
      </w:r>
      <w:r>
        <w:t xml:space="preserve"> </w:t>
      </w:r>
      <w:r>
        <w:t xml:space="preserve">UKF avoids Jacobians by propagating sigma points through nonlinear dynamics. “Unscented Filtering and Nonlinear Estimation” provides a canonical reference and explains why UKF can outperform EKF in nonlinear regimes</w:t>
      </w:r>
      <w:r>
        <w:t xml:space="preserve"> </w:t>
      </w:r>
      <w:hyperlink r:id="rId65">
        <w:r>
          <w:rPr>
            <w:rStyle w:val="Hyperlink"/>
          </w:rPr>
          <w:t xml:space="preserve">[43]</w:t>
        </w:r>
      </w:hyperlink>
      <w:r>
        <w:t xml:space="preserve">. This is attractive for grain pose estimation when camera measurements are highly nonlinear and you want robustness without careful Jacobian engineering.</w:t>
      </w:r>
    </w:p>
    <w:p>
      <w:pPr>
        <w:pStyle w:val="BodyText"/>
      </w:pPr>
      <w:r>
        <w:rPr>
          <w:b/>
          <w:bCs/>
        </w:rPr>
        <w:t xml:space="preserve">Particle filters (PF).</w:t>
      </w:r>
      <w:r>
        <w:t xml:space="preserve"> </w:t>
      </w:r>
      <w:r>
        <w:t xml:space="preserve">For strongly non-Gaussian posteriors (occlusions, ambiguous silhouettes), represent</w:t>
      </w:r>
      <w:r>
        <w:t xml:space="preserve"> </w:t>
      </w:r>
      <m:oMath>
        <m:r>
          <m:t>p</m:t>
        </m:r>
        <m:d>
          <m:dPr>
            <m:begChr m:val="("/>
            <m:sepChr m:val=""/>
            <m:endChr m:val=")"/>
            <m:grow/>
          </m:dPr>
          <m:e>
            <m:sSub>
              <m:e>
                <m:r>
                  <m:t>x</m:t>
                </m:r>
              </m:e>
              <m:sub>
                <m:r>
                  <m:t>k</m:t>
                </m:r>
              </m:sub>
            </m:sSub>
            <m:r>
              <m:rPr>
                <m:sty m:val="p"/>
              </m:rPr>
              <m:t>|</m:t>
            </m:r>
            <m:sSub>
              <m:e>
                <m:r>
                  <m:t>y</m:t>
                </m:r>
              </m:e>
              <m:sub>
                <m:r>
                  <m:t>1</m:t>
                </m:r>
                <m:r>
                  <m:rPr>
                    <m:sty m:val="p"/>
                  </m:rPr>
                  <m:t>:</m:t>
                </m:r>
                <m:r>
                  <m:t>k</m:t>
                </m:r>
              </m:sub>
            </m:sSub>
          </m:e>
        </m:d>
      </m:oMath>
      <w:r>
        <w:t xml:space="preserve"> </w:t>
      </w:r>
      <w:r>
        <w:t xml:space="preserve">by weighted particles</w:t>
      </w:r>
      <w:r>
        <w:t xml:space="preserve"> </w:t>
      </w:r>
      <m:oMath>
        <m:r>
          <m:rPr>
            <m:sty m:val="p"/>
          </m:rPr>
          <m:t>{</m:t>
        </m:r>
        <m:sSubSup>
          <m:e>
            <m:r>
              <m:t>x</m:t>
            </m:r>
          </m:e>
          <m:sub>
            <m:r>
              <m:t>k</m:t>
            </m:r>
          </m:sub>
          <m:sup>
            <m:d>
              <m:dPr>
                <m:begChr m:val="("/>
                <m:sepChr m:val=""/>
                <m:endChr m:val=")"/>
                <m:grow/>
              </m:dPr>
              <m:e>
                <m:r>
                  <m:t>i</m:t>
                </m:r>
              </m:e>
            </m:d>
          </m:sup>
        </m:sSubSup>
        <m:r>
          <m:rPr>
            <m:sty m:val="p"/>
          </m:rPr>
          <m:t>,</m:t>
        </m:r>
        <m:sSubSup>
          <m:e>
            <m:r>
              <m:t>w</m:t>
            </m:r>
          </m:e>
          <m:sub>
            <m:r>
              <m:t>k</m:t>
            </m:r>
          </m:sub>
          <m:sup>
            <m:d>
              <m:dPr>
                <m:begChr m:val="("/>
                <m:sepChr m:val=""/>
                <m:endChr m:val=")"/>
                <m:grow/>
              </m:dPr>
              <m:e>
                <m:r>
                  <m:t>i</m:t>
                </m:r>
              </m:e>
            </m:d>
          </m:sup>
        </m:sSubSup>
        <m:r>
          <m:rPr>
            <m:sty m:val="p"/>
          </m:rPr>
          <m:t>}</m:t>
        </m:r>
      </m:oMath>
      <w:r>
        <w:t xml:space="preserve">. The classic “tutorial on particle filters” is a standard reference for sequential importance sampling/resampling variants</w:t>
      </w:r>
      <w:r>
        <w:t xml:space="preserve"> </w:t>
      </w:r>
      <w:hyperlink r:id="rId66">
        <w:r>
          <w:rPr>
            <w:rStyle w:val="Hyperlink"/>
          </w:rPr>
          <w:t xml:space="preserve">[44]</w:t>
        </w:r>
      </w:hyperlink>
      <w:r>
        <w:t xml:space="preserve">. PFs are useful when measurements are multi-modal (e.g., silhouette ambiguities) or when contact dynamics cause non-Gaussian motion.</w:t>
      </w:r>
    </w:p>
    <w:p>
      <w:pPr>
        <w:pStyle w:val="BodyText"/>
      </w:pPr>
      <w:r>
        <w:rPr>
          <w:b/>
          <w:bCs/>
        </w:rPr>
        <w:t xml:space="preserve">Smoothing / Moving Horizon Estimation (MHE).</w:t>
      </w:r>
      <w:r>
        <w:t xml:space="preserve"> </w:t>
      </w:r>
      <w:r>
        <w:t xml:space="preserve">For offline or quasi-online refinement, solve a windowed MAP problem:</w:t>
      </w:r>
    </w:p>
    <w:p>
      <w:pPr>
        <w:pStyle w:val="BodyText"/>
      </w:pPr>
      <m:oMathPara>
        <m:oMathParaPr>
          <m:jc m:val="center"/>
        </m:oMathParaPr>
        <m:oMath>
          <m:limLow>
            <m:e>
              <m:r>
                <m:rPr>
                  <m:sty m:val="p"/>
                </m:rPr>
                <m:t>min</m:t>
              </m:r>
            </m:e>
            <m:lim>
              <m:sSub>
                <m:e>
                  <m:r>
                    <m:t>x</m:t>
                  </m:r>
                </m:e>
                <m:sub>
                  <m:r>
                    <m:t>k</m:t>
                  </m:r>
                  <m:r>
                    <m:rPr>
                      <m:sty m:val="p"/>
                    </m:rPr>
                    <m:t>−</m:t>
                  </m:r>
                  <m:r>
                    <m:t>N</m:t>
                  </m:r>
                  <m:r>
                    <m:rPr>
                      <m:sty m:val="p"/>
                    </m:rPr>
                    <m:t>:</m:t>
                  </m:r>
                  <m:r>
                    <m:t>k</m:t>
                  </m:r>
                </m:sub>
              </m:sSub>
            </m:lim>
          </m:limLow>
          <m:r>
            <m:rPr>
              <m:sty m:val="p"/>
            </m:rPr>
            <m:t>∥</m:t>
          </m:r>
          <m:sSub>
            <m:e>
              <m:r>
                <m:t>x</m:t>
              </m:r>
            </m:e>
            <m:sub>
              <m:r>
                <m:t>k</m:t>
              </m:r>
              <m:r>
                <m:rPr>
                  <m:sty m:val="p"/>
                </m:rPr>
                <m:t>−</m:t>
              </m:r>
              <m:r>
                <m:t>N</m:t>
              </m:r>
            </m:sub>
          </m:sSub>
          <m:r>
            <m:rPr>
              <m:sty m:val="p"/>
            </m:rPr>
            <m:t>−</m:t>
          </m:r>
          <m:sSub>
            <m:e>
              <m:acc>
                <m:accPr>
                  <m:chr m:val="̂"/>
                </m:accPr>
                <m:e>
                  <m:r>
                    <m:t>x</m:t>
                  </m:r>
                </m:e>
              </m:acc>
            </m:e>
            <m:sub>
              <m:r>
                <m:t>k</m:t>
              </m:r>
              <m:r>
                <m:rPr>
                  <m:sty m:val="p"/>
                </m:rPr>
                <m:t>−</m:t>
              </m:r>
              <m:r>
                <m:t>N</m:t>
              </m:r>
            </m:sub>
          </m:sSub>
          <m:sSubSup>
            <m:e>
              <m:r>
                <m:rPr>
                  <m:sty m:val="p"/>
                </m:rPr>
                <m:t>∥</m:t>
              </m:r>
            </m:e>
            <m:sub>
              <m:sSup>
                <m:e>
                  <m:r>
                    <m:t>P</m:t>
                  </m:r>
                </m:e>
                <m:sup>
                  <m:r>
                    <m:rPr>
                      <m:sty m:val="p"/>
                    </m:rPr>
                    <m:t>−</m:t>
                  </m:r>
                  <m:r>
                    <m:t>1</m:t>
                  </m:r>
                </m:sup>
              </m:sSup>
            </m:sub>
            <m:sup>
              <m:r>
                <m:t>2</m:t>
              </m:r>
            </m:sup>
          </m:sSubSup>
          <m:r>
            <m:rPr>
              <m:sty m:val="p"/>
            </m:rPr>
            <m:t>+</m:t>
          </m:r>
          <m:nary>
            <m:naryPr>
              <m:chr m:val="∑"/>
              <m:limLoc m:val="undOvr"/>
              <m:subHide m:val="off"/>
              <m:supHide m:val="off"/>
            </m:naryPr>
            <m:sub>
              <m:r>
                <m:t>i</m:t>
              </m:r>
              <m:r>
                <m:rPr>
                  <m:sty m:val="p"/>
                </m:rPr>
                <m:t>=</m:t>
              </m:r>
              <m:r>
                <m:t>k</m:t>
              </m:r>
              <m:r>
                <m:rPr>
                  <m:sty m:val="p"/>
                </m:rPr>
                <m:t>−</m:t>
              </m:r>
              <m:r>
                <m:t>N</m:t>
              </m:r>
            </m:sub>
            <m:sup>
              <m:r>
                <m:t>k</m:t>
              </m:r>
              <m:r>
                <m:rPr>
                  <m:sty m:val="p"/>
                </m:rPr>
                <m:t>−</m:t>
              </m:r>
              <m:r>
                <m:t>1</m:t>
              </m:r>
            </m:sup>
            <m:e>
              <m:r>
                <m:rPr>
                  <m:sty m:val="p"/>
                </m:rPr>
                <m:t>∥</m:t>
              </m:r>
            </m:e>
          </m:nary>
          <m:sSub>
            <m:e>
              <m:r>
                <m:t>x</m:t>
              </m:r>
            </m:e>
            <m:sub>
              <m:r>
                <m:t>i</m:t>
              </m:r>
              <m:r>
                <m:rPr>
                  <m:sty m:val="p"/>
                </m:rPr>
                <m:t>+</m:t>
              </m:r>
              <m:r>
                <m:t>1</m:t>
              </m:r>
            </m:sub>
          </m:sSub>
          <m:r>
            <m:rPr>
              <m:sty m:val="p"/>
            </m:rPr>
            <m:t>−</m:t>
          </m:r>
          <m:r>
            <m:t>f</m:t>
          </m:r>
          <m:d>
            <m:dPr>
              <m:begChr m:val="("/>
              <m:sepChr m:val=""/>
              <m:endChr m:val=")"/>
              <m:grow/>
            </m:dPr>
            <m:e>
              <m:sSub>
                <m:e>
                  <m:r>
                    <m:t>x</m:t>
                  </m:r>
                </m:e>
                <m:sub>
                  <m:r>
                    <m:t>i</m:t>
                  </m:r>
                </m:sub>
              </m:sSub>
              <m:r>
                <m:rPr>
                  <m:sty m:val="p"/>
                </m:rPr>
                <m:t>,</m:t>
              </m:r>
              <m:sSub>
                <m:e>
                  <m:r>
                    <m:t>u</m:t>
                  </m:r>
                </m:e>
                <m:sub>
                  <m:r>
                    <m:t>i</m:t>
                  </m:r>
                </m:sub>
              </m:sSub>
            </m:e>
          </m:d>
          <m:sSubSup>
            <m:e>
              <m:r>
                <m:rPr>
                  <m:sty m:val="p"/>
                </m:rPr>
                <m:t>∥</m:t>
              </m:r>
            </m:e>
            <m:sub>
              <m:sSup>
                <m:e>
                  <m:r>
                    <m:t>Q</m:t>
                  </m:r>
                </m:e>
                <m:sup>
                  <m:r>
                    <m:rPr>
                      <m:sty m:val="p"/>
                    </m:rPr>
                    <m:t>−</m:t>
                  </m:r>
                  <m:r>
                    <m:t>1</m:t>
                  </m:r>
                </m:sup>
              </m:sSup>
            </m:sub>
            <m:sup>
              <m:r>
                <m:t>2</m:t>
              </m:r>
            </m:sup>
          </m:sSubSup>
          <m:r>
            <m:rPr>
              <m:sty m:val="p"/>
            </m:rPr>
            <m:t>+</m:t>
          </m:r>
          <m:nary>
            <m:naryPr>
              <m:chr m:val="∑"/>
              <m:limLoc m:val="undOvr"/>
              <m:subHide m:val="off"/>
              <m:supHide m:val="off"/>
            </m:naryPr>
            <m:sub>
              <m:r>
                <m:t>i</m:t>
              </m:r>
              <m:r>
                <m:rPr>
                  <m:sty m:val="p"/>
                </m:rPr>
                <m:t>=</m:t>
              </m:r>
              <m:r>
                <m:t>k</m:t>
              </m:r>
              <m:r>
                <m:rPr>
                  <m:sty m:val="p"/>
                </m:rPr>
                <m:t>−</m:t>
              </m:r>
              <m:r>
                <m:t>N</m:t>
              </m:r>
            </m:sub>
            <m:sup>
              <m:r>
                <m:t>k</m:t>
              </m:r>
            </m:sup>
            <m:e>
              <m:r>
                <m:rPr>
                  <m:sty m:val="p"/>
                </m:rPr>
                <m:t>∥</m:t>
              </m:r>
            </m:e>
          </m:nary>
          <m:sSub>
            <m:e>
              <m:r>
                <m:t>y</m:t>
              </m:r>
            </m:e>
            <m:sub>
              <m:r>
                <m:t>i</m:t>
              </m:r>
            </m:sub>
          </m:sSub>
          <m:r>
            <m:rPr>
              <m:sty m:val="p"/>
            </m:rPr>
            <m:t>−</m:t>
          </m:r>
          <m:r>
            <m:t>h</m:t>
          </m:r>
          <m:d>
            <m:dPr>
              <m:begChr m:val="("/>
              <m:sepChr m:val=""/>
              <m:endChr m:val=")"/>
              <m:grow/>
            </m:dPr>
            <m:e>
              <m:sSub>
                <m:e>
                  <m:r>
                    <m:t>x</m:t>
                  </m:r>
                </m:e>
                <m:sub>
                  <m:r>
                    <m:t>i</m:t>
                  </m:r>
                </m:sub>
              </m:sSub>
            </m:e>
          </m:d>
          <m:sSubSup>
            <m:e>
              <m:r>
                <m:rPr>
                  <m:sty m:val="p"/>
                </m:rPr>
                <m:t>∥</m:t>
              </m:r>
            </m:e>
            <m:sub>
              <m:sSup>
                <m:e>
                  <m:r>
                    <m:t>R</m:t>
                  </m:r>
                </m:e>
                <m:sup>
                  <m:r>
                    <m:rPr>
                      <m:sty m:val="p"/>
                    </m:rPr>
                    <m:t>−</m:t>
                  </m:r>
                  <m:r>
                    <m:t>1</m:t>
                  </m:r>
                </m:sup>
              </m:sSup>
            </m:sub>
            <m:sup>
              <m:r>
                <m:t>2</m:t>
              </m:r>
            </m:sup>
          </m:sSubSup>
          <m:r>
            <m:rPr>
              <m:sty m:val="p"/>
            </m:rPr>
            <m:t>.</m:t>
          </m:r>
        </m:oMath>
      </m:oMathPara>
    </w:p>
    <w:p>
      <w:pPr>
        <w:pStyle w:val="FirstParagraph"/>
      </w:pPr>
      <w:r>
        <w:t xml:space="preserve">MHE pairs naturally with MPC (dual estimation/control), and is discussed in MPC treatments</w:t>
      </w:r>
      <w:r>
        <w:t xml:space="preserve"> </w:t>
      </w:r>
      <w:hyperlink r:id="rId67">
        <w:r>
          <w:rPr>
            <w:rStyle w:val="Hyperlink"/>
          </w:rPr>
          <w:t xml:space="preserve">[45]</w:t>
        </w:r>
      </w:hyperlink>
      <w:r>
        <w:t xml:space="preserve">.</w:t>
      </w:r>
    </w:p>
    <w:p>
      <w:pPr>
        <w:pStyle w:val="BodyText"/>
      </w:pPr>
      <w:r>
        <w:rPr>
          <w:b/>
          <w:bCs/>
        </w:rPr>
        <w:t xml:space="preserve">Bundle adjustment (BA) as MAP estimation.</w:t>
      </w:r>
      <w:r>
        <w:t xml:space="preserve"> </w:t>
      </w:r>
      <w:r>
        <w:t xml:space="preserve">In multi-view RGB, BA refines camera poses and 3D structure by minimizing reprojection error; “Bundle Adjustment — A Modern Synthesis” remains a canonical survey</w:t>
      </w:r>
      <w:r>
        <w:t xml:space="preserve"> </w:t>
      </w:r>
      <w:hyperlink r:id="rId68">
        <w:r>
          <w:rPr>
            <w:rStyle w:val="Hyperlink"/>
          </w:rPr>
          <w:t xml:space="preserve">[46]</w:t>
        </w:r>
      </w:hyperlink>
      <w:r>
        <w:t xml:space="preserve">. A typical objective:</w:t>
      </w:r>
    </w:p>
    <w:p>
      <w:pPr>
        <w:pStyle w:val="BodyText"/>
      </w:pPr>
      <m:oMathPara>
        <m:oMathParaPr>
          <m:jc m:val="center"/>
        </m:oMathParaPr>
        <m:oMath>
          <m:limLow>
            <m:e>
              <m:r>
                <m:rPr>
                  <m:sty m:val="p"/>
                </m:rPr>
                <m:t>min</m:t>
              </m:r>
            </m:e>
            <m:lim>
              <m:r>
                <m:rPr>
                  <m:sty m:val="p"/>
                </m:rPr>
                <m:t>{</m:t>
              </m:r>
              <m:sSub>
                <m:e>
                  <m:r>
                    <m:t>R</m:t>
                  </m:r>
                </m:e>
                <m:sub>
                  <m:r>
                    <m:t>j</m:t>
                  </m:r>
                </m:sub>
              </m:sSub>
              <m:r>
                <m:rPr>
                  <m:sty m:val="p"/>
                </m:rPr>
                <m:t>,</m:t>
              </m:r>
              <m:sSub>
                <m:e>
                  <m:r>
                    <m:t>t</m:t>
                  </m:r>
                </m:e>
                <m:sub>
                  <m:r>
                    <m:t>j</m:t>
                  </m:r>
                </m:sub>
              </m:sSub>
              <m:r>
                <m:rPr>
                  <m:sty m:val="p"/>
                </m:rPr>
                <m:t>}</m:t>
              </m:r>
              <m:r>
                <m:rPr>
                  <m:sty m:val="p"/>
                </m:rPr>
                <m:t>,</m:t>
              </m:r>
              <m:r>
                <m:rPr>
                  <m:sty m:val="p"/>
                </m:rPr>
                <m:t>{</m:t>
              </m:r>
              <m:sSub>
                <m:e>
                  <m:r>
                    <m:t>X</m:t>
                  </m:r>
                </m:e>
                <m:sub>
                  <m:r>
                    <m:t>i</m:t>
                  </m:r>
                </m:sub>
              </m:sSub>
              <m:r>
                <m:rPr>
                  <m:sty m:val="p"/>
                </m:rPr>
                <m:t>}</m:t>
              </m:r>
            </m:lim>
          </m:limLow>
          <m:nary>
            <m:naryPr>
              <m:chr m:val="∑"/>
              <m:limLoc m:val="undOvr"/>
              <m:subHide m:val="off"/>
              <m:supHide m:val="on"/>
            </m:naryPr>
            <m:sub>
              <m:d>
                <m:dPr>
                  <m:begChr m:val="("/>
                  <m:sepChr m:val=""/>
                  <m:endChr m:val=")"/>
                  <m:grow/>
                </m:dPr>
                <m:e>
                  <m:r>
                    <m:t>i</m:t>
                  </m:r>
                  <m:r>
                    <m:rPr>
                      <m:sty m:val="p"/>
                    </m:rPr>
                    <m:t>,</m:t>
                  </m:r>
                  <m:r>
                    <m:t>j</m:t>
                  </m:r>
                </m:e>
              </m:d>
              <m:r>
                <m:rPr>
                  <m:sty m:val="p"/>
                </m:rPr>
                <m:t>∈</m:t>
              </m:r>
              <m:r>
                <m:rPr>
                  <m:sty m:val="p"/>
                  <m:scr m:val="script"/>
                </m:rPr>
                <m:t>E</m:t>
              </m:r>
            </m:sub>
            <m:sup>
              <m:r>
                <m:t>​</m:t>
              </m:r>
            </m:sup>
            <m:e>
              <m:r>
                <m:t>ρ</m:t>
              </m:r>
            </m:e>
          </m:nary>
          <m:r>
            <m:t>​</m:t>
          </m:r>
          <m:d>
            <m:dPr>
              <m:begChr m:val="("/>
              <m:sepChr m:val=""/>
              <m:endChr m:val=")"/>
              <m:grow/>
            </m:dPr>
            <m:e>
              <m:r>
                <m:rPr>
                  <m:sty m:val="p"/>
                </m:rPr>
                <m:t>∥</m:t>
              </m:r>
              <m:r>
                <m:t>π</m:t>
              </m:r>
              <m:d>
                <m:dPr>
                  <m:begChr m:val="("/>
                  <m:sepChr m:val=""/>
                  <m:endChr m:val=")"/>
                  <m:grow/>
                </m:dPr>
                <m:e>
                  <m:r>
                    <m:t>K</m:t>
                  </m:r>
                  <m:r>
                    <m:rPr>
                      <m:sty m:val="p"/>
                    </m:rPr>
                    <m:t>,</m:t>
                  </m:r>
                  <m:sSub>
                    <m:e>
                      <m:r>
                        <m:t>R</m:t>
                      </m:r>
                    </m:e>
                    <m:sub>
                      <m:r>
                        <m:t>j</m:t>
                      </m:r>
                    </m:sub>
                  </m:sSub>
                  <m:r>
                    <m:rPr>
                      <m:sty m:val="p"/>
                    </m:rPr>
                    <m:t>,</m:t>
                  </m:r>
                  <m:sSub>
                    <m:e>
                      <m:r>
                        <m:t>t</m:t>
                      </m:r>
                    </m:e>
                    <m:sub>
                      <m:r>
                        <m:t>j</m:t>
                      </m:r>
                    </m:sub>
                  </m:sSub>
                  <m:r>
                    <m:rPr>
                      <m:sty m:val="p"/>
                    </m:rPr>
                    <m:t>,</m:t>
                  </m:r>
                  <m:sSub>
                    <m:e>
                      <m:r>
                        <m:t>X</m:t>
                      </m:r>
                    </m:e>
                    <m:sub>
                      <m:r>
                        <m:t>i</m:t>
                      </m:r>
                    </m:sub>
                  </m:sSub>
                </m:e>
              </m:d>
              <m:r>
                <m:rPr>
                  <m:sty m:val="p"/>
                </m:rPr>
                <m:t>−</m:t>
              </m:r>
              <m:sSub>
                <m:e>
                  <m:r>
                    <m:t>u</m:t>
                  </m:r>
                </m:e>
                <m:sub>
                  <m:r>
                    <m:t>i</m:t>
                  </m:r>
                  <m:r>
                    <m:t>j</m:t>
                  </m:r>
                </m:sub>
              </m:sSub>
              <m:sSubSup>
                <m:e>
                  <m:r>
                    <m:rPr>
                      <m:sty m:val="p"/>
                    </m:rPr>
                    <m:t>∥</m:t>
                  </m:r>
                </m:e>
                <m:sub>
                  <m:sSubSup>
                    <m:e>
                      <m:r>
                        <m:t>Σ</m:t>
                      </m:r>
                    </m:e>
                    <m:sub>
                      <m:r>
                        <m:t>i</m:t>
                      </m:r>
                      <m:r>
                        <m:t>j</m:t>
                      </m:r>
                    </m:sub>
                    <m:sup>
                      <m:r>
                        <m:rPr>
                          <m:sty m:val="p"/>
                        </m:rPr>
                        <m:t>−</m:t>
                      </m:r>
                      <m:r>
                        <m:t>1</m:t>
                      </m:r>
                    </m:sup>
                  </m:sSubSup>
                </m:sub>
                <m:sup>
                  <m:r>
                    <m:t>2</m:t>
                  </m:r>
                </m:sup>
              </m:sSubSup>
            </m:e>
          </m:d>
          <m:r>
            <m:rPr>
              <m:sty m:val="p"/>
            </m:rPr>
            <m:t>,</m:t>
          </m:r>
        </m:oMath>
      </m:oMathPara>
    </w:p>
    <w:p>
      <w:pPr>
        <w:pStyle w:val="FirstParagraph"/>
      </w:pPr>
      <w:r>
        <w:t xml:space="preserve">where</w:t>
      </w:r>
      <w:r>
        <w:t xml:space="preserve"> </w:t>
      </w:r>
      <m:oMath>
        <m:r>
          <m:t>ρ</m:t>
        </m:r>
      </m:oMath>
      <w:r>
        <w:t xml:space="preserve"> </w:t>
      </w:r>
      <w:r>
        <w:t xml:space="preserve">is a robust loss. Production implementations often use nonlinear least squares libraries such as Ceres Solver</w:t>
      </w:r>
      <w:r>
        <w:t xml:space="preserve"> </w:t>
      </w:r>
      <w:hyperlink r:id="rId69">
        <w:r>
          <w:rPr>
            <w:rStyle w:val="Hyperlink"/>
          </w:rPr>
          <w:t xml:space="preserve">[47]</w:t>
        </w:r>
      </w:hyperlink>
      <w:r>
        <w:t xml:space="preserve">.</w:t>
      </w:r>
    </w:p>
    <w:bookmarkEnd w:id="70"/>
    <w:bookmarkEnd w:id="71"/>
    <w:bookmarkStart w:id="80" w:name="Xe573954727224f2de2b73831837450606c36b13"/>
    <w:p>
      <w:pPr>
        <w:pStyle w:val="Heading2"/>
      </w:pPr>
      <w:r>
        <w:t xml:space="preserve">Control designs for active sensing and robotic handling with stability sketches</w:t>
      </w:r>
    </w:p>
    <w:p>
      <w:pPr>
        <w:pStyle w:val="FirstParagraph"/>
      </w:pPr>
      <w:r>
        <w:t xml:space="preserve">A design report that “uses modern control theory” should not stop at estimation; it must specify how sensing/handling decisions are made, and why feedback policies are stable and robust under uncertainty.</w:t>
      </w:r>
    </w:p>
    <w:bookmarkStart w:id="73" w:name="X4ac7453dc56897d9aae3b0c145c45556a6a48a8"/>
    <w:p>
      <w:pPr>
        <w:pStyle w:val="Heading3"/>
      </w:pPr>
      <w:r>
        <w:t xml:space="preserve">Active sensing and Next-Best-View as optimal control / POMDP</w:t>
      </w:r>
    </w:p>
    <w:p>
      <w:pPr>
        <w:pStyle w:val="FirstParagraph"/>
      </w:pPr>
      <w:r>
        <w:rPr>
          <w:b/>
          <w:bCs/>
        </w:rPr>
        <w:t xml:space="preserve">Information-gain NBV formulation.</w:t>
      </w:r>
      <w:r>
        <w:t xml:space="preserve"> </w:t>
      </w:r>
      <w:r>
        <w:t xml:space="preserve">Active volumetric reconstruction can be framed as selecting the viewpoint</w:t>
      </w:r>
      <w:r>
        <w:t xml:space="preserve"> </w:t>
      </w:r>
      <m:oMath>
        <m:sSub>
          <m:e>
            <m:r>
              <m:t>u</m:t>
            </m:r>
          </m:e>
          <m:sub>
            <m:r>
              <m:t>k</m:t>
            </m:r>
          </m:sub>
        </m:sSub>
      </m:oMath>
      <w:r>
        <w:t xml:space="preserve"> </w:t>
      </w:r>
      <w:r>
        <w:t xml:space="preserve">that maximizes expected information gain (or minimizes expected posterior uncertainty) given current reconstruction state. An ICRA reference explicitly formulates NBV as information gain selection using feedback from partial reconstructions</w:t>
      </w:r>
      <w:r>
        <w:t xml:space="preserve"> </w:t>
      </w:r>
      <w:hyperlink r:id="rId28">
        <w:r>
          <w:rPr>
            <w:rStyle w:val="Hyperlink"/>
          </w:rPr>
          <w:t xml:space="preserve">[48]</w:t>
        </w:r>
      </w:hyperlink>
      <w:r>
        <w:t xml:space="preserve">. In a seed/grain scanner, action</w:t>
      </w:r>
      <w:r>
        <w:t xml:space="preserve"> </w:t>
      </w:r>
      <m:oMath>
        <m:sSub>
          <m:e>
            <m:r>
              <m:t>u</m:t>
            </m:r>
          </m:e>
          <m:sub>
            <m:r>
              <m:t>k</m:t>
            </m:r>
          </m:sub>
        </m:sSub>
      </m:oMath>
      <w:r>
        <w:t xml:space="preserve"> </w:t>
      </w:r>
      <w:r>
        <w:t xml:space="preserve">could be next robot pose or next turntable angle subset, constrained by cycle time.</w:t>
      </w:r>
    </w:p>
    <w:p>
      <w:pPr>
        <w:pStyle w:val="BodyText"/>
      </w:pPr>
      <w:r>
        <w:t xml:space="preserve">A common surrogate objective is to maximize expected reduction in entropy (or trace/det of covariance) of the shape/occupancy map:</w:t>
      </w:r>
    </w:p>
    <w:p>
      <w:pPr>
        <w:pStyle w:val="BodyText"/>
      </w:pPr>
      <m:oMathPara>
        <m:oMathParaPr>
          <m:jc m:val="center"/>
        </m:oMathParaPr>
        <m:oMath>
          <m:sSubSup>
            <m:e>
              <m:r>
                <m:t>u</m:t>
              </m:r>
            </m:e>
            <m:sub>
              <m:r>
                <m:t>k</m:t>
              </m:r>
            </m:sub>
            <m:sup>
              <m:r>
                <m:rPr>
                  <m:sty m:val="p"/>
                </m:rPr>
                <m:t>⋆</m:t>
              </m:r>
            </m:sup>
          </m:sSubSup>
          <m:r>
            <m:rPr>
              <m:sty m:val="p"/>
            </m:rPr>
            <m:t>=</m:t>
          </m:r>
          <m:r>
            <m:rPr>
              <m:sty m:val="p"/>
            </m:rPr>
            <m:t>arg</m:t>
          </m:r>
          <m:limLow>
            <m:e>
              <m:r>
                <m:rPr>
                  <m:sty m:val="p"/>
                </m:rPr>
                <m:t>max</m:t>
              </m:r>
            </m:e>
            <m:lim>
              <m:r>
                <m:t>u</m:t>
              </m:r>
              <m:r>
                <m:rPr>
                  <m:sty m:val="p"/>
                </m:rPr>
                <m:t>∈</m:t>
              </m:r>
              <m:r>
                <m:rPr>
                  <m:sty m:val="p"/>
                  <m:scr m:val="script"/>
                </m:rPr>
                <m:t>U</m:t>
              </m:r>
            </m:lim>
          </m:limLow>
          <m:r>
            <m:t> </m:t>
          </m:r>
          <m:r>
            <m:rPr>
              <m:sty m:val="p"/>
              <m:scr m:val="double-struck"/>
            </m:rPr>
            <m:t>E</m:t>
          </m:r>
          <m:d>
            <m:dPr>
              <m:begChr m:val="["/>
              <m:sepChr m:val=""/>
              <m:endChr m:val="]"/>
              <m:grow/>
            </m:dPr>
            <m:e>
              <m:r>
                <m:t>Δ</m:t>
              </m:r>
              <m:r>
                <m:rPr>
                  <m:sty m:val="p"/>
                  <m:scr m:val="script"/>
                </m:rPr>
                <m:t>H</m:t>
              </m:r>
              <m:r>
                <m:rPr>
                  <m:sty m:val="p"/>
                </m:rPr>
                <m:t>∣</m:t>
              </m:r>
              <m:r>
                <m:t>u</m:t>
              </m:r>
              <m:r>
                <m:rPr>
                  <m:sty m:val="p"/>
                </m:rPr>
                <m:t>,</m:t>
              </m:r>
              <m:r>
                <m:rPr>
                  <m:nor/>
                  <m:sty m:val="p"/>
                </m:rPr>
                <m:t>current map</m:t>
              </m:r>
            </m:e>
          </m:d>
          <m:r>
            <m:t> </m:t>
          </m:r>
          <m:r>
            <m:rPr>
              <m:nor/>
              <m:sty m:val="p"/>
            </m:rPr>
            <m:t>or</m:t>
          </m:r>
          <m:r>
            <m:t> </m:t>
          </m:r>
          <m:r>
            <m:rPr>
              <m:sty m:val="p"/>
            </m:rPr>
            <m:t>arg</m:t>
          </m:r>
          <m:limLow>
            <m:e>
              <m:r>
                <m:rPr>
                  <m:sty m:val="p"/>
                </m:rPr>
                <m:t>min</m:t>
              </m:r>
            </m:e>
            <m:lim>
              <m:r>
                <m:t>u</m:t>
              </m:r>
            </m:lim>
          </m:limLow>
          <m:r>
            <m:t> </m:t>
          </m:r>
          <m:r>
            <m:rPr>
              <m:sty m:val="p"/>
            </m:rPr>
            <m:t>t</m:t>
          </m:r>
          <m:r>
            <m:rPr>
              <m:sty m:val="p"/>
            </m:rPr>
            <m:t>r</m:t>
          </m:r>
          <m:r>
            <m:t> </m:t>
          </m:r>
          <m:sSubSup>
            <m:e>
              <m:r>
                <m:t>P</m:t>
              </m:r>
            </m:e>
            <m:sub>
              <m:r>
                <m:t>k</m:t>
              </m:r>
              <m:r>
                <m:rPr>
                  <m:sty m:val="p"/>
                </m:rPr>
                <m:t>+</m:t>
              </m:r>
              <m:r>
                <m:t>1</m:t>
              </m:r>
            </m:sub>
            <m:sup>
              <m:r>
                <m:rPr>
                  <m:nor/>
                  <m:sty m:val="p"/>
                </m:rPr>
                <m:t>shape</m:t>
              </m:r>
            </m:sup>
          </m:sSubSup>
          <m:d>
            <m:dPr>
              <m:begChr m:val="("/>
              <m:sepChr m:val=""/>
              <m:endChr m:val=")"/>
              <m:grow/>
            </m:dPr>
            <m:e>
              <m:r>
                <m:t>u</m:t>
              </m:r>
            </m:e>
          </m:d>
          <m:r>
            <m:rPr>
              <m:sty m:val="p"/>
            </m:rPr>
            <m:t>.</m:t>
          </m:r>
        </m:oMath>
      </m:oMathPara>
    </w:p>
    <w:p>
      <w:pPr>
        <w:pStyle w:val="FirstParagraph"/>
      </w:pPr>
      <w:r>
        <w:t xml:space="preserve">This marries directly with KF/UKF covariance propagation.</w:t>
      </w:r>
    </w:p>
    <w:p>
      <w:pPr>
        <w:pStyle w:val="BodyText"/>
      </w:pPr>
      <w:r>
        <w:rPr>
          <w:b/>
          <w:bCs/>
        </w:rPr>
        <w:t xml:space="preserve">RL/POMDP perspective.</w:t>
      </w:r>
      <w:r>
        <w:t xml:space="preserve"> </w:t>
      </w:r>
      <w:r>
        <w:t xml:space="preserve">In more complex occlusion regimes (e.g., grains in clutter, imperfect singulation), active vision can be treated as a POMDP, with learned policies. Recent surveys discuss active vision and NBV strategy taxonomies, indicating maturation from handcrafted criteria to learning-driven methods</w:t>
      </w:r>
      <w:r>
        <w:t xml:space="preserve"> </w:t>
      </w:r>
      <w:hyperlink r:id="rId72">
        <w:r>
          <w:rPr>
            <w:rStyle w:val="Hyperlink"/>
          </w:rPr>
          <w:t xml:space="preserve">[49]</w:t>
        </w:r>
      </w:hyperlink>
      <w:r>
        <w:t xml:space="preserve">.</w:t>
      </w:r>
    </w:p>
    <w:bookmarkEnd w:id="73"/>
    <w:bookmarkStart w:id="77" w:name="X9aafd0ac36f9a83f3b3a633e735a9c170edab45"/>
    <w:p>
      <w:pPr>
        <w:pStyle w:val="Heading3"/>
      </w:pPr>
      <w:r>
        <w:t xml:space="preserve">Motion control and scheduling: MPC, robust control, adaptive control</w:t>
      </w:r>
    </w:p>
    <w:p>
      <w:pPr>
        <w:pStyle w:val="FirstParagraph"/>
      </w:pPr>
      <w:r>
        <w:rPr>
          <w:b/>
          <w:bCs/>
        </w:rPr>
        <w:t xml:space="preserve">Model Predictive Control (MPC).</w:t>
      </w:r>
      <w:r>
        <w:t xml:space="preserve"> </w:t>
      </w:r>
      <w:r>
        <w:t xml:space="preserve">MPC solves constrained finite-horizon optimal control repeatedly:</w:t>
      </w:r>
    </w:p>
    <w:p>
      <w:pPr>
        <w:pStyle w:val="BodyText"/>
      </w:pPr>
      <m:oMathPara>
        <m:oMathParaPr>
          <m:jc m:val="center"/>
        </m:oMathParaPr>
        <m:oMath>
          <m:limLow>
            <m:e>
              <m:r>
                <m:rPr>
                  <m:sty m:val="p"/>
                </m:rPr>
                <m:t>min</m:t>
              </m:r>
            </m:e>
            <m:lim>
              <m:sSub>
                <m:e>
                  <m:r>
                    <m:t>u</m:t>
                  </m:r>
                </m:e>
                <m:sub>
                  <m:r>
                    <m:t>0</m:t>
                  </m:r>
                  <m:r>
                    <m:rPr>
                      <m:sty m:val="p"/>
                    </m:rPr>
                    <m:t>:</m:t>
                  </m:r>
                  <m:r>
                    <m:t>N</m:t>
                  </m:r>
                  <m:r>
                    <m:rPr>
                      <m:sty m:val="p"/>
                    </m:rPr>
                    <m:t>−</m:t>
                  </m:r>
                  <m:r>
                    <m:t>1</m:t>
                  </m:r>
                </m:sub>
              </m:sSub>
            </m:lim>
          </m:limLow>
          <m:nary>
            <m:naryPr>
              <m:chr m:val="∑"/>
              <m:limLoc m:val="undOvr"/>
              <m:subHide m:val="off"/>
              <m:supHide m:val="off"/>
            </m:naryPr>
            <m:sub>
              <m:r>
                <m:t>i</m:t>
              </m:r>
              <m:r>
                <m:rPr>
                  <m:sty m:val="p"/>
                </m:rPr>
                <m:t>=</m:t>
              </m:r>
              <m:r>
                <m:t>0</m:t>
              </m:r>
            </m:sub>
            <m:sup>
              <m:r>
                <m:t>N</m:t>
              </m:r>
              <m:r>
                <m:rPr>
                  <m:sty m:val="p"/>
                </m:rPr>
                <m:t>−</m:t>
              </m:r>
              <m:r>
                <m:t>1</m:t>
              </m:r>
            </m:sup>
            <m:e>
              <m:r>
                <m:rPr>
                  <m:sty m:val="p"/>
                </m:rPr>
                <m:t>ℓ</m:t>
              </m:r>
            </m:e>
          </m:nary>
          <m:d>
            <m:dPr>
              <m:begChr m:val="("/>
              <m:sepChr m:val=""/>
              <m:endChr m:val=")"/>
              <m:grow/>
            </m:dPr>
            <m:e>
              <m:sSub>
                <m:e>
                  <m:r>
                    <m:t>x</m:t>
                  </m:r>
                </m:e>
                <m:sub>
                  <m:r>
                    <m:t>i</m:t>
                  </m:r>
                </m:sub>
              </m:sSub>
              <m:r>
                <m:rPr>
                  <m:sty m:val="p"/>
                </m:rPr>
                <m:t>,</m:t>
              </m:r>
              <m:sSub>
                <m:e>
                  <m:r>
                    <m:t>u</m:t>
                  </m:r>
                </m:e>
                <m:sub>
                  <m:r>
                    <m:t>i</m:t>
                  </m:r>
                </m:sub>
              </m:sSub>
            </m:e>
          </m:d>
          <m:r>
            <m:rPr>
              <m:sty m:val="p"/>
            </m:rPr>
            <m:t>+</m:t>
          </m:r>
          <m:sSub>
            <m:e>
              <m:r>
                <m:t>V</m:t>
              </m:r>
            </m:e>
            <m:sub>
              <m:r>
                <m:t>f</m:t>
              </m:r>
            </m:sub>
          </m:sSub>
          <m:d>
            <m:dPr>
              <m:begChr m:val="("/>
              <m:sepChr m:val=""/>
              <m:endChr m:val=")"/>
              <m:grow/>
            </m:dPr>
            <m:e>
              <m:sSub>
                <m:e>
                  <m:r>
                    <m:t>x</m:t>
                  </m:r>
                </m:e>
                <m:sub>
                  <m:r>
                    <m:t>N</m:t>
                  </m:r>
                </m:sub>
              </m:sSub>
            </m:e>
          </m:d>
          <m:r>
            <m:t> </m:t>
          </m:r>
          <m:r>
            <m:rPr>
              <m:nor/>
              <m:sty m:val="p"/>
            </m:rPr>
            <m:t>s.t.</m:t>
          </m:r>
          <m:r>
            <m:t> </m:t>
          </m:r>
          <m:sSub>
            <m:e>
              <m:r>
                <m:t>x</m:t>
              </m:r>
            </m:e>
            <m:sub>
              <m:r>
                <m:t>i</m:t>
              </m:r>
              <m:r>
                <m:rPr>
                  <m:sty m:val="p"/>
                </m:rPr>
                <m:t>+</m:t>
              </m:r>
              <m:r>
                <m:t>1</m:t>
              </m:r>
            </m:sub>
          </m:sSub>
          <m:r>
            <m:rPr>
              <m:sty m:val="p"/>
            </m:rPr>
            <m:t>=</m:t>
          </m:r>
          <m:r>
            <m:t>f</m:t>
          </m:r>
          <m:d>
            <m:dPr>
              <m:begChr m:val="("/>
              <m:sepChr m:val=""/>
              <m:endChr m:val=")"/>
              <m:grow/>
            </m:dPr>
            <m:e>
              <m:sSub>
                <m:e>
                  <m:r>
                    <m:t>x</m:t>
                  </m:r>
                </m:e>
                <m:sub>
                  <m:r>
                    <m:t>i</m:t>
                  </m:r>
                </m:sub>
              </m:sSub>
              <m:r>
                <m:rPr>
                  <m:sty m:val="p"/>
                </m:rPr>
                <m:t>,</m:t>
              </m:r>
              <m:sSub>
                <m:e>
                  <m:r>
                    <m:t>u</m:t>
                  </m:r>
                </m:e>
                <m:sub>
                  <m:r>
                    <m:t>i</m:t>
                  </m:r>
                </m:sub>
              </m:sSub>
            </m:e>
          </m:d>
          <m:r>
            <m:rPr>
              <m:sty m:val="p"/>
            </m:rPr>
            <m:t>,</m:t>
          </m:r>
          <m:r>
            <m:t> </m:t>
          </m:r>
          <m:sSub>
            <m:e>
              <m:r>
                <m:t>x</m:t>
              </m:r>
            </m:e>
            <m:sub>
              <m:r>
                <m:t>i</m:t>
              </m:r>
            </m:sub>
          </m:sSub>
          <m:r>
            <m:rPr>
              <m:sty m:val="p"/>
            </m:rPr>
            <m:t>∈</m:t>
          </m:r>
          <m:r>
            <m:rPr>
              <m:sty m:val="p"/>
              <m:scr m:val="script"/>
            </m:rPr>
            <m:t>X</m:t>
          </m:r>
          <m:r>
            <m:rPr>
              <m:sty m:val="p"/>
            </m:rPr>
            <m:t>,</m:t>
          </m:r>
          <m:r>
            <m:t> </m:t>
          </m:r>
          <m:sSub>
            <m:e>
              <m:r>
                <m:t>u</m:t>
              </m:r>
            </m:e>
            <m:sub>
              <m:r>
                <m:t>i</m:t>
              </m:r>
            </m:sub>
          </m:sSub>
          <m:r>
            <m:rPr>
              <m:sty m:val="p"/>
            </m:rPr>
            <m:t>∈</m:t>
          </m:r>
          <m:r>
            <m:rPr>
              <m:sty m:val="p"/>
              <m:scr m:val="script"/>
            </m:rPr>
            <m:t>U</m:t>
          </m:r>
          <m:r>
            <m:rPr>
              <m:sty m:val="p"/>
            </m:rPr>
            <m:t>.</m:t>
          </m:r>
        </m:oMath>
      </m:oMathPara>
    </w:p>
    <w:p>
      <w:pPr>
        <w:pStyle w:val="FirstParagraph"/>
      </w:pPr>
      <w:r>
        <w:t xml:space="preserve">A comprehensive reference with stability treatment is Rawlings, Mayne, and Diehl’s MPC text</w:t>
      </w:r>
      <w:r>
        <w:t xml:space="preserve"> </w:t>
      </w:r>
      <w:hyperlink r:id="rId67">
        <w:r>
          <w:rPr>
            <w:rStyle w:val="Hyperlink"/>
          </w:rPr>
          <w:t xml:space="preserve">[50]</w:t>
        </w:r>
      </w:hyperlink>
      <w:r>
        <w:t xml:space="preserve">.</w:t>
      </w:r>
    </w:p>
    <w:p>
      <w:pPr>
        <w:pStyle w:val="BodyText"/>
      </w:pPr>
      <w:r>
        <w:rPr>
          <w:b/>
          <w:bCs/>
        </w:rPr>
        <w:t xml:space="preserve">Stability sketch for MPC (nominal).</w:t>
      </w:r>
      <w:r>
        <w:t xml:space="preserve"> </w:t>
      </w:r>
      <w:r>
        <w:t xml:space="preserve">If you choose a terminal cost</w:t>
      </w:r>
      <w:r>
        <w:t xml:space="preserve"> </w:t>
      </w:r>
      <m:oMath>
        <m:sSub>
          <m:e>
            <m:r>
              <m:t>V</m:t>
            </m:r>
          </m:e>
          <m:sub>
            <m:r>
              <m:t>f</m:t>
            </m:r>
          </m:sub>
        </m:sSub>
        <m:d>
          <m:dPr>
            <m:begChr m:val="("/>
            <m:sepChr m:val=""/>
            <m:endChr m:val=")"/>
            <m:grow/>
          </m:dPr>
          <m:e>
            <m:r>
              <m:t>x</m:t>
            </m:r>
          </m:e>
        </m:d>
        <m:r>
          <m:rPr>
            <m:sty m:val="p"/>
          </m:rPr>
          <m:t>=</m:t>
        </m:r>
        <m:sSup>
          <m:e>
            <m:r>
              <m:t>x</m:t>
            </m:r>
          </m:e>
          <m:sup>
            <m:r>
              <m:rPr>
                <m:sty m:val="p"/>
              </m:rPr>
              <m:t>⊤</m:t>
            </m:r>
          </m:sup>
        </m:sSup>
        <m:r>
          <m:t>P</m:t>
        </m:r>
        <m:r>
          <m:t>x</m:t>
        </m:r>
      </m:oMath>
      <w:r>
        <w:t xml:space="preserve"> </w:t>
      </w:r>
      <w:r>
        <w:t xml:space="preserve">and a terminal set</w:t>
      </w:r>
      <w:r>
        <w:t xml:space="preserve"> </w:t>
      </w:r>
      <m:oMath>
        <m:sSub>
          <m:e>
            <m:r>
              <m:rPr>
                <m:sty m:val="p"/>
                <m:scr m:val="script"/>
              </m:rPr>
              <m:t>X</m:t>
            </m:r>
          </m:e>
          <m:sub>
            <m:r>
              <m:t>f</m:t>
            </m:r>
          </m:sub>
        </m:sSub>
      </m:oMath>
      <w:r>
        <w:t xml:space="preserve"> </w:t>
      </w:r>
      <w:r>
        <w:t xml:space="preserve">such that:</w:t>
      </w:r>
      <w:r>
        <w:t xml:space="preserve"> </w:t>
      </w:r>
      <w:r>
        <w:t xml:space="preserve">-</w:t>
      </w:r>
      <w:r>
        <w:t xml:space="preserve"> </w:t>
      </w:r>
      <m:oMath>
        <m:sSub>
          <m:e>
            <m:r>
              <m:t>V</m:t>
            </m:r>
          </m:e>
          <m:sub>
            <m:r>
              <m:t>f</m:t>
            </m:r>
          </m:sub>
        </m:sSub>
      </m:oMath>
      <w:r>
        <w:t xml:space="preserve"> </w:t>
      </w:r>
      <w:r>
        <w:t xml:space="preserve">is a Lyapunov function for a local stabilizing controller</w:t>
      </w:r>
      <w:r>
        <w:t xml:space="preserve"> </w:t>
      </w:r>
      <m:oMath>
        <m:r>
          <m:t>u</m:t>
        </m:r>
        <m:r>
          <m:rPr>
            <m:sty m:val="p"/>
          </m:rPr>
          <m:t>=</m:t>
        </m:r>
        <m:r>
          <m:t>κ</m:t>
        </m:r>
        <m:d>
          <m:dPr>
            <m:begChr m:val="("/>
            <m:sepChr m:val=""/>
            <m:endChr m:val=")"/>
            <m:grow/>
          </m:dPr>
          <m:e>
            <m:r>
              <m:t>x</m:t>
            </m:r>
          </m:e>
        </m:d>
      </m:oMath>
      <w:r>
        <w:t xml:space="preserve"> </w:t>
      </w:r>
      <w:r>
        <w:t xml:space="preserve">on</w:t>
      </w:r>
      <w:r>
        <w:t xml:space="preserve"> </w:t>
      </w:r>
      <m:oMath>
        <m:sSub>
          <m:e>
            <m:r>
              <m:rPr>
                <m:sty m:val="p"/>
                <m:scr m:val="script"/>
              </m:rPr>
              <m:t>X</m:t>
            </m:r>
          </m:e>
          <m:sub>
            <m:r>
              <m:t>f</m:t>
            </m:r>
          </m:sub>
        </m:sSub>
      </m:oMath>
      <w:r>
        <w:t xml:space="preserve">,</w:t>
      </w:r>
      <w:r>
        <w:t xml:space="preserve"> </w:t>
      </w:r>
      <w:r>
        <w:t xml:space="preserve">- and the terminal constraint enforces</w:t>
      </w:r>
      <w:r>
        <w:t xml:space="preserve"> </w:t>
      </w:r>
      <m:oMath>
        <m:sSub>
          <m:e>
            <m:r>
              <m:t>x</m:t>
            </m:r>
          </m:e>
          <m:sub>
            <m:r>
              <m:t>N</m:t>
            </m:r>
          </m:sub>
        </m:sSub>
        <m:r>
          <m:rPr>
            <m:sty m:val="p"/>
          </m:rPr>
          <m:t>∈</m:t>
        </m:r>
        <m:sSub>
          <m:e>
            <m:r>
              <m:rPr>
                <m:sty m:val="p"/>
                <m:scr m:val="script"/>
              </m:rPr>
              <m:t>X</m:t>
            </m:r>
          </m:e>
          <m:sub>
            <m:r>
              <m:t>f</m:t>
            </m:r>
          </m:sub>
        </m:sSub>
      </m:oMath>
      <w:r>
        <w:t xml:space="preserve">,</w:t>
      </w:r>
      <w:r>
        <w:t xml:space="preserve"> </w:t>
      </w:r>
      <w:r>
        <w:t xml:space="preserve">then the receding-horizon cost is non-increasing and closed-loop stability follows (standard MPC Lyapunov argument)</w:t>
      </w:r>
      <w:r>
        <w:t xml:space="preserve"> </w:t>
      </w:r>
      <w:hyperlink r:id="rId67">
        <w:r>
          <w:rPr>
            <w:rStyle w:val="Hyperlink"/>
          </w:rPr>
          <w:t xml:space="preserve">[45]</w:t>
        </w:r>
      </w:hyperlink>
      <w:r>
        <w:t xml:space="preserve">.</w:t>
      </w:r>
    </w:p>
    <w:p>
      <w:pPr>
        <w:pStyle w:val="BodyText"/>
      </w:pPr>
      <w:r>
        <w:t xml:space="preserve">In a grain phenotyping line, MPC is most appropriate for:</w:t>
      </w:r>
      <w:r>
        <w:t xml:space="preserve"> </w:t>
      </w:r>
      <w:r>
        <w:t xml:space="preserve">- robot motion planning under collision/velocity limits,</w:t>
      </w:r>
      <w:r>
        <w:t xml:space="preserve"> </w:t>
      </w:r>
      <w:r>
        <w:t xml:space="preserve">- conveyor speed regulation to meet exposure constraints,</w:t>
      </w:r>
      <w:r>
        <w:t xml:space="preserve"> </w:t>
      </w:r>
      <w:r>
        <w:t xml:space="preserve">- scheduling multi-sensor acquisitions to satisfy latency constraints.</w:t>
      </w:r>
    </w:p>
    <w:p>
      <w:pPr>
        <w:pStyle w:val="BodyText"/>
      </w:pPr>
      <w:r>
        <w:rPr>
          <w:b/>
          <w:bCs/>
        </w:rPr>
        <w:t xml:space="preserve">Robust control (small gain /</w:t>
      </w:r>
      <w:r>
        <w:rPr>
          <w:b/>
          <w:bCs/>
        </w:rPr>
        <w:t xml:space="preserve"> </w:t>
      </w:r>
      <m:oMath>
        <m:sSub>
          <m:e>
            <m:r>
              <m:t>H</m:t>
            </m:r>
          </m:e>
          <m:sub>
            <m:r>
              <m:rPr>
                <m:sty m:val="p"/>
              </m:rPr>
              <m:t>∞</m:t>
            </m:r>
          </m:sub>
        </m:sSub>
      </m:oMath>
      <w:r>
        <w:rPr>
          <w:b/>
          <w:bCs/>
        </w:rPr>
        <w:t xml:space="preserve">).</w:t>
      </w:r>
      <w:r>
        <w:t xml:space="preserve"> </w:t>
      </w:r>
      <w:r>
        <w:t xml:space="preserve">When plant/model mismatch is significant (e.g., slip variability, illumination drift), robust stability can be justified via the small gain theorem. Lecture materials on robust control explicitly cover</w:t>
      </w:r>
      <w:r>
        <w:t xml:space="preserve"> </w:t>
      </w:r>
      <m:oMath>
        <m:sSub>
          <m:e>
            <m:r>
              <m:t>H</m:t>
            </m:r>
          </m:e>
          <m:sub>
            <m:r>
              <m:rPr>
                <m:sty m:val="p"/>
              </m:rPr>
              <m:t>∞</m:t>
            </m:r>
          </m:sub>
        </m:sSub>
      </m:oMath>
      <w:r>
        <w:t xml:space="preserve"> </w:t>
      </w:r>
      <w:r>
        <w:t xml:space="preserve">norms, robust stability claims, and small gain theorem proofs</w:t>
      </w:r>
      <w:r>
        <w:t xml:space="preserve"> </w:t>
      </w:r>
      <w:hyperlink r:id="rId74">
        <w:r>
          <w:rPr>
            <w:rStyle w:val="Hyperlink"/>
          </w:rPr>
          <w:t xml:space="preserve">[51]</w:t>
        </w:r>
      </w:hyperlink>
      <w:r>
        <w:t xml:space="preserve">. In report form, you can present a sketch:</w:t>
      </w:r>
    </w:p>
    <w:p>
      <w:pPr>
        <w:pStyle w:val="BodyText"/>
      </w:pPr>
      <w:r>
        <w:t xml:space="preserve">If the uncertainty block</w:t>
      </w:r>
      <w:r>
        <w:t xml:space="preserve"> </w:t>
      </w:r>
      <m:oMath>
        <m:r>
          <m:t>Δ</m:t>
        </m:r>
      </m:oMath>
      <w:r>
        <w:t xml:space="preserve"> </w:t>
      </w:r>
      <w:r>
        <w:t xml:space="preserve">has induced gain</w:t>
      </w:r>
      <w:r>
        <w:t xml:space="preserve"> </w:t>
      </w:r>
      <m:oMath>
        <m:r>
          <m:rPr>
            <m:sty m:val="p"/>
          </m:rPr>
          <m:t>∥</m:t>
        </m:r>
        <m:r>
          <m:t>Δ</m:t>
        </m:r>
        <m:sSub>
          <m:e>
            <m:r>
              <m:rPr>
                <m:sty m:val="p"/>
              </m:rPr>
              <m:t>∥</m:t>
            </m:r>
          </m:e>
          <m:sub>
            <m:r>
              <m:rPr>
                <m:sty m:val="p"/>
              </m:rPr>
              <m:t>∞</m:t>
            </m:r>
          </m:sub>
        </m:sSub>
        <m:r>
          <m:rPr>
            <m:sty m:val="p"/>
          </m:rPr>
          <m:t>≤</m:t>
        </m:r>
        <m:r>
          <m:t>1</m:t>
        </m:r>
      </m:oMath>
      <w:r>
        <w:t xml:space="preserve">, and the nominal closed-loop transfer from uncertainty input to output has gain</w:t>
      </w:r>
      <w:r>
        <w:t xml:space="preserve"> </w:t>
      </w:r>
      <m:oMath>
        <m:r>
          <m:rPr>
            <m:sty m:val="p"/>
          </m:rPr>
          <m:t>∥</m:t>
        </m:r>
        <m:r>
          <m:t>M</m:t>
        </m:r>
        <m:sSub>
          <m:e>
            <m:r>
              <m:rPr>
                <m:sty m:val="p"/>
              </m:rPr>
              <m:t>∥</m:t>
            </m:r>
          </m:e>
          <m:sub>
            <m:r>
              <m:rPr>
                <m:sty m:val="p"/>
              </m:rPr>
              <m:t>∞</m:t>
            </m:r>
          </m:sub>
        </m:sSub>
        <m:r>
          <m:rPr>
            <m:sty m:val="p"/>
          </m:rPr>
          <m:t>&lt;</m:t>
        </m:r>
        <m:r>
          <m:t>1</m:t>
        </m:r>
      </m:oMath>
      <w:r>
        <w:t xml:space="preserve">, then the interconnection is robustly stable (by small gain).</w:t>
      </w:r>
      <w:r>
        <w:t xml:space="preserve"> </w:t>
      </w:r>
      <w:hyperlink r:id="rId74">
        <w:r>
          <w:rPr>
            <w:rStyle w:val="Hyperlink"/>
          </w:rPr>
          <w:t xml:space="preserve">[51]</w:t>
        </w:r>
      </w:hyperlink>
    </w:p>
    <w:p>
      <w:pPr>
        <w:pStyle w:val="BodyText"/>
      </w:pPr>
      <w:r>
        <w:rPr>
          <w:b/>
          <w:bCs/>
        </w:rPr>
        <w:t xml:space="preserve">Adaptive control (MRAC) for handling variability.</w:t>
      </w:r>
      <w:r>
        <w:t xml:space="preserve"> </w:t>
      </w:r>
      <w:r>
        <w:t xml:space="preserve">Adaptive control is useful when system parameters vary across grains/samples (friction, mass) and you can measure tracking error. MRAC design via Lyapunov arguments is covered in adaptive control lecture notes</w:t>
      </w:r>
      <w:r>
        <w:t xml:space="preserve"> </w:t>
      </w:r>
      <w:hyperlink r:id="rId75">
        <w:r>
          <w:rPr>
            <w:rStyle w:val="Hyperlink"/>
          </w:rPr>
          <w:t xml:space="preserve">[52]</w:t>
        </w:r>
      </w:hyperlink>
      <w:r>
        <w:t xml:space="preserve"> </w:t>
      </w:r>
      <w:r>
        <w:t xml:space="preserve">and in applied stability-proof references (e.g., predictor-based MRAC with Lyapunov stability analysis)</w:t>
      </w:r>
      <w:r>
        <w:t xml:space="preserve"> </w:t>
      </w:r>
      <w:hyperlink r:id="rId76">
        <w:r>
          <w:rPr>
            <w:rStyle w:val="Hyperlink"/>
          </w:rPr>
          <w:t xml:space="preserve">[53]</w:t>
        </w:r>
      </w:hyperlink>
      <w:r>
        <w:t xml:space="preserve">. In grain handling, adaptive control can stabilize pick-and-place or turntable speed under load changes without hand-tuning every scenario.</w:t>
      </w:r>
    </w:p>
    <w:bookmarkEnd w:id="77"/>
    <w:bookmarkStart w:id="79" w:name="Xcb3e54149371a72de2e08573a2065e75c1de36b"/>
    <w:p>
      <w:pPr>
        <w:pStyle w:val="Heading3"/>
      </w:pPr>
      <w:r>
        <w:t xml:space="preserve">LQR/LQG as baseline stabilizers (and why they matter here)</w:t>
      </w:r>
    </w:p>
    <w:p>
      <w:pPr>
        <w:pStyle w:val="FirstParagraph"/>
      </w:pPr>
      <w:r>
        <w:t xml:space="preserve">For linearized handling dynamics</w:t>
      </w:r>
      <w:r>
        <w:t xml:space="preserve"> </w:t>
      </w:r>
      <m:oMath>
        <m:acc>
          <m:accPr>
            <m:chr m:val="̇"/>
          </m:accPr>
          <m:e>
            <m:r>
              <m:t>x</m:t>
            </m:r>
          </m:e>
        </m:acc>
        <m:r>
          <m:rPr>
            <m:sty m:val="p"/>
          </m:rPr>
          <m:t>=</m:t>
        </m:r>
        <m:r>
          <m:t>A</m:t>
        </m:r>
        <m:r>
          <m:t>x</m:t>
        </m:r>
        <m:r>
          <m:rPr>
            <m:sty m:val="p"/>
          </m:rPr>
          <m:t>+</m:t>
        </m:r>
        <m:r>
          <m:t>B</m:t>
        </m:r>
        <m:r>
          <m:t>u</m:t>
        </m:r>
      </m:oMath>
      <w:r>
        <w:t xml:space="preserve">, the continuous-time LQR minimizes:</w:t>
      </w:r>
    </w:p>
    <w:p>
      <w:pPr>
        <w:pStyle w:val="BodyText"/>
      </w:pPr>
      <m:oMathPara>
        <m:oMathParaPr>
          <m:jc m:val="center"/>
        </m:oMathParaPr>
        <m:oMath>
          <m:r>
            <m:t>J</m:t>
          </m:r>
          <m:r>
            <m:rPr>
              <m:sty m:val="p"/>
            </m:rPr>
            <m:t>=</m:t>
          </m:r>
          <m:nary>
            <m:naryPr>
              <m:chr m:val="∫"/>
              <m:limLoc m:val="subSup"/>
              <m:subHide m:val="off"/>
              <m:supHide m:val="off"/>
            </m:naryPr>
            <m:sub>
              <m:r>
                <m:t>0</m:t>
              </m:r>
            </m:sub>
            <m:sup>
              <m:r>
                <m:rPr>
                  <m:sty m:val="p"/>
                </m:rPr>
                <m:t>∞</m:t>
              </m:r>
            </m:sup>
            <m:e>
              <m:d>
                <m:dPr>
                  <m:begChr m:val="("/>
                  <m:sepChr m:val=""/>
                  <m:endChr m:val=")"/>
                  <m:grow/>
                </m:dPr>
                <m:e>
                  <m:sSup>
                    <m:e>
                      <m:r>
                        <m:t>x</m:t>
                      </m:r>
                    </m:e>
                    <m:sup>
                      <m:r>
                        <m:rPr>
                          <m:sty m:val="p"/>
                        </m:rPr>
                        <m:t>⊤</m:t>
                      </m:r>
                    </m:sup>
                  </m:sSup>
                  <m:r>
                    <m:t>Q</m:t>
                  </m:r>
                  <m:r>
                    <m:t>x</m:t>
                  </m:r>
                  <m:r>
                    <m:rPr>
                      <m:sty m:val="p"/>
                    </m:rPr>
                    <m:t>+</m:t>
                  </m:r>
                  <m:sSup>
                    <m:e>
                      <m:r>
                        <m:t>u</m:t>
                      </m:r>
                    </m:e>
                    <m:sup>
                      <m:r>
                        <m:rPr>
                          <m:sty m:val="p"/>
                        </m:rPr>
                        <m:t>⊤</m:t>
                      </m:r>
                    </m:sup>
                  </m:sSup>
                  <m:r>
                    <m:t>R</m:t>
                  </m:r>
                  <m:r>
                    <m:t>u</m:t>
                  </m:r>
                </m:e>
              </m:d>
            </m:e>
          </m:nary>
          <m:r>
            <m:t> </m:t>
          </m:r>
          <m:r>
            <m:t>d</m:t>
          </m:r>
          <m:r>
            <m:t>t</m:t>
          </m:r>
        </m:oMath>
      </m:oMathPara>
    </w:p>
    <w:p>
      <w:pPr>
        <w:pStyle w:val="FirstParagraph"/>
      </w:pPr>
      <w:r>
        <w:t xml:space="preserve">and yields</w:t>
      </w:r>
      <w:r>
        <w:t xml:space="preserve"> </w:t>
      </w:r>
      <m:oMath>
        <m:sSup>
          <m:e>
            <m:r>
              <m:t>u</m:t>
            </m:r>
          </m:e>
          <m:sup>
            <m:r>
              <m:rPr>
                <m:sty m:val="p"/>
              </m:rPr>
              <m:t>⋆</m:t>
            </m:r>
          </m:sup>
        </m:sSup>
        <m:r>
          <m:rPr>
            <m:sty m:val="p"/>
          </m:rPr>
          <m:t>=</m:t>
        </m:r>
        <m:r>
          <m:rPr>
            <m:sty m:val="p"/>
          </m:rPr>
          <m:t>−</m:t>
        </m:r>
        <m:r>
          <m:t>K</m:t>
        </m:r>
        <m:r>
          <m:t>x</m:t>
        </m:r>
      </m:oMath>
      <w:r>
        <w:t xml:space="preserve"> </w:t>
      </w:r>
      <w:r>
        <w:t xml:space="preserve">with</w:t>
      </w:r>
      <w:r>
        <w:t xml:space="preserve"> </w:t>
      </w:r>
      <m:oMath>
        <m:r>
          <m:t>K</m:t>
        </m:r>
      </m:oMath>
      <w:r>
        <w:t xml:space="preserve"> </w:t>
      </w:r>
      <w:r>
        <w:t xml:space="preserve">derived from the Algebraic Riccati Equation. Standard LQR lecture notes provide the Riccati-based solution and conditions for stability (stabilizability/detectability)</w:t>
      </w:r>
      <w:r>
        <w:t xml:space="preserve"> </w:t>
      </w:r>
      <w:hyperlink r:id="rId78">
        <w:r>
          <w:rPr>
            <w:rStyle w:val="Hyperlink"/>
          </w:rPr>
          <w:t xml:space="preserve">[54]</w:t>
        </w:r>
      </w:hyperlink>
      <w:r>
        <w:t xml:space="preserve">. LQR/LQG serve as:</w:t>
      </w:r>
      <w:r>
        <w:t xml:space="preserve"> </w:t>
      </w:r>
      <w:r>
        <w:t xml:space="preserve">-</w:t>
      </w:r>
      <w:r>
        <w:t xml:space="preserve"> </w:t>
      </w:r>
      <w:r>
        <w:rPr>
          <w:b/>
          <w:bCs/>
        </w:rPr>
        <w:t xml:space="preserve">inner-loop stabilizers</w:t>
      </w:r>
      <w:r>
        <w:t xml:space="preserve"> </w:t>
      </w:r>
      <w:r>
        <w:t xml:space="preserve">for robot joints or conveyor motion,</w:t>
      </w:r>
      <w:r>
        <w:t xml:space="preserve"> </w:t>
      </w:r>
      <w:r>
        <w:t xml:space="preserve">-</w:t>
      </w:r>
      <w:r>
        <w:t xml:space="preserve"> </w:t>
      </w:r>
      <w:r>
        <w:rPr>
          <w:b/>
          <w:bCs/>
        </w:rPr>
        <w:t xml:space="preserve">baseline controllers</w:t>
      </w:r>
      <w:r>
        <w:t xml:space="preserve"> </w:t>
      </w:r>
      <w:r>
        <w:t xml:space="preserve">when MPC is too heavy for embedded hardware.</w:t>
      </w:r>
    </w:p>
    <w:bookmarkEnd w:id="79"/>
    <w:bookmarkEnd w:id="80"/>
    <w:bookmarkStart w:id="104" w:name="X9a4360274ef291308a7e40987128c81b684a459"/>
    <w:p>
      <w:pPr>
        <w:pStyle w:val="Heading2"/>
      </w:pPr>
      <w:r>
        <w:t xml:space="preserve">Calibration, registration, reconstruction/traits, validation, implementation, risks, and recommended designs</w:t>
      </w:r>
    </w:p>
    <w:p>
      <w:pPr>
        <w:pStyle w:val="FirstParagraph"/>
      </w:pPr>
      <w:r>
        <w:t xml:space="preserve">This final section consolidates methods that a design report must specify to be credible, reproducible, and practically deployable.</w:t>
      </w:r>
    </w:p>
    <w:bookmarkStart w:id="87" w:name="X94e3dc8478b505b0ee7154827b5ad7dabe4c0b3"/>
    <w:p>
      <w:pPr>
        <w:pStyle w:val="Heading3"/>
      </w:pPr>
      <w:r>
        <w:t xml:space="preserve">Calibration, registration, and data fusion methods</w:t>
      </w:r>
    </w:p>
    <w:p>
      <w:pPr>
        <w:pStyle w:val="FirstParagraph"/>
      </w:pPr>
      <w:r>
        <w:rPr>
          <w:b/>
          <w:bCs/>
        </w:rPr>
        <w:t xml:space="preserve">Camera calibration.</w:t>
      </w:r>
      <w:r>
        <w:t xml:space="preserve"> </w:t>
      </w:r>
      <w:r>
        <w:t xml:space="preserve">Use planar target calibration (checkerboard/charuco/AprilTag grids). OpenCV’s calibration pipeline is an accessible standard reference for deriving intrinsics and distortion</w:t>
      </w:r>
      <w:r>
        <w:t xml:space="preserve"> </w:t>
      </w:r>
      <w:hyperlink r:id="rId48">
        <w:r>
          <w:rPr>
            <w:rStyle w:val="Hyperlink"/>
          </w:rPr>
          <w:t xml:space="preserve">[29]</w:t>
        </w:r>
      </w:hyperlink>
      <w:r>
        <w:t xml:space="preserve">. For robust fiducials and repeatable calibration under partial visibility, AprilTag/AprilGrid ecosystems are widely used in robotics</w:t>
      </w:r>
      <w:r>
        <w:t xml:space="preserve"> </w:t>
      </w:r>
      <w:hyperlink r:id="rId81">
        <w:r>
          <w:rPr>
            <w:rStyle w:val="Hyperlink"/>
          </w:rPr>
          <w:t xml:space="preserve">[55]</w:t>
        </w:r>
      </w:hyperlink>
      <w:r>
        <w:t xml:space="preserve">.</w:t>
      </w:r>
    </w:p>
    <w:p>
      <w:pPr>
        <w:pStyle w:val="BodyText"/>
      </w:pPr>
      <w:r>
        <w:rPr>
          <w:b/>
          <w:bCs/>
        </w:rPr>
        <w:t xml:space="preserve">Multi-sensor / temporal calibration.</w:t>
      </w:r>
      <w:r>
        <w:t xml:space="preserve"> </w:t>
      </w:r>
      <w:r>
        <w:t xml:space="preserve">If you include IMUs (e.g., moving camera rigs) or multiple cameras with non-overlapping FOV, Kalibr provides batch optimization for multi-camera and camera–IMU extrinsic and temporal calibration</w:t>
      </w:r>
      <w:r>
        <w:t xml:space="preserve"> </w:t>
      </w:r>
      <w:hyperlink r:id="rId82">
        <w:r>
          <w:rPr>
            <w:rStyle w:val="Hyperlink"/>
          </w:rPr>
          <w:t xml:space="preserve">[56]</w:t>
        </w:r>
      </w:hyperlink>
      <w:r>
        <w:t xml:space="preserve">.</w:t>
      </w:r>
    </w:p>
    <w:p>
      <w:pPr>
        <w:pStyle w:val="BodyText"/>
      </w:pPr>
      <w:r>
        <w:rPr>
          <w:b/>
          <w:bCs/>
        </w:rPr>
        <w:t xml:space="preserve">Robot-to-sensor hand-eye calibration.</w:t>
      </w:r>
      <w:r>
        <w:t xml:space="preserve"> </w:t>
      </w:r>
      <w:r>
        <w:t xml:space="preserve">For eye-on-hand systems, solve</w:t>
      </w:r>
      <w:r>
        <w:t xml:space="preserve"> </w:t>
      </w:r>
      <m:oMath>
        <m:r>
          <m:t>A</m:t>
        </m:r>
        <m:r>
          <m:t>X</m:t>
        </m:r>
        <m:r>
          <m:rPr>
            <m:sty m:val="p"/>
          </m:rPr>
          <m:t>=</m:t>
        </m:r>
        <m:r>
          <m:t>X</m:t>
        </m:r>
        <m:r>
          <m:t>B</m:t>
        </m:r>
      </m:oMath>
      <w:r>
        <w:t xml:space="preserve">. The Tsai–Lenz method is a classical reference; modern analyses and comparisons still use this formulation</w:t>
      </w:r>
      <w:r>
        <w:t xml:space="preserve"> </w:t>
      </w:r>
      <w:hyperlink r:id="rId83">
        <w:r>
          <w:rPr>
            <w:rStyle w:val="Hyperlink"/>
          </w:rPr>
          <w:t xml:space="preserve">[57]</w:t>
        </w:r>
      </w:hyperlink>
      <w:r>
        <w:t xml:space="preserve">.</w:t>
      </w:r>
    </w:p>
    <w:p>
      <w:pPr>
        <w:pStyle w:val="BodyText"/>
      </w:pPr>
      <w:r>
        <w:rPr>
          <w:b/>
          <w:bCs/>
        </w:rPr>
        <w:t xml:space="preserve">Point cloud registration.</w:t>
      </w:r>
      <w:r>
        <w:t xml:space="preserve"> </w:t>
      </w:r>
      <w:r>
        <w:t xml:space="preserve">Use a two-stage strategy: global alignment + local refinement.</w:t>
      </w:r>
      <w:r>
        <w:t xml:space="preserve"> </w:t>
      </w:r>
      <w:r>
        <w:t xml:space="preserve">- Global: RANSAC-based alignment or certifiable robust registration (e.g., TEASER/TEASER++ for outlier-heavy correspondences)</w:t>
      </w:r>
      <w:r>
        <w:t xml:space="preserve"> </w:t>
      </w:r>
      <w:hyperlink r:id="rId84">
        <w:r>
          <w:rPr>
            <w:rStyle w:val="Hyperlink"/>
          </w:rPr>
          <w:t xml:space="preserve">[58]</w:t>
        </w:r>
      </w:hyperlink>
      <w:r>
        <w:t xml:space="preserve">.</w:t>
      </w:r>
      <w:r>
        <w:t xml:space="preserve"> </w:t>
      </w:r>
      <w:r>
        <w:t xml:space="preserve">- Local: ICP variants for refinement (implemented in Open3D and PCL)</w:t>
      </w:r>
      <w:r>
        <w:t xml:space="preserve"> </w:t>
      </w:r>
      <w:hyperlink r:id="rId85">
        <w:r>
          <w:rPr>
            <w:rStyle w:val="Hyperlink"/>
          </w:rPr>
          <w:t xml:space="preserve">[59]</w:t>
        </w:r>
      </w:hyperlink>
      <w:r>
        <w:t xml:space="preserve">.</w:t>
      </w:r>
    </w:p>
    <w:p>
      <w:pPr>
        <w:pStyle w:val="BodyText"/>
      </w:pPr>
      <w:r>
        <w:rPr>
          <w:b/>
          <w:bCs/>
        </w:rPr>
        <w:t xml:space="preserve">Optimization backends.</w:t>
      </w:r>
      <w:r>
        <w:t xml:space="preserve"> </w:t>
      </w:r>
      <w:r>
        <w:t xml:space="preserve">Use established solvers for nonlinear least squares and factor graphs:</w:t>
      </w:r>
      <w:r>
        <w:t xml:space="preserve"> </w:t>
      </w:r>
      <w:r>
        <w:t xml:space="preserve">- Ceres Solver for BA and general nonlinear least squares</w:t>
      </w:r>
      <w:r>
        <w:t xml:space="preserve"> </w:t>
      </w:r>
      <w:hyperlink r:id="rId69">
        <w:r>
          <w:rPr>
            <w:rStyle w:val="Hyperlink"/>
          </w:rPr>
          <w:t xml:space="preserve">[47]</w:t>
        </w:r>
      </w:hyperlink>
      <w:r>
        <w:t xml:space="preserve">.</w:t>
      </w:r>
      <w:r>
        <w:t xml:space="preserve"> </w:t>
      </w:r>
      <w:r>
        <w:t xml:space="preserve">- g2o for graph optimization formulations (pose graphs, multiway registration)</w:t>
      </w:r>
      <w:r>
        <w:t xml:space="preserve"> </w:t>
      </w:r>
      <w:hyperlink r:id="rId86">
        <w:r>
          <w:rPr>
            <w:rStyle w:val="Hyperlink"/>
          </w:rPr>
          <w:t xml:space="preserve">[60]</w:t>
        </w:r>
      </w:hyperlink>
      <w:r>
        <w:t xml:space="preserve">.</w:t>
      </w:r>
    </w:p>
    <w:bookmarkEnd w:id="87"/>
    <w:bookmarkStart w:id="92" w:name="Xaf1ca7e84a2fe723ce7030d24cb81f7752f0fac"/>
    <w:p>
      <w:pPr>
        <w:pStyle w:val="Heading3"/>
      </w:pPr>
      <w:r>
        <w:t xml:space="preserve">Algorithms for 3D reconstruction and phenotypic trait extraction</w:t>
      </w:r>
    </w:p>
    <w:p>
      <w:pPr>
        <w:pStyle w:val="FirstParagraph"/>
      </w:pPr>
      <w:r>
        <w:rPr>
          <w:b/>
          <w:bCs/>
        </w:rPr>
        <w:t xml:space="preserve">Classical 3D reconstruction pipelines.</w:t>
      </w:r>
      <w:r>
        <w:t xml:space="preserve"> </w:t>
      </w:r>
      <w:r>
        <w:t xml:space="preserve">-</w:t>
      </w:r>
      <w:r>
        <w:t xml:space="preserve"> </w:t>
      </w:r>
      <w:r>
        <w:rPr>
          <w:b/>
          <w:bCs/>
        </w:rPr>
        <w:t xml:space="preserve">SfM/MVS (RGB):</w:t>
      </w:r>
      <w:r>
        <w:t xml:space="preserve"> </w:t>
      </w:r>
      <w:r>
        <w:t xml:space="preserve">COLMAP provides a full incremental SfM pipeline and is widely used as a baseline</w:t>
      </w:r>
      <w:r>
        <w:t xml:space="preserve"> </w:t>
      </w:r>
      <w:hyperlink r:id="rId30">
        <w:r>
          <w:rPr>
            <w:rStyle w:val="Hyperlink"/>
          </w:rPr>
          <w:t xml:space="preserve">[14]</w:t>
        </w:r>
      </w:hyperlink>
      <w:r>
        <w:t xml:space="preserve">. Your design report should specify feature extraction/ matching strategy, camera model assumptions, BA schedule, and dense MVS settings.</w:t>
      </w:r>
      <w:r>
        <w:t xml:space="preserve"> </w:t>
      </w:r>
      <w:r>
        <w:t xml:space="preserve">-</w:t>
      </w:r>
      <w:r>
        <w:t xml:space="preserve"> </w:t>
      </w:r>
      <w:r>
        <w:rPr>
          <w:b/>
          <w:bCs/>
        </w:rPr>
        <w:t xml:space="preserve">Structured light reconstruction:</w:t>
      </w:r>
      <w:r>
        <w:t xml:space="preserve"> </w:t>
      </w:r>
      <w:r>
        <w:t xml:space="preserve">explicitly document pattern strategy, triangulation calibration, depth fusion, and denoising. Grain systems demonstrate a full pipeline: plane fitting (RANSAC), region growing, voxel downsampling, and 3D trait computation</w:t>
      </w:r>
      <w:r>
        <w:t xml:space="preserve"> </w:t>
      </w:r>
      <w:hyperlink r:id="rId23">
        <w:r>
          <w:rPr>
            <w:rStyle w:val="Hyperlink"/>
          </w:rPr>
          <w:t xml:space="preserve">[3]</w:t>
        </w:r>
      </w:hyperlink>
      <w:r>
        <w:t xml:space="preserve">.</w:t>
      </w:r>
      <w:r>
        <w:t xml:space="preserve"> </w:t>
      </w:r>
      <w:r>
        <w:t xml:space="preserve">-</w:t>
      </w:r>
      <w:r>
        <w:t xml:space="preserve"> </w:t>
      </w:r>
      <w:r>
        <w:rPr>
          <w:b/>
          <w:bCs/>
        </w:rPr>
        <w:t xml:space="preserve">CT reconstruction:</w:t>
      </w:r>
      <w:r>
        <w:t xml:space="preserve"> </w:t>
      </w:r>
      <w:r>
        <w:t xml:space="preserve">specify FBP vs iterative reconstruction; filtered backprojection is directly derived from Radon inversion in standard CT lectures</w:t>
      </w:r>
      <w:r>
        <w:t xml:space="preserve"> </w:t>
      </w:r>
      <w:hyperlink r:id="rId56">
        <w:r>
          <w:rPr>
            <w:rStyle w:val="Hyperlink"/>
          </w:rPr>
          <w:t xml:space="preserve">[37]</w:t>
        </w:r>
      </w:hyperlink>
      <w:r>
        <w:t xml:space="preserve">.</w:t>
      </w:r>
    </w:p>
    <w:p>
      <w:pPr>
        <w:pStyle w:val="BodyText"/>
      </w:pPr>
      <w:r>
        <w:rPr>
          <w:b/>
          <w:bCs/>
        </w:rPr>
        <w:t xml:space="preserve">Learned reconstruction and segmentation.</w:t>
      </w:r>
      <w:r>
        <w:t xml:space="preserve"> </w:t>
      </w:r>
      <w:r>
        <w:t xml:space="preserve">-</w:t>
      </w:r>
      <w:r>
        <w:t xml:space="preserve"> </w:t>
      </w:r>
      <w:r>
        <w:rPr>
          <w:b/>
          <w:bCs/>
        </w:rPr>
        <w:t xml:space="preserve">3D-from-few-views for seeds:</w:t>
      </w:r>
      <w:r>
        <w:t xml:space="preserve"> </w:t>
      </w:r>
      <w:r>
        <w:t xml:space="preserve">Wheat seed reconstruction work uses deep models to infer 3D point clouds from 1–3 images with reported ~2% relative errors for volume and primary dimensions using 3 images, enabling real-time sorting when imaging dominates cycle time</w:t>
      </w:r>
      <w:r>
        <w:t xml:space="preserve"> </w:t>
      </w:r>
      <w:hyperlink r:id="rId22">
        <w:r>
          <w:rPr>
            <w:rStyle w:val="Hyperlink"/>
          </w:rPr>
          <w:t xml:space="preserve">[11]</w:t>
        </w:r>
      </w:hyperlink>
      <w:r>
        <w:t xml:space="preserve">.</w:t>
      </w:r>
      <w:r>
        <w:t xml:space="preserve"> </w:t>
      </w:r>
      <w:r>
        <w:t xml:space="preserve">-</w:t>
      </w:r>
      <w:r>
        <w:t xml:space="preserve"> </w:t>
      </w:r>
      <w:r>
        <w:rPr>
          <w:b/>
          <w:bCs/>
        </w:rPr>
        <w:t xml:space="preserve">2D segmentation:</w:t>
      </w:r>
      <w:r>
        <w:t xml:space="preserve"> </w:t>
      </w:r>
      <w:r>
        <w:t xml:space="preserve">U-Net remains a standard architecture for precise pixel-wise segmentation</w:t>
      </w:r>
      <w:r>
        <w:t xml:space="preserve"> </w:t>
      </w:r>
      <w:hyperlink r:id="rId88">
        <w:r>
          <w:rPr>
            <w:rStyle w:val="Hyperlink"/>
          </w:rPr>
          <w:t xml:space="preserve">[61]</w:t>
        </w:r>
      </w:hyperlink>
      <w:r>
        <w:t xml:space="preserve">; Mask R-CNN provides instance segmentation with explicit masks</w:t>
      </w:r>
      <w:r>
        <w:t xml:space="preserve"> </w:t>
      </w:r>
      <w:hyperlink r:id="rId89">
        <w:r>
          <w:rPr>
            <w:rStyle w:val="Hyperlink"/>
          </w:rPr>
          <w:t xml:space="preserve">[62]</w:t>
        </w:r>
      </w:hyperlink>
      <w:r>
        <w:t xml:space="preserve">; SAM introduces promptable segmentation with a massive dataset, enabling flexible bootstrapping of labels and semi-automatic annotation in specialized domains</w:t>
      </w:r>
      <w:r>
        <w:t xml:space="preserve"> </w:t>
      </w:r>
      <w:hyperlink r:id="rId90">
        <w:r>
          <w:rPr>
            <w:rStyle w:val="Hyperlink"/>
          </w:rPr>
          <w:t xml:space="preserve">[63]</w:t>
        </w:r>
      </w:hyperlink>
      <w:r>
        <w:t xml:space="preserve">.</w:t>
      </w:r>
      <w:r>
        <w:t xml:space="preserve"> </w:t>
      </w:r>
      <w:r>
        <w:t xml:space="preserve">-</w:t>
      </w:r>
      <w:r>
        <w:t xml:space="preserve"> </w:t>
      </w:r>
      <w:r>
        <w:rPr>
          <w:b/>
          <w:bCs/>
        </w:rPr>
        <w:t xml:space="preserve">3D point cloud learning:</w:t>
      </w:r>
      <w:r>
        <w:t xml:space="preserve"> </w:t>
      </w:r>
      <w:r>
        <w:t xml:space="preserve">PointNet++ is a canonical architecture for hierarchical feature learning on point sets, useful for 3D trait regression or part segmentation when point clouds are the native data type</w:t>
      </w:r>
      <w:r>
        <w:t xml:space="preserve"> </w:t>
      </w:r>
      <w:hyperlink r:id="rId91">
        <w:r>
          <w:rPr>
            <w:rStyle w:val="Hyperlink"/>
          </w:rPr>
          <w:t xml:space="preserve">[64]</w:t>
        </w:r>
      </w:hyperlink>
      <w:r>
        <w:t xml:space="preserve">.</w:t>
      </w:r>
    </w:p>
    <w:p>
      <w:pPr>
        <w:pStyle w:val="BodyText"/>
      </w:pPr>
      <w:r>
        <w:rPr>
          <w:b/>
          <w:bCs/>
        </w:rPr>
        <w:t xml:space="preserve">Trait extraction: recommended “phenotype vector.”</w:t>
      </w:r>
      <w:r>
        <w:t xml:space="preserve"> </w:t>
      </w:r>
      <w:r>
        <w:t xml:space="preserve">For each grain, a robust phenotype record typically includes:</w:t>
      </w:r>
      <w:r>
        <w:t xml:space="preserve"> </w:t>
      </w:r>
      <w:r>
        <w:t xml:space="preserve">-</w:t>
      </w:r>
      <w:r>
        <w:t xml:space="preserve"> </w:t>
      </w:r>
      <w:r>
        <w:rPr>
          <w:b/>
          <w:bCs/>
        </w:rPr>
        <w:t xml:space="preserve">Scale and size:</w:t>
      </w:r>
      <w:r>
        <w:t xml:space="preserve"> </w:t>
      </w:r>
      <w:r>
        <w:t xml:space="preserve">length</w:t>
      </w:r>
      <w:r>
        <w:t xml:space="preserve"> </w:t>
      </w:r>
      <m:oMath>
        <m:r>
          <m:t>L</m:t>
        </m:r>
      </m:oMath>
      <w:r>
        <w:t xml:space="preserve">, width</w:t>
      </w:r>
      <w:r>
        <w:t xml:space="preserve"> </w:t>
      </w:r>
      <m:oMath>
        <m:r>
          <m:t>W</m:t>
        </m:r>
      </m:oMath>
      <w:r>
        <w:t xml:space="preserve">, thickness</w:t>
      </w:r>
      <w:r>
        <w:t xml:space="preserve"> </w:t>
      </w:r>
      <m:oMath>
        <m:r>
          <m:t>T</m:t>
        </m:r>
      </m:oMath>
      <w:r>
        <w:t xml:space="preserve"> </w:t>
      </w:r>
      <w:r>
        <w:t xml:space="preserve">(often via PCA axes or bounding box in canonical pose), plus aspect ratios.</w:t>
      </w:r>
      <w:r>
        <w:t xml:space="preserve"> </w:t>
      </w:r>
      <w:r>
        <w:t xml:space="preserve">-</w:t>
      </w:r>
      <w:r>
        <w:t xml:space="preserve"> </w:t>
      </w:r>
      <w:r>
        <w:rPr>
          <w:b/>
          <w:bCs/>
        </w:rPr>
        <w:t xml:space="preserve">Volume and surface area:</w:t>
      </w:r>
      <w:r>
        <w:t xml:space="preserve"> </w:t>
      </w:r>
      <m:oMath>
        <m:r>
          <m:t>V</m:t>
        </m:r>
      </m:oMath>
      <w:r>
        <w:t xml:space="preserve">,</w:t>
      </w:r>
      <w:r>
        <w:t xml:space="preserve"> </w:t>
      </w:r>
      <m:oMath>
        <m:r>
          <m:t>A</m:t>
        </m:r>
      </m:oMath>
      <w:r>
        <w:t xml:space="preserve">, convex hull volume, solidity</w:t>
      </w:r>
      <w:r>
        <w:t xml:space="preserve"> </w:t>
      </w:r>
      <m:oMath>
        <m:r>
          <m:t>V</m:t>
        </m:r>
        <m:r>
          <m:rPr>
            <m:sty m:val="p"/>
          </m:rPr>
          <m:t>/</m:t>
        </m:r>
        <m:sSub>
          <m:e>
            <m:r>
              <m:t>V</m:t>
            </m:r>
          </m:e>
          <m:sub>
            <m:r>
              <m:rPr>
                <m:nor/>
                <m:sty m:val="p"/>
              </m:rPr>
              <m:t>hull</m:t>
            </m:r>
          </m:sub>
        </m:sSub>
      </m:oMath>
      <w:r>
        <w:t xml:space="preserve">.</w:t>
      </w:r>
      <w:r>
        <w:t xml:space="preserve"> </w:t>
      </w:r>
      <w:r>
        <w:t xml:space="preserve">-</w:t>
      </w:r>
      <w:r>
        <w:t xml:space="preserve"> </w:t>
      </w:r>
      <w:r>
        <w:rPr>
          <w:b/>
          <w:bCs/>
        </w:rPr>
        <w:t xml:space="preserve">Shape descriptors:</w:t>
      </w:r>
      <w:r>
        <w:t xml:space="preserve"> </w:t>
      </w:r>
      <w:r>
        <w:t xml:space="preserve">curvature distributions, sphericity, ellipticity, crease geometry (notably in wheat; μCT work explicitly quantifies crease shape as a morphometric feature)</w:t>
      </w:r>
      <w:r>
        <w:t xml:space="preserve"> </w:t>
      </w:r>
      <w:hyperlink r:id="rId24">
        <w:r>
          <w:rPr>
            <w:rStyle w:val="Hyperlink"/>
          </w:rPr>
          <w:t xml:space="preserve">[4]</w:t>
        </w:r>
      </w:hyperlink>
      <w:r>
        <w:t xml:space="preserve">.</w:t>
      </w:r>
      <w:r>
        <w:t xml:space="preserve"> </w:t>
      </w:r>
      <w:r>
        <w:t xml:space="preserve">-</w:t>
      </w:r>
      <w:r>
        <w:t xml:space="preserve"> </w:t>
      </w:r>
      <w:r>
        <w:rPr>
          <w:b/>
          <w:bCs/>
        </w:rPr>
        <w:t xml:space="preserve">Surface appearance:</w:t>
      </w:r>
      <w:r>
        <w:t xml:space="preserve"> </w:t>
      </w:r>
      <w:r>
        <w:t xml:space="preserve">calibrated color in a stable color space (e.g., Lab), texture statistics (GLCM or learned embeddings).</w:t>
      </w:r>
      <w:r>
        <w:t xml:space="preserve"> </w:t>
      </w:r>
      <w:r>
        <w:t xml:space="preserve">-</w:t>
      </w:r>
      <w:r>
        <w:t xml:space="preserve"> </w:t>
      </w:r>
      <w:r>
        <w:rPr>
          <w:b/>
          <w:bCs/>
        </w:rPr>
        <w:t xml:space="preserve">Spectral indices / features:</w:t>
      </w:r>
      <w:r>
        <w:t xml:space="preserve"> </w:t>
      </w:r>
      <w:r>
        <w:t xml:space="preserve">reflectance-derived features, band ratios, or learned spectral embeddings, with careful calibration to reflectance</w:t>
      </w:r>
      <w:r>
        <w:t xml:space="preserve"> </w:t>
      </w:r>
      <w:hyperlink r:id="rId52">
        <w:r>
          <w:rPr>
            <w:rStyle w:val="Hyperlink"/>
          </w:rPr>
          <w:t xml:space="preserve">[65]</w:t>
        </w:r>
      </w:hyperlink>
      <w:r>
        <w:t xml:space="preserve">.</w:t>
      </w:r>
      <w:r>
        <w:t xml:space="preserve"> </w:t>
      </w:r>
      <w:r>
        <w:t xml:space="preserve">-</w:t>
      </w:r>
      <w:r>
        <w:t xml:space="preserve"> </w:t>
      </w:r>
      <w:r>
        <w:rPr>
          <w:b/>
          <w:bCs/>
        </w:rPr>
        <w:t xml:space="preserve">Internal traits (CT):</w:t>
      </w:r>
      <w:r>
        <w:t xml:space="preserve"> </w:t>
      </w:r>
      <w:r>
        <w:t xml:space="preserve">compartment volumes (embryo/endosperm/voids), porosity, chalkiness volume; rice micro-CT chalkiness work motivates volume-based internal quantification</w:t>
      </w:r>
      <w:r>
        <w:t xml:space="preserve"> </w:t>
      </w:r>
      <w:hyperlink r:id="rId25">
        <w:r>
          <w:rPr>
            <w:rStyle w:val="Hyperlink"/>
          </w:rPr>
          <w:t xml:space="preserve">[5]</w:t>
        </w:r>
      </w:hyperlink>
      <w:r>
        <w:t xml:space="preserve">.</w:t>
      </w:r>
    </w:p>
    <w:bookmarkEnd w:id="92"/>
    <w:bookmarkStart w:id="94" w:name="Xd63feb5ccebdf465718177b85510b1170df91c0"/>
    <w:p>
      <w:pPr>
        <w:pStyle w:val="Heading3"/>
      </w:pPr>
      <w:r>
        <w:t xml:space="preserve">Performance metrics, experimental validation protocols, and benchmarking</w:t>
      </w:r>
    </w:p>
    <w:p>
      <w:pPr>
        <w:pStyle w:val="FirstParagraph"/>
      </w:pPr>
      <w:r>
        <w:t xml:space="preserve">A rigorous design report should include</w:t>
      </w:r>
      <w:r>
        <w:t xml:space="preserve"> </w:t>
      </w:r>
      <w:r>
        <w:rPr>
          <w:b/>
          <w:bCs/>
        </w:rPr>
        <w:t xml:space="preserve">both metrology metrics</w:t>
      </w:r>
      <w:r>
        <w:t xml:space="preserve"> </w:t>
      </w:r>
      <w:r>
        <w:t xml:space="preserve">(accuracy vs ground truth) and</w:t>
      </w:r>
      <w:r>
        <w:t xml:space="preserve"> </w:t>
      </w:r>
      <w:r>
        <w:rPr>
          <w:b/>
          <w:bCs/>
        </w:rPr>
        <w:t xml:space="preserve">operational metrics</w:t>
      </w:r>
      <w:r>
        <w:t xml:space="preserve"> </w:t>
      </w:r>
      <w:r>
        <w:t xml:space="preserve">(throughput, latency, uptime).</w:t>
      </w:r>
    </w:p>
    <w:p>
      <w:pPr>
        <w:pStyle w:val="BodyText"/>
      </w:pPr>
      <w:r>
        <w:rPr>
          <w:b/>
          <w:bCs/>
        </w:rPr>
        <w:t xml:space="preserve">3D reconstruction metrics.</w:t>
      </w:r>
      <w:r>
        <w:t xml:space="preserve"> </w:t>
      </w:r>
      <w:r>
        <w:t xml:space="preserve">-</w:t>
      </w:r>
      <w:r>
        <w:t xml:space="preserve"> </w:t>
      </w:r>
      <w:r>
        <w:rPr>
          <w:b/>
          <w:bCs/>
        </w:rPr>
        <w:t xml:space="preserve">Point cloud distance:</w:t>
      </w:r>
      <w:r>
        <w:t xml:space="preserve"> </w:t>
      </w:r>
      <w:r>
        <w:t xml:space="preserve">Chamfer distance (mean nearest-neighbor distance) and/or Hausdorff distance; Hausdorff distance is explicitly used in wheat 3D reconstruction evaluation in related work</w:t>
      </w:r>
      <w:r>
        <w:t xml:space="preserve"> </w:t>
      </w:r>
      <w:hyperlink r:id="rId93">
        <w:r>
          <w:rPr>
            <w:rStyle w:val="Hyperlink"/>
          </w:rPr>
          <w:t xml:space="preserve">[66]</w:t>
        </w:r>
      </w:hyperlink>
      <w:r>
        <w:t xml:space="preserve">.</w:t>
      </w:r>
      <w:r>
        <w:t xml:space="preserve"> </w:t>
      </w:r>
      <w:r>
        <w:t xml:space="preserve">-</w:t>
      </w:r>
      <w:r>
        <w:t xml:space="preserve"> </w:t>
      </w:r>
      <w:r>
        <w:rPr>
          <w:b/>
          <w:bCs/>
        </w:rPr>
        <w:t xml:space="preserve">Volumetric overlap:</w:t>
      </w:r>
      <w:r>
        <w:t xml:space="preserve"> </w:t>
      </w:r>
      <w:r>
        <w:t xml:space="preserve">3D IoU for voxel occupancy; seed reconstruction work references 3D IoU and Chamfer-type losses in 3D reconstruction contexts</w:t>
      </w:r>
      <w:r>
        <w:t xml:space="preserve"> </w:t>
      </w:r>
      <w:hyperlink r:id="rId22">
        <w:r>
          <w:rPr>
            <w:rStyle w:val="Hyperlink"/>
          </w:rPr>
          <w:t xml:space="preserve">[11]</w:t>
        </w:r>
      </w:hyperlink>
      <w:r>
        <w:t xml:space="preserve">.</w:t>
      </w:r>
      <w:r>
        <w:t xml:space="preserve"> </w:t>
      </w:r>
      <w:r>
        <w:t xml:space="preserve">-</w:t>
      </w:r>
      <w:r>
        <w:t xml:space="preserve"> </w:t>
      </w:r>
      <w:r>
        <w:rPr>
          <w:b/>
          <w:bCs/>
        </w:rPr>
        <w:t xml:space="preserve">Dimensional errors:</w:t>
      </w:r>
      <w:r>
        <w:t xml:space="preserve"> </w:t>
      </w:r>
      <w:r>
        <w:t xml:space="preserve">relative error (%) of</w:t>
      </w:r>
      <w:r>
        <w:t xml:space="preserve"> </w:t>
      </w:r>
      <m:oMath>
        <m:r>
          <m:t>L</m:t>
        </m:r>
        <m:r>
          <m:rPr>
            <m:sty m:val="p"/>
          </m:rPr>
          <m:t>,</m:t>
        </m:r>
        <m:r>
          <m:t>W</m:t>
        </m:r>
        <m:r>
          <m:rPr>
            <m:sty m:val="p"/>
          </m:rPr>
          <m:t>,</m:t>
        </m:r>
        <m:r>
          <m:t>T</m:t>
        </m:r>
        <m:r>
          <m:rPr>
            <m:sty m:val="p"/>
          </m:rPr>
          <m:t>,</m:t>
        </m:r>
        <m:r>
          <m:t>V</m:t>
        </m:r>
      </m:oMath>
      <w:r>
        <w:t xml:space="preserve">; structured-light grain work reports such errors against manual baselines</w:t>
      </w:r>
      <w:r>
        <w:t xml:space="preserve"> </w:t>
      </w:r>
      <w:hyperlink r:id="rId23">
        <w:r>
          <w:rPr>
            <w:rStyle w:val="Hyperlink"/>
          </w:rPr>
          <w:t xml:space="preserve">[3]</w:t>
        </w:r>
      </w:hyperlink>
      <w:r>
        <w:t xml:space="preserve">.</w:t>
      </w:r>
    </w:p>
    <w:p>
      <w:pPr>
        <w:pStyle w:val="BodyText"/>
      </w:pPr>
      <w:r>
        <w:rPr>
          <w:b/>
          <w:bCs/>
        </w:rPr>
        <w:t xml:space="preserve">Spectral model metrics.</w:t>
      </w:r>
      <w:r>
        <w:t xml:space="preserve"> </w:t>
      </w:r>
      <w:r>
        <w:t xml:space="preserve">- Regression:</w:t>
      </w:r>
      <w:r>
        <w:t xml:space="preserve"> </w:t>
      </w:r>
      <m:oMath>
        <m:sSup>
          <m:e>
            <m:r>
              <m:t>R</m:t>
            </m:r>
          </m:e>
          <m:sup>
            <m:r>
              <m:t>2</m:t>
            </m:r>
          </m:sup>
        </m:sSup>
      </m:oMath>
      <w:r>
        <w:t xml:space="preserve">, RMSE, MAE; classification: accuracy, macro-F1. Large NIR wheat kernel studies emphasize feature selection and classification performance on large datasets</w:t>
      </w:r>
      <w:r>
        <w:t xml:space="preserve"> </w:t>
      </w:r>
      <w:hyperlink r:id="rId27">
        <w:r>
          <w:rPr>
            <w:rStyle w:val="Hyperlink"/>
          </w:rPr>
          <w:t xml:space="preserve">[7]</w:t>
        </w:r>
      </w:hyperlink>
      <w:r>
        <w:t xml:space="preserve">.</w:t>
      </w:r>
    </w:p>
    <w:p>
      <w:pPr>
        <w:pStyle w:val="BodyText"/>
      </w:pPr>
      <w:r>
        <w:rPr>
          <w:b/>
          <w:bCs/>
        </w:rPr>
        <w:t xml:space="preserve">Operational metrics.</w:t>
      </w:r>
      <w:r>
        <w:t xml:space="preserve"> </w:t>
      </w:r>
      <w:r>
        <w:t xml:space="preserve">- Throughput: grains/hour; e.g., Seedscreener reports ~90 grains/h</w:t>
      </w:r>
      <w:r>
        <w:t xml:space="preserve"> </w:t>
      </w:r>
      <w:hyperlink r:id="rId26">
        <w:r>
          <w:rPr>
            <w:rStyle w:val="Hyperlink"/>
          </w:rPr>
          <w:t xml:space="preserve">[6]</w:t>
        </w:r>
      </w:hyperlink>
      <w:r>
        <w:t xml:space="preserve">, while a structured-light method reports ~9.6 s/grain (~375 grains/h)</w:t>
      </w:r>
      <w:r>
        <w:t xml:space="preserve"> </w:t>
      </w:r>
      <w:hyperlink r:id="rId23">
        <w:r>
          <w:rPr>
            <w:rStyle w:val="Hyperlink"/>
          </w:rPr>
          <w:t xml:space="preserve">[3]</w:t>
        </w:r>
      </w:hyperlink>
      <w:r>
        <w:t xml:space="preserve">.</w:t>
      </w:r>
      <w:r>
        <w:t xml:space="preserve"> </w:t>
      </w:r>
      <w:r>
        <w:t xml:space="preserve">- Latency: end-to-end per grain (ingest → reconstruction → traits).</w:t>
      </w:r>
      <w:r>
        <w:t xml:space="preserve"> </w:t>
      </w:r>
      <w:r>
        <w:t xml:space="preserve">- Yield: percentage of grains successfully processed; Seedscreener reports success rate of single-kernel phenotypic data collection</w:t>
      </w:r>
      <w:r>
        <w:t xml:space="preserve"> </w:t>
      </w:r>
      <w:hyperlink r:id="rId26">
        <w:r>
          <w:rPr>
            <w:rStyle w:val="Hyperlink"/>
          </w:rPr>
          <w:t xml:space="preserve">[6]</w:t>
        </w:r>
      </w:hyperlink>
      <w:r>
        <w:t xml:space="preserve">.</w:t>
      </w:r>
      <w:r>
        <w:t xml:space="preserve"> </w:t>
      </w:r>
      <w:r>
        <w:t xml:space="preserve">- Recalibration interval: drift tolerance.</w:t>
      </w:r>
    </w:p>
    <w:p>
      <w:pPr>
        <w:pStyle w:val="BodyText"/>
      </w:pPr>
      <w:r>
        <w:rPr>
          <w:b/>
          <w:bCs/>
        </w:rPr>
        <w:t xml:space="preserve">Validation protocol recommendations.</w:t>
      </w:r>
      <w:r>
        <w:br/>
      </w:r>
      <w:r>
        <w:t xml:space="preserve">In report form, specify:</w:t>
      </w:r>
      <w:r>
        <w:t xml:space="preserve"> </w:t>
      </w:r>
      <w:r>
        <w:t xml:space="preserve">1.</w:t>
      </w:r>
      <w:r>
        <w:t xml:space="preserve"> </w:t>
      </w:r>
      <w:r>
        <w:rPr>
          <w:b/>
          <w:bCs/>
        </w:rPr>
        <w:t xml:space="preserve">Calibration validation</w:t>
      </w:r>
      <w:r>
        <w:t xml:space="preserve"> </w:t>
      </w:r>
      <w:r>
        <w:t xml:space="preserve">(reprojection error distributions; AprilTag/chessboard repeatability; hand-eye validation via loop closure).</w:t>
      </w:r>
      <w:r>
        <w:t xml:space="preserve"> </w:t>
      </w:r>
      <w:r>
        <w:t xml:space="preserve">2.</w:t>
      </w:r>
      <w:r>
        <w:t xml:space="preserve"> </w:t>
      </w:r>
      <w:r>
        <w:rPr>
          <w:b/>
          <w:bCs/>
        </w:rPr>
        <w:t xml:space="preserve">Ground truth strategy</w:t>
      </w:r>
      <w:r>
        <w:t xml:space="preserve"> </w:t>
      </w:r>
      <w:r>
        <w:t xml:space="preserve">for geometry: micro-CT (highest), structured light (high), precision gauge blocks or known 3D artifacts.</w:t>
      </w:r>
      <w:r>
        <w:t xml:space="preserve"> </w:t>
      </w:r>
      <w:r>
        <w:t xml:space="preserve">3.</w:t>
      </w:r>
      <w:r>
        <w:t xml:space="preserve"> </w:t>
      </w:r>
      <w:r>
        <w:rPr>
          <w:b/>
          <w:bCs/>
        </w:rPr>
        <w:t xml:space="preserve">Repeatability tests</w:t>
      </w:r>
      <w:r>
        <w:t xml:space="preserve">: repeated scans of the same grain under controlled conditions; compute within-grain variance and Allan-variance-like drift checks for sensors with thermal drift.</w:t>
      </w:r>
      <w:r>
        <w:t xml:space="preserve"> </w:t>
      </w:r>
      <w:r>
        <w:t xml:space="preserve">4.</w:t>
      </w:r>
      <w:r>
        <w:t xml:space="preserve"> </w:t>
      </w:r>
      <w:r>
        <w:rPr>
          <w:b/>
          <w:bCs/>
        </w:rPr>
        <w:t xml:space="preserve">Cross-condition generalization</w:t>
      </w:r>
      <w:r>
        <w:t xml:space="preserve">: vary moisture content, cultivar, surface reflectance (glossy vs matte), dust, and lighting; document failure modes.</w:t>
      </w:r>
    </w:p>
    <w:bookmarkEnd w:id="94"/>
    <w:bookmarkStart w:id="99" w:name="X8d88b02e78d133afaba96e7d2bf696ed9d1acd1"/>
    <w:p>
      <w:pPr>
        <w:pStyle w:val="Heading3"/>
      </w:pPr>
      <w:r>
        <w:t xml:space="preserve">Implementation considerations: real-time constraints, hardware/software stack, compute</w:t>
      </w:r>
    </w:p>
    <w:p>
      <w:pPr>
        <w:pStyle w:val="FirstParagraph"/>
      </w:pPr>
      <w:r>
        <w:rPr>
          <w:b/>
          <w:bCs/>
        </w:rPr>
        <w:t xml:space="preserve">Software stack (open and defensible).</w:t>
      </w:r>
      <w:r>
        <w:t xml:space="preserve"> </w:t>
      </w:r>
      <w:r>
        <w:t xml:space="preserve">- Vision and calibration: OpenCV</w:t>
      </w:r>
      <w:r>
        <w:t xml:space="preserve"> </w:t>
      </w:r>
      <w:hyperlink r:id="rId48">
        <w:r>
          <w:rPr>
            <w:rStyle w:val="Hyperlink"/>
          </w:rPr>
          <w:t xml:space="preserve">[29]</w:t>
        </w:r>
      </w:hyperlink>
      <w:r>
        <w:t xml:space="preserve">.</w:t>
      </w:r>
      <w:r>
        <w:t xml:space="preserve"> </w:t>
      </w:r>
      <w:r>
        <w:t xml:space="preserve">- SfM/MVS: COLMAP (baseline)</w:t>
      </w:r>
      <w:r>
        <w:t xml:space="preserve"> </w:t>
      </w:r>
      <w:hyperlink r:id="rId30">
        <w:r>
          <w:rPr>
            <w:rStyle w:val="Hyperlink"/>
          </w:rPr>
          <w:t xml:space="preserve">[14]</w:t>
        </w:r>
      </w:hyperlink>
      <w:r>
        <w:t xml:space="preserve">; openMVG as an alternative</w:t>
      </w:r>
      <w:r>
        <w:t xml:space="preserve"> </w:t>
      </w:r>
      <w:hyperlink r:id="rId95">
        <w:r>
          <w:rPr>
            <w:rStyle w:val="Hyperlink"/>
          </w:rPr>
          <w:t xml:space="preserve">[67]</w:t>
        </w:r>
      </w:hyperlink>
      <w:r>
        <w:t xml:space="preserve">.</w:t>
      </w:r>
      <w:r>
        <w:t xml:space="preserve"> </w:t>
      </w:r>
      <w:r>
        <w:t xml:space="preserve">- Point cloud + mesh processing and registration: Open3D and/or PCL</w:t>
      </w:r>
      <w:r>
        <w:t xml:space="preserve"> </w:t>
      </w:r>
      <w:hyperlink r:id="rId96">
        <w:r>
          <w:rPr>
            <w:rStyle w:val="Hyperlink"/>
          </w:rPr>
          <w:t xml:space="preserve">[68]</w:t>
        </w:r>
      </w:hyperlink>
      <w:r>
        <w:t xml:space="preserve">.</w:t>
      </w:r>
      <w:r>
        <w:t xml:space="preserve"> </w:t>
      </w:r>
      <w:r>
        <w:t xml:space="preserve">- Optimization: Ceres Solver</w:t>
      </w:r>
      <w:r>
        <w:t xml:space="preserve"> </w:t>
      </w:r>
      <w:hyperlink r:id="rId69">
        <w:r>
          <w:rPr>
            <w:rStyle w:val="Hyperlink"/>
          </w:rPr>
          <w:t xml:space="preserve">[69]</w:t>
        </w:r>
      </w:hyperlink>
      <w:r>
        <w:t xml:space="preserve">; g2o</w:t>
      </w:r>
      <w:r>
        <w:t xml:space="preserve"> </w:t>
      </w:r>
      <w:hyperlink r:id="rId86">
        <w:r>
          <w:rPr>
            <w:rStyle w:val="Hyperlink"/>
          </w:rPr>
          <w:t xml:space="preserve">[70]</w:t>
        </w:r>
      </w:hyperlink>
      <w:r>
        <w:t xml:space="preserve">.</w:t>
      </w:r>
      <w:r>
        <w:t xml:space="preserve"> </w:t>
      </w:r>
      <w:r>
        <w:t xml:space="preserve">- Robotics middleware: ROS 2 (DDS-based) for modular sensing/control; ROS 2 documentation emphasizes DDS middleware choices</w:t>
      </w:r>
      <w:r>
        <w:t xml:space="preserve"> </w:t>
      </w:r>
      <w:hyperlink r:id="rId97">
        <w:r>
          <w:rPr>
            <w:rStyle w:val="Hyperlink"/>
          </w:rPr>
          <w:t xml:space="preserve">[71]</w:t>
        </w:r>
      </w:hyperlink>
      <w:r>
        <w:t xml:space="preserve"> </w:t>
      </w:r>
      <w:r>
        <w:t xml:space="preserve">and includes guidance for real-time programming constraints</w:t>
      </w:r>
      <w:r>
        <w:t xml:space="preserve"> </w:t>
      </w:r>
      <w:hyperlink r:id="rId98">
        <w:r>
          <w:rPr>
            <w:rStyle w:val="Hyperlink"/>
          </w:rPr>
          <w:t xml:space="preserve">[72]</w:t>
        </w:r>
      </w:hyperlink>
      <w:r>
        <w:t xml:space="preserve">.</w:t>
      </w:r>
    </w:p>
    <w:p>
      <w:pPr>
        <w:pStyle w:val="BodyText"/>
      </w:pPr>
      <w:r>
        <w:rPr>
          <w:b/>
          <w:bCs/>
        </w:rPr>
        <w:t xml:space="preserve">Compute sizing and latency budgeting.</w:t>
      </w:r>
      <w:r>
        <w:br/>
      </w:r>
      <w:r>
        <w:t xml:space="preserve">A design report should include a latency budget per stage (acquisition, preprocessing, reconstruction, traits, QC). This is particularly important because some pipelines are</w:t>
      </w:r>
      <w:r>
        <w:t xml:space="preserve"> </w:t>
      </w:r>
      <w:r>
        <w:rPr>
          <w:b/>
          <w:bCs/>
        </w:rPr>
        <w:t xml:space="preserve">acquisition-bound</w:t>
      </w:r>
      <w:r>
        <w:t xml:space="preserve"> </w:t>
      </w:r>
      <w:r>
        <w:t xml:space="preserve">(e.g., multi-view imaging time dominates; seed reconstruction from few images is motivated explicitly by acquisition time constraints)</w:t>
      </w:r>
      <w:r>
        <w:t xml:space="preserve"> </w:t>
      </w:r>
      <w:hyperlink r:id="rId22">
        <w:r>
          <w:rPr>
            <w:rStyle w:val="Hyperlink"/>
          </w:rPr>
          <w:t xml:space="preserve">[11]</w:t>
        </w:r>
      </w:hyperlink>
      <w:r>
        <w:t xml:space="preserve">, while others are</w:t>
      </w:r>
      <w:r>
        <w:t xml:space="preserve"> </w:t>
      </w:r>
      <w:r>
        <w:rPr>
          <w:b/>
          <w:bCs/>
        </w:rPr>
        <w:t xml:space="preserve">compute-bound</w:t>
      </w:r>
      <w:r>
        <w:t xml:space="preserve"> </w:t>
      </w:r>
      <w:r>
        <w:t xml:space="preserve">(dense MVS, high-res CT reconstruction). Record GPU requirements for deep models and note memory demands for volumetric CT.</w:t>
      </w:r>
    </w:p>
    <w:bookmarkEnd w:id="99"/>
    <w:bookmarkStart w:id="100" w:name="risk-analysis-and-mitigation"/>
    <w:p>
      <w:pPr>
        <w:pStyle w:val="Heading3"/>
      </w:pPr>
      <w:r>
        <w:t xml:space="preserve">Risk analysis and mitigation</w:t>
      </w:r>
    </w:p>
    <w:p>
      <w:pPr>
        <w:pStyle w:val="FirstParagraph"/>
      </w:pPr>
      <w:r>
        <w:t xml:space="preserve">A credible design report should enumerate failure modes and mitigations; below is a concise, engineering-focused set.</w:t>
      </w:r>
    </w:p>
    <w:p>
      <w:pPr>
        <w:pStyle w:val="BodyText"/>
      </w:pPr>
      <w:r>
        <w:rPr>
          <w:b/>
          <w:bCs/>
        </w:rPr>
        <w:t xml:space="preserve">Optical failures (RGB / structured light).</w:t>
      </w:r>
      <w:r>
        <w:t xml:space="preserve"> </w:t>
      </w:r>
      <w:r>
        <w:t xml:space="preserve">Specular reflections, low contrast, and motion blur can collapse correspondence quality. Silhouette-based methods (visual hull/volume carving) are explicitly noted as robust under challenging seed surface properties (specular, low contrast) in the wheat seed reconstruction literature</w:t>
      </w:r>
      <w:r>
        <w:t xml:space="preserve"> </w:t>
      </w:r>
      <w:hyperlink r:id="rId22">
        <w:r>
          <w:rPr>
            <w:rStyle w:val="Hyperlink"/>
          </w:rPr>
          <w:t xml:space="preserve">[11]</w:t>
        </w:r>
      </w:hyperlink>
      <w:r>
        <w:t xml:space="preserve">, but they shift the burden to segmentation quality and view coverage.</w:t>
      </w:r>
    </w:p>
    <w:p>
      <w:pPr>
        <w:pStyle w:val="BodyText"/>
      </w:pPr>
      <w:r>
        <w:rPr>
          <w:b/>
          <w:bCs/>
        </w:rPr>
        <w:t xml:space="preserve">Calibration drift and domain shift.</w:t>
      </w:r>
      <w:r>
        <w:t xml:space="preserve"> </w:t>
      </w:r>
      <w:r>
        <w:t xml:space="preserve">Illumination spectrum drift or camera thermal drift can bias color/spectral traits. Use EMVA 1288-informed characterization for camera noise/SNR stability</w:t>
      </w:r>
      <w:r>
        <w:t xml:space="preserve"> </w:t>
      </w:r>
      <w:hyperlink r:id="rId49">
        <w:r>
          <w:rPr>
            <w:rStyle w:val="Hyperlink"/>
          </w:rPr>
          <w:t xml:space="preserve">[30]</w:t>
        </w:r>
      </w:hyperlink>
      <w:r>
        <w:t xml:space="preserve">, radiometric calibration routines for hyperspectral</w:t>
      </w:r>
      <w:r>
        <w:t xml:space="preserve"> </w:t>
      </w:r>
      <w:hyperlink r:id="rId44">
        <w:r>
          <w:rPr>
            <w:rStyle w:val="Hyperlink"/>
          </w:rPr>
          <w:t xml:space="preserve">[27]</w:t>
        </w:r>
      </w:hyperlink>
      <w:r>
        <w:t xml:space="preserve">, and incorporate slow drift into a state estimator (</w:t>
      </w:r>
      <m:oMath>
        <m:sSubSup>
          <m:e>
            <m:r>
              <m:t>θ</m:t>
            </m:r>
          </m:e>
          <m:sub>
            <m:r>
              <m:t>k</m:t>
            </m:r>
          </m:sub>
          <m:sup>
            <m:r>
              <m:t>i</m:t>
            </m:r>
            <m:r>
              <m:t>l</m:t>
            </m:r>
            <m:r>
              <m:t>l</m:t>
            </m:r>
            <m:r>
              <m:t>u</m:t>
            </m:r>
            <m:r>
              <m:t>m</m:t>
            </m:r>
          </m:sup>
        </m:sSubSup>
      </m:oMath>
      <w:r>
        <w:t xml:space="preserve">) with periodic recalibration triggers.</w:t>
      </w:r>
    </w:p>
    <w:p>
      <w:pPr>
        <w:pStyle w:val="BodyText"/>
      </w:pPr>
      <w:r>
        <w:rPr>
          <w:b/>
          <w:bCs/>
        </w:rPr>
        <w:t xml:space="preserve">CT-specific risks.</w:t>
      </w:r>
      <w:r>
        <w:t xml:space="preserve"> </w:t>
      </w:r>
      <w:r>
        <w:t xml:space="preserve">X-ray dose and scan time are major constraints. Rice chalkiness micro-CT work explicitly discusses in vivo scanning and checks germination impacts for their regime</w:t>
      </w:r>
      <w:r>
        <w:t xml:space="preserve"> </w:t>
      </w:r>
      <w:hyperlink r:id="rId25">
        <w:r>
          <w:rPr>
            <w:rStyle w:val="Hyperlink"/>
          </w:rPr>
          <w:t xml:space="preserve">[5]</w:t>
        </w:r>
      </w:hyperlink>
      <w:r>
        <w:t xml:space="preserve">, but a design report should still include radiation safety compliance and throughput limits cited for micro-CT cost and time</w:t>
      </w:r>
      <w:r>
        <w:t xml:space="preserve"> </w:t>
      </w:r>
      <w:hyperlink r:id="rId40">
        <w:r>
          <w:rPr>
            <w:rStyle w:val="Hyperlink"/>
          </w:rPr>
          <w:t xml:space="preserve">[73]</w:t>
        </w:r>
      </w:hyperlink>
      <w:r>
        <w:t xml:space="preserve">.</w:t>
      </w:r>
    </w:p>
    <w:p>
      <w:pPr>
        <w:pStyle w:val="BodyText"/>
      </w:pPr>
      <w:r>
        <w:rPr>
          <w:b/>
          <w:bCs/>
        </w:rPr>
        <w:t xml:space="preserve">Data and ML risks.</w:t>
      </w:r>
      <w:r>
        <w:t xml:space="preserve"> </w:t>
      </w:r>
      <w:r>
        <w:t xml:space="preserve">Label scarcity and domain shift can harm segmentation/regression. Mitigate with:</w:t>
      </w:r>
      <w:r>
        <w:t xml:space="preserve"> </w:t>
      </w:r>
      <w:r>
        <w:t xml:space="preserve">- open datasets for pretraining (GrainSet for 2D kernels)</w:t>
      </w:r>
      <w:r>
        <w:t xml:space="preserve"> </w:t>
      </w:r>
      <w:hyperlink r:id="rId37">
        <w:r>
          <w:rPr>
            <w:rStyle w:val="Hyperlink"/>
          </w:rPr>
          <w:t xml:space="preserve">[18]</w:t>
        </w:r>
      </w:hyperlink>
      <w:r>
        <w:t xml:space="preserve">,</w:t>
      </w:r>
      <w:r>
        <w:t xml:space="preserve"> </w:t>
      </w:r>
      <w:r>
        <w:t xml:space="preserve">- semi-automatic labeling (SAM-assisted)</w:t>
      </w:r>
      <w:r>
        <w:t xml:space="preserve"> </w:t>
      </w:r>
      <w:hyperlink r:id="rId90">
        <w:r>
          <w:rPr>
            <w:rStyle w:val="Hyperlink"/>
          </w:rPr>
          <w:t xml:space="preserve">[63]</w:t>
        </w:r>
      </w:hyperlink>
      <w:r>
        <w:t xml:space="preserve">,</w:t>
      </w:r>
      <w:r>
        <w:t xml:space="preserve"> </w:t>
      </w:r>
      <w:r>
        <w:t xml:space="preserve">- explicit evaluation on held-out cultivars/years.</w:t>
      </w:r>
    </w:p>
    <w:bookmarkEnd w:id="100"/>
    <w:bookmarkStart w:id="101" w:name="X747845865687b0220dd0c13f522f3dce175c205"/>
    <w:p>
      <w:pPr>
        <w:pStyle w:val="Heading3"/>
      </w:pPr>
      <w:r>
        <w:t xml:space="preserve">Recommended design choices for three use-case scenarios</w:t>
      </w:r>
    </w:p>
    <w:p>
      <w:pPr>
        <w:pStyle w:val="FirstParagraph"/>
      </w:pPr>
      <w:r>
        <w:t xml:space="preserve">The table below gives</w:t>
      </w:r>
      <w:r>
        <w:t xml:space="preserve"> </w:t>
      </w:r>
      <w:r>
        <w:rPr>
          <w:b/>
          <w:bCs/>
        </w:rPr>
        <w:t xml:space="preserve">recommended architectures</w:t>
      </w:r>
      <w:r>
        <w:t xml:space="preserve"> </w:t>
      </w:r>
      <w:r>
        <w:t xml:space="preserve">(not the only feasible ones), aligned with the engineering trade space and cited performance/cost anchors.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Scenario</w:t>
            </w:r>
          </w:p>
        </w:tc>
        <w:tc>
          <w:tcPr/>
          <w:p>
            <w:pPr>
              <w:pStyle w:val="Compact"/>
            </w:pPr>
            <w:r>
              <w:t xml:space="preserve">Recommended sensing stack</w:t>
            </w:r>
          </w:p>
        </w:tc>
        <w:tc>
          <w:tcPr/>
          <w:p>
            <w:pPr>
              <w:pStyle w:val="Compact"/>
            </w:pPr>
            <w:r>
              <w:t xml:space="preserve">Reconstruction + estimation</w:t>
            </w:r>
          </w:p>
        </w:tc>
        <w:tc>
          <w:tcPr/>
          <w:p>
            <w:pPr>
              <w:pStyle w:val="Compact"/>
            </w:pPr>
            <w:r>
              <w:t xml:space="preserve">Expected accuracy (order-of-magnitude)</w:t>
            </w:r>
          </w:p>
        </w:tc>
        <w:tc>
          <w:tcPr/>
          <w:p>
            <w:pPr>
              <w:pStyle w:val="Compact"/>
              <w:jc w:val="right"/>
            </w:pPr>
            <w:r>
              <w:t xml:space="preserve">Expected throughput (order-of-magnitude)</w:t>
            </w:r>
          </w:p>
        </w:tc>
        <w:tc>
          <w:tcPr/>
          <w:p>
            <w:pPr>
              <w:pStyle w:val="Compact"/>
              <w:jc w:val="right"/>
            </w:pPr>
            <w:r>
              <w:t xml:space="preserve">Cost class (capex)</w:t>
            </w:r>
          </w:p>
        </w:tc>
        <w:tc>
          <w:tcPr/>
          <w:p>
            <w:pPr>
              <w:pStyle w:val="Compact"/>
            </w:pPr>
            <w:r>
              <w:t xml:space="preserve">Rationale</w:t>
            </w:r>
          </w:p>
        </w:tc>
      </w:tr>
      <w:tr>
        <w:tc>
          <w:tcPr/>
          <w:p>
            <w:pPr>
              <w:pStyle w:val="Compact"/>
            </w:pPr>
            <w:r>
              <w:t xml:space="preserve">Low-cost, high-throughput screening (lab/seed facility)</w:t>
            </w:r>
          </w:p>
        </w:tc>
        <w:tc>
          <w:tcPr/>
          <w:p>
            <w:pPr>
              <w:pStyle w:val="Compact"/>
            </w:pPr>
            <w:r>
              <w:t xml:space="preserve">Multi-view RGB (few views) + controlled lighting; optional commodity stereo depth</w:t>
            </w:r>
          </w:p>
        </w:tc>
        <w:tc>
          <w:tcPr/>
          <w:p>
            <w:pPr>
              <w:pStyle w:val="Compact"/>
            </w:pPr>
            <w:r>
              <w:t xml:space="preserve">Visual hull / learned 3D-from-few-views; EKF/UKF for pose tracking; periodic BA on calibration set</w:t>
            </w:r>
          </w:p>
        </w:tc>
        <w:tc>
          <w:tcPr/>
          <w:p>
            <w:pPr>
              <w:pStyle w:val="Compact"/>
            </w:pPr>
            <w:r>
              <w:t xml:space="preserve">Dimensional/volume errors ~few % when using few views (seed dataset reports ~2% for key traits with 3 images)</w:t>
            </w:r>
            <w:r>
              <w:t xml:space="preserve"> </w:t>
            </w:r>
            <w:hyperlink r:id="rId22">
              <w:r>
                <w:rPr>
                  <w:rStyle w:val="Hyperlink"/>
                </w:rPr>
                <w:t xml:space="preserve">[11]</w:t>
              </w:r>
            </w:hyperlink>
          </w:p>
        </w:tc>
        <w:tc>
          <w:tcPr/>
          <w:p>
            <w:pPr>
              <w:pStyle w:val="Compact"/>
              <w:jc w:val="right"/>
            </w:pPr>
            <w:r>
              <w:t xml:space="preserve">Hundreds–thousands grains/day depending on automation; acquisition is short</w:t>
            </w:r>
          </w:p>
        </w:tc>
        <w:tc>
          <w:tcPr/>
          <w:p>
            <w:pPr>
              <w:pStyle w:val="Compact"/>
              <w:jc w:val="right"/>
            </w:pPr>
            <w:r>
              <w:t xml:space="preserve">Low–moderate (cameras, lighting, motion stages); can use low-cost depth cameras with distributor pricing examples</w:t>
            </w:r>
            <w:r>
              <w:t xml:space="preserve"> </w:t>
            </w:r>
            <w:hyperlink r:id="rId43">
              <w:r>
                <w:rPr>
                  <w:rStyle w:val="Hyperlink"/>
                </w:rPr>
                <w:t xml:space="preserve">[74]</w:t>
              </w:r>
            </w:hyperlink>
          </w:p>
        </w:tc>
        <w:tc>
          <w:tcPr/>
          <w:p>
            <w:pPr>
              <w:pStyle w:val="Compact"/>
            </w:pPr>
            <w:r>
              <w:t xml:space="preserve">Designed for throughput; leverages seed-specific dataset evidence that “3 images is enough” for many traits</w:t>
            </w:r>
            <w:r>
              <w:t xml:space="preserve"> </w:t>
            </w:r>
            <w:hyperlink r:id="rId22">
              <w:r>
                <w:rPr>
                  <w:rStyle w:val="Hyperlink"/>
                </w:rPr>
                <w:t xml:space="preserve">[11]</w:t>
              </w:r>
            </w:hyperlink>
          </w:p>
        </w:tc>
      </w:tr>
      <w:tr>
        <w:tc>
          <w:tcPr/>
          <w:p>
            <w:pPr>
              <w:pStyle w:val="Compact"/>
            </w:pPr>
            <w:r>
              <w:t xml:space="preserve">High-accuracy lab phenomics (internal structure + external geometry)</w:t>
            </w:r>
          </w:p>
        </w:tc>
        <w:tc>
          <w:tcPr/>
          <w:p>
            <w:pPr>
              <w:pStyle w:val="Compact"/>
            </w:pPr>
            <w:r>
              <w:t xml:space="preserve">Micro-CT (and/or structured light for external) + calibrated color imaging</w:t>
            </w:r>
          </w:p>
        </w:tc>
        <w:tc>
          <w:tcPr/>
          <w:p>
            <w:pPr>
              <w:pStyle w:val="Compact"/>
            </w:pPr>
            <w:r>
              <w:t xml:space="preserve">CT reconstruction (FBP/iterative) via Beer–Lambert/Radon model; segmentation + morphometry; uncertainty quantification</w:t>
            </w:r>
          </w:p>
        </w:tc>
        <w:tc>
          <w:tcPr/>
          <w:p>
            <w:pPr>
              <w:pStyle w:val="Compact"/>
            </w:pPr>
            <w:r>
              <w:t xml:space="preserve">Micrometer-scale voxel sizes reported (4–15 μm/pixel) enabling compartment/crease/internal void traits</w:t>
            </w:r>
            <w:r>
              <w:t xml:space="preserve"> </w:t>
            </w:r>
            <w:hyperlink r:id="rId24">
              <w:r>
                <w:rPr>
                  <w:rStyle w:val="Hyperlink"/>
                </w:rPr>
                <w:t xml:space="preserve">[10]</w:t>
              </w:r>
            </w:hyperlink>
          </w:p>
        </w:tc>
        <w:tc>
          <w:tcPr/>
          <w:p>
            <w:pPr>
              <w:pStyle w:val="Compact"/>
              <w:jc w:val="right"/>
            </w:pPr>
            <w:r>
              <w:t xml:space="preserve">Low unless batch scanning; individual grain scans can be ~tens of minutes</w:t>
            </w:r>
            <w:r>
              <w:t xml:space="preserve"> </w:t>
            </w:r>
            <w:hyperlink r:id="rId24">
              <w:r>
                <w:rPr>
                  <w:rStyle w:val="Hyperlink"/>
                </w:rPr>
                <w:t xml:space="preserve">[4]</w:t>
              </w:r>
            </w:hyperlink>
          </w:p>
        </w:tc>
        <w:tc>
          <w:tcPr/>
          <w:p>
            <w:pPr>
              <w:pStyle w:val="Compact"/>
              <w:jc w:val="right"/>
            </w:pPr>
            <w:r>
              <w:t xml:space="preserve">Very high: micro-CT cost guidance suggests ~$200k–$450k benchtop; up to $1M+ for larger</w:t>
            </w:r>
            <w:r>
              <w:t xml:space="preserve"> </w:t>
            </w:r>
            <w:hyperlink r:id="rId40">
              <w:r>
                <w:rPr>
                  <w:rStyle w:val="Hyperlink"/>
                </w:rPr>
                <w:t xml:space="preserve">[26]</w:t>
              </w:r>
            </w:hyperlink>
          </w:p>
        </w:tc>
        <w:tc>
          <w:tcPr/>
          <w:p>
            <w:pPr>
              <w:pStyle w:val="Compact"/>
            </w:pPr>
            <w:r>
              <w:t xml:space="preserve">Necessary when phenotype is internal (chalkiness, embryo/endosperm structure) and you need micrometric resolution</w:t>
            </w:r>
            <w:r>
              <w:t xml:space="preserve"> </w:t>
            </w:r>
            <w:hyperlink r:id="rId25">
              <w:r>
                <w:rPr>
                  <w:rStyle w:val="Hyperlink"/>
                </w:rPr>
                <w:t xml:space="preserve">[75]</w:t>
              </w:r>
            </w:hyperlink>
          </w:p>
        </w:tc>
      </w:tr>
      <w:tr>
        <w:tc>
          <w:tcPr/>
          <w:p>
            <w:pPr>
              <w:pStyle w:val="Compact"/>
            </w:pPr>
            <w:r>
              <w:t xml:space="preserve">Field-deployable or near-field portable phenotyping</w:t>
            </w:r>
          </w:p>
        </w:tc>
        <w:tc>
          <w:tcPr/>
          <w:p>
            <w:pPr>
              <w:pStyle w:val="Compact"/>
            </w:pPr>
            <w:r>
              <w:t xml:space="preserve">Single/few-view RGB + depth (stereo RGB-D) + optional portable NIR</w:t>
            </w:r>
          </w:p>
        </w:tc>
        <w:tc>
          <w:tcPr/>
          <w:p>
            <w:pPr>
              <w:pStyle w:val="Compact"/>
            </w:pPr>
            <w:r>
              <w:t xml:space="preserve">Robust 3D proxies + learned estimators; NBV-lite (limited motion) for stability; compressive inference on edge GPU</w:t>
            </w:r>
          </w:p>
        </w:tc>
        <w:tc>
          <w:tcPr/>
          <w:p>
            <w:pPr>
              <w:pStyle w:val="Compact"/>
            </w:pPr>
            <w:r>
              <w:t xml:space="preserve">Coarser 3D accuracy; prioritize repeatability over absolute micrometric accuracy</w:t>
            </w:r>
          </w:p>
        </w:tc>
        <w:tc>
          <w:tcPr/>
          <w:p>
            <w:pPr>
              <w:pStyle w:val="Compact"/>
              <w:jc w:val="right"/>
            </w:pPr>
            <w:r>
              <w:t xml:space="preserve">High if acquisition is quick; compute constrained</w:t>
            </w:r>
          </w:p>
        </w:tc>
        <w:tc>
          <w:tcPr/>
          <w:p>
            <w:pPr>
              <w:pStyle w:val="Compact"/>
              <w:jc w:val="right"/>
            </w:pPr>
            <w:r>
              <w:t xml:space="preserve">Moderate; relies on commodity sensors and embedded compute; RealSense-class devices provide 90 fps and &lt;2% @ 4 m specs</w:t>
            </w:r>
            <w:r>
              <w:t xml:space="preserve"> </w:t>
            </w:r>
            <w:hyperlink r:id="rId42">
              <w:r>
                <w:rPr>
                  <w:rStyle w:val="Hyperlink"/>
                </w:rPr>
                <w:t xml:space="preserve">[24]</w:t>
              </w:r>
            </w:hyperlink>
          </w:p>
        </w:tc>
        <w:tc>
          <w:tcPr/>
          <w:p>
            <w:pPr>
              <w:pStyle w:val="Compact"/>
            </w:pPr>
            <w:r>
              <w:t xml:space="preserve">Enables deployment outside lab; sacrifices internal traits unless using radiographic methods; emphasizes robust control of lighting and motion</w:t>
            </w:r>
          </w:p>
        </w:tc>
      </w:tr>
    </w:tbl>
    <w:bookmarkEnd w:id="101"/>
    <w:bookmarkStart w:id="102" w:name="Xd9472d1bc45d13ebc1249923684deecd8b25618"/>
    <w:p>
      <w:pPr>
        <w:pStyle w:val="Heading3"/>
      </w:pPr>
      <w:r>
        <w:t xml:space="preserve">A practical development and validation timeline</w:t>
      </w:r>
    </w:p>
    <w:p>
      <w:pPr>
        <w:pStyle w:val="FirstParagraph"/>
      </w:pPr>
      <w:r>
        <w:t xml:space="preserve">A design report often benefits from an explicit timeline that ties control/estimation deliverables to hardware milestones.</w:t>
      </w:r>
    </w:p>
    <w:p>
      <w:pPr>
        <w:pStyle w:val="SourceCode"/>
      </w:pPr>
      <w:r>
        <w:rPr>
          <w:rStyle w:val="VerbatimChar"/>
        </w:rPr>
        <w:t xml:space="preserve">gantt</w:t>
      </w:r>
      <w:r>
        <w:br/>
      </w:r>
      <w:r>
        <w:rPr>
          <w:rStyle w:val="VerbatimChar"/>
        </w:rPr>
        <w:t xml:space="preserve">  title Development and validation timeline for grain 3D phenotyping system</w:t>
      </w:r>
      <w:r>
        <w:br/>
      </w:r>
      <w:r>
        <w:rPr>
          <w:rStyle w:val="VerbatimChar"/>
        </w:rPr>
        <w:t xml:space="preserve">  dateFormat  YYYY-MM-DD</w:t>
      </w:r>
      <w:r>
        <w:br/>
      </w:r>
      <w:r>
        <w:rPr>
          <w:rStyle w:val="VerbatimChar"/>
        </w:rPr>
        <w:t xml:space="preserve">  axisFormat  %b %Y</w:t>
      </w:r>
      <w:r>
        <w:br/>
      </w:r>
      <w:r>
        <w:br/>
      </w:r>
      <w:r>
        <w:rPr>
          <w:rStyle w:val="VerbatimChar"/>
        </w:rPr>
        <w:t xml:space="preserve">  section Requirements and risk</w:t>
      </w:r>
      <w:r>
        <w:br/>
      </w:r>
      <w:r>
        <w:rPr>
          <w:rStyle w:val="VerbatimChar"/>
        </w:rPr>
        <w:t xml:space="preserve">  Define phenotypes, throughput targets, ground truth plan  :a1, 2026-03-17, 30d</w:t>
      </w:r>
      <w:r>
        <w:br/>
      </w:r>
      <w:r>
        <w:rPr>
          <w:rStyle w:val="VerbatimChar"/>
        </w:rPr>
        <w:t xml:space="preserve">  Sensor trade study + preliminary observability analysis   :a2, after a1, 30d</w:t>
      </w:r>
      <w:r>
        <w:br/>
      </w:r>
      <w:r>
        <w:br/>
      </w:r>
      <w:r>
        <w:rPr>
          <w:rStyle w:val="VerbatimChar"/>
        </w:rPr>
        <w:t xml:space="preserve">  section Prototype build</w:t>
      </w:r>
      <w:r>
        <w:br/>
      </w:r>
      <w:r>
        <w:rPr>
          <w:rStyle w:val="VerbatimChar"/>
        </w:rPr>
        <w:t xml:space="preserve">  Build handling + sensing rig (v1)                         :b1, after a2, 45d</w:t>
      </w:r>
      <w:r>
        <w:br/>
      </w:r>
      <w:r>
        <w:rPr>
          <w:rStyle w:val="VerbatimChar"/>
        </w:rPr>
        <w:t xml:space="preserve">  Calibration toolchain (camera, hand-eye, spectral)        :b2, after b1, 30d</w:t>
      </w:r>
      <w:r>
        <w:br/>
      </w:r>
      <w:r>
        <w:br/>
      </w:r>
      <w:r>
        <w:rPr>
          <w:rStyle w:val="VerbatimChar"/>
        </w:rPr>
        <w:t xml:space="preserve">  section Algorithms and estimation</w:t>
      </w:r>
      <w:r>
        <w:br/>
      </w:r>
      <w:r>
        <w:rPr>
          <w:rStyle w:val="VerbatimChar"/>
        </w:rPr>
        <w:t xml:space="preserve">  Baseline reconstruction + trait extraction                :c1, after b2, 45d</w:t>
      </w:r>
      <w:r>
        <w:br/>
      </w:r>
      <w:r>
        <w:rPr>
          <w:rStyle w:val="VerbatimChar"/>
        </w:rPr>
        <w:t xml:space="preserve">  State estimator (EKF/UKF) + QC uncertainty propagation    :c2, after c1, 30d</w:t>
      </w:r>
      <w:r>
        <w:br/>
      </w:r>
      <w:r>
        <w:rPr>
          <w:rStyle w:val="VerbatimChar"/>
        </w:rPr>
        <w:t xml:space="preserve">  Active sensing / MPC scheduling (if robotic views)        :c3, after c2, 45d</w:t>
      </w:r>
      <w:r>
        <w:br/>
      </w:r>
      <w:r>
        <w:br/>
      </w:r>
      <w:r>
        <w:rPr>
          <w:rStyle w:val="VerbatimChar"/>
        </w:rPr>
        <w:t xml:space="preserve">  section Validation and benchmarking</w:t>
      </w:r>
      <w:r>
        <w:br/>
      </w:r>
      <w:r>
        <w:rPr>
          <w:rStyle w:val="VerbatimChar"/>
        </w:rPr>
        <w:t xml:space="preserve">  Ground-truth study (structured light / micro-CT subset)   :d1, after c1, 60d</w:t>
      </w:r>
      <w:r>
        <w:br/>
      </w:r>
      <w:r>
        <w:rPr>
          <w:rStyle w:val="VerbatimChar"/>
        </w:rPr>
        <w:t xml:space="preserve">  Benchmark on open datasets + cross-condition tests        :d2, after d1, 45d</w:t>
      </w:r>
      <w:r>
        <w:br/>
      </w:r>
      <w:r>
        <w:br/>
      </w:r>
      <w:r>
        <w:rPr>
          <w:rStyle w:val="VerbatimChar"/>
        </w:rPr>
        <w:t xml:space="preserve">  section Deployment hardening</w:t>
      </w:r>
      <w:r>
        <w:br/>
      </w:r>
      <w:r>
        <w:rPr>
          <w:rStyle w:val="VerbatimChar"/>
        </w:rPr>
        <w:t xml:space="preserve">  Latency optimization + logging + reproducibility package  :e1, after d2, 45d</w:t>
      </w:r>
    </w:p>
    <w:bookmarkEnd w:id="102"/>
    <w:bookmarkStart w:id="103" w:name="X8aceacdffc579ff2ca3106644d0df0078cebf69"/>
    <w:p>
      <w:pPr>
        <w:pStyle w:val="Heading3"/>
      </w:pPr>
      <w:r>
        <w:t xml:space="preserve">Implementation notes for writing the design report itself</w:t>
      </w:r>
    </w:p>
    <w:p>
      <w:pPr>
        <w:pStyle w:val="FirstParagraph"/>
      </w:pPr>
      <w:r>
        <w:t xml:space="preserve">To make the report “rigorous and audit-ready,” explicitly include:</w:t>
      </w:r>
    </w:p>
    <w:p>
      <w:pPr>
        <w:pStyle w:val="Compact"/>
        <w:numPr>
          <w:ilvl w:val="0"/>
          <w:numId w:val="1003"/>
        </w:numPr>
      </w:pPr>
      <w:r>
        <w:t xml:space="preserve">A</w:t>
      </w:r>
      <w:r>
        <w:t xml:space="preserve"> </w:t>
      </w:r>
      <w:r>
        <w:rPr>
          <w:b/>
          <w:bCs/>
        </w:rPr>
        <w:t xml:space="preserve">model appendix</w:t>
      </w:r>
      <w:r>
        <w:t xml:space="preserve"> </w:t>
      </w:r>
      <w:r>
        <w:t xml:space="preserve">stating</w:t>
      </w:r>
      <w:r>
        <w:t xml:space="preserve"> </w:t>
      </w:r>
      <m:oMath>
        <m:r>
          <m:t>f</m:t>
        </m:r>
        <m:d>
          <m:dPr>
            <m:begChr m:val="("/>
            <m:sepChr m:val=""/>
            <m:endChr m:val=")"/>
            <m:grow/>
          </m:dPr>
          <m:e>
            <m:r>
              <m:rPr>
                <m:sty m:val="p"/>
              </m:rPr>
              <m:t>⋅</m:t>
            </m:r>
          </m:e>
        </m:d>
      </m:oMath>
      <w:r>
        <w:t xml:space="preserve">,</w:t>
      </w:r>
      <w:r>
        <w:t xml:space="preserve"> </w:t>
      </w:r>
      <m:oMath>
        <m:r>
          <m:t>h</m:t>
        </m:r>
        <m:d>
          <m:dPr>
            <m:begChr m:val="("/>
            <m:sepChr m:val=""/>
            <m:endChr m:val=")"/>
            <m:grow/>
          </m:dPr>
          <m:e>
            <m:r>
              <m:rPr>
                <m:sty m:val="p"/>
              </m:rPr>
              <m:t>⋅</m:t>
            </m:r>
          </m:e>
        </m:d>
      </m:oMath>
      <w:r>
        <w:t xml:space="preserve">, noise assumptions (Gaussian vs non-Gaussian), and calibration priors, referencing standardized sensor characterization where applicable (EMVA 1288)</w:t>
      </w:r>
      <w:r>
        <w:t xml:space="preserve"> </w:t>
      </w:r>
      <w:hyperlink r:id="rId49">
        <w:r>
          <w:rPr>
            <w:rStyle w:val="Hyperlink"/>
          </w:rPr>
          <w:t xml:space="preserve">[30]</w:t>
        </w:r>
      </w:hyperlink>
      <w:r>
        <w:t xml:space="preserve">.</w:t>
      </w:r>
    </w:p>
    <w:p>
      <w:pPr>
        <w:pStyle w:val="Compact"/>
        <w:numPr>
          <w:ilvl w:val="0"/>
          <w:numId w:val="1003"/>
        </w:numPr>
      </w:pPr>
      <w:r>
        <w:t xml:space="preserve">A</w:t>
      </w:r>
      <w:r>
        <w:t xml:space="preserve"> </w:t>
      </w:r>
      <w:r>
        <w:rPr>
          <w:b/>
          <w:bCs/>
        </w:rPr>
        <w:t xml:space="preserve">reproducibility appendix</w:t>
      </w:r>
      <w:r>
        <w:t xml:space="preserve"> </w:t>
      </w:r>
      <w:r>
        <w:t xml:space="preserve">listing datasets used and licenses (e.g., GrainSet CC BY 4.0, dataset sizes, DOIs)</w:t>
      </w:r>
      <w:r>
        <w:t xml:space="preserve"> </w:t>
      </w:r>
      <w:hyperlink r:id="rId37">
        <w:r>
          <w:rPr>
            <w:rStyle w:val="Hyperlink"/>
          </w:rPr>
          <w:t xml:space="preserve">[18]</w:t>
        </w:r>
      </w:hyperlink>
      <w:r>
        <w:t xml:space="preserve">.</w:t>
      </w:r>
    </w:p>
    <w:p>
      <w:pPr>
        <w:pStyle w:val="Compact"/>
        <w:numPr>
          <w:ilvl w:val="0"/>
          <w:numId w:val="1003"/>
        </w:numPr>
      </w:pPr>
      <w:r>
        <w:t xml:space="preserve">A</w:t>
      </w:r>
      <w:r>
        <w:t xml:space="preserve"> </w:t>
      </w:r>
      <w:r>
        <w:rPr>
          <w:b/>
          <w:bCs/>
        </w:rPr>
        <w:t xml:space="preserve">control appendix</w:t>
      </w:r>
      <w:r>
        <w:t xml:space="preserve"> </w:t>
      </w:r>
      <w:r>
        <w:t xml:space="preserve">defining stability assumptions (stabilizability/detectability), and using MPC/Lyapunov arguments grounded in standard MPC references</w:t>
      </w:r>
      <w:r>
        <w:t xml:space="preserve"> </w:t>
      </w:r>
      <w:hyperlink r:id="rId67">
        <w:r>
          <w:rPr>
            <w:rStyle w:val="Hyperlink"/>
          </w:rPr>
          <w:t xml:space="preserve">[50]</w:t>
        </w:r>
      </w:hyperlink>
      <w:r>
        <w:t xml:space="preserve">.</w:t>
      </w:r>
    </w:p>
    <w:p>
      <w:pPr>
        <w:pStyle w:val="Compact"/>
        <w:numPr>
          <w:ilvl w:val="0"/>
          <w:numId w:val="1003"/>
        </w:numPr>
      </w:pPr>
      <w:r>
        <w:t xml:space="preserve">A</w:t>
      </w:r>
      <w:r>
        <w:t xml:space="preserve"> </w:t>
      </w:r>
      <w:r>
        <w:rPr>
          <w:b/>
          <w:bCs/>
        </w:rPr>
        <w:t xml:space="preserve">software bill of materials</w:t>
      </w:r>
      <w:r>
        <w:t xml:space="preserve"> </w:t>
      </w:r>
      <w:r>
        <w:t xml:space="preserve">(OpenCV, COLMAP/openMVG, Open3D/PCL, Ceres/g2o, ROS2), citing official documentation</w:t>
      </w:r>
      <w:r>
        <w:t xml:space="preserve"> </w:t>
      </w:r>
      <w:hyperlink r:id="rId48">
        <w:r>
          <w:rPr>
            <w:rStyle w:val="Hyperlink"/>
          </w:rPr>
          <w:t xml:space="preserve">[76]</w:t>
        </w:r>
      </w:hyperlink>
      <w:r>
        <w:t xml:space="preserve">.</w:t>
      </w:r>
    </w:p>
    <w:bookmarkEnd w:id="103"/>
    <w:bookmarkEnd w:id="104"/>
    <w:bookmarkEnd w:id="105"/>
    <w:bookmarkEnd w:id="106"/>
    <w:p>
      <w:r>
        <w:pict>
          <v:rect style="width:0;height:1.5pt" o:hralign="center" o:hrstd="t" o:hr="t"/>
        </w:pict>
      </w:r>
    </w:p>
    <w:bookmarkStart w:id="107" w:name="citations"/>
    <w:p>
      <w:pPr>
        <w:pStyle w:val="FirstParagraph"/>
      </w:pPr>
      <w:hyperlink r:id="rId21">
        <w:r>
          <w:rPr>
            <w:rStyle w:val="Hyperlink"/>
          </w:rPr>
          <w:t xml:space="preserve">[1]</w:t>
        </w:r>
      </w:hyperlink>
      <w:r>
        <w:t xml:space="preserve"> </w:t>
      </w:r>
      <w:r>
        <w:t xml:space="preserve">https://academic.oup.com/plphys/article/172/3/1358/6115817</w:t>
      </w:r>
    </w:p>
    <w:p>
      <w:pPr>
        <w:pStyle w:val="BodyText"/>
      </w:pPr>
      <w:hyperlink r:id="rId21">
        <w:r>
          <w:rPr>
            <w:rStyle w:val="Hyperlink"/>
          </w:rPr>
          <w:t xml:space="preserve">https://academic.oup.com/plphys/article/172/3/1358/6115817</w:t>
        </w:r>
      </w:hyperlink>
    </w:p>
    <w:p>
      <w:pPr>
        <w:pStyle w:val="BodyText"/>
      </w:pPr>
      <w:hyperlink r:id="rId22">
        <w:r>
          <w:rPr>
            <w:rStyle w:val="Hyperlink"/>
          </w:rPr>
          <w:t xml:space="preserve">[2]</w:t>
        </w:r>
      </w:hyperlink>
      <w:r>
        <w:t xml:space="preserve"> </w:t>
      </w:r>
      <w:hyperlink r:id="rId22">
        <w:r>
          <w:rPr>
            <w:rStyle w:val="Hyperlink"/>
          </w:rPr>
          <w:t xml:space="preserve">[11]</w:t>
        </w:r>
      </w:hyperlink>
      <w:r>
        <w:t xml:space="preserve"> </w:t>
      </w:r>
      <w:hyperlink r:id="rId22">
        <w:r>
          <w:rPr>
            <w:rStyle w:val="Hyperlink"/>
          </w:rPr>
          <w:t xml:space="preserve">[22]</w:t>
        </w:r>
      </w:hyperlink>
      <w:r>
        <w:t xml:space="preserve"> </w:t>
      </w:r>
      <w:r>
        <w:t xml:space="preserve">https://openaccess.thecvf.com/content/ICCV2023W/CVPPA/papers/Cherepashkin_Deep_Learning_Based_3d_Reconstruction_for_Phenotyping_of_Wheat_Seeds_ICCVW_2023_paper.pdf</w:t>
      </w:r>
    </w:p>
    <w:p>
      <w:pPr>
        <w:pStyle w:val="BodyText"/>
      </w:pPr>
      <w:hyperlink r:id="rId22">
        <w:r>
          <w:rPr>
            <w:rStyle w:val="Hyperlink"/>
          </w:rPr>
          <w:t xml:space="preserve">https://openaccess.thecvf.com/content/ICCV2023W/CVPPA/papers/Cherepashkin_Deep_Learning_Based_3d_Reconstruction_for_Phenotyping_of_Wheat_Seeds_ICCVW_2023_paper.pdf</w:t>
        </w:r>
      </w:hyperlink>
    </w:p>
    <w:p>
      <w:pPr>
        <w:pStyle w:val="BodyText"/>
      </w:pPr>
      <w:hyperlink r:id="rId23">
        <w:r>
          <w:rPr>
            <w:rStyle w:val="Hyperlink"/>
          </w:rPr>
          <w:t xml:space="preserve">[3]</w:t>
        </w:r>
      </w:hyperlink>
      <w:r>
        <w:t xml:space="preserve"> </w:t>
      </w:r>
      <w:r>
        <w:t xml:space="preserve">https://www.nature.com/articles/s41598-022-07221-4.pdf</w:t>
      </w:r>
    </w:p>
    <w:p>
      <w:pPr>
        <w:pStyle w:val="BodyText"/>
      </w:pPr>
      <w:hyperlink r:id="rId23">
        <w:r>
          <w:rPr>
            <w:rStyle w:val="Hyperlink"/>
          </w:rPr>
          <w:t xml:space="preserve">https://www.nature.com/articles/s41598-022-07221-4.pdf</w:t>
        </w:r>
      </w:hyperlink>
    </w:p>
    <w:p>
      <w:pPr>
        <w:pStyle w:val="BodyText"/>
      </w:pPr>
      <w:hyperlink r:id="rId24">
        <w:r>
          <w:rPr>
            <w:rStyle w:val="Hyperlink"/>
          </w:rPr>
          <w:t xml:space="preserve">[4]</w:t>
        </w:r>
      </w:hyperlink>
      <w:r>
        <w:t xml:space="preserve"> </w:t>
      </w:r>
      <w:hyperlink r:id="rId24">
        <w:r>
          <w:rPr>
            <w:rStyle w:val="Hyperlink"/>
          </w:rPr>
          <w:t xml:space="preserve">[10]</w:t>
        </w:r>
      </w:hyperlink>
      <w:r>
        <w:t xml:space="preserve"> </w:t>
      </w:r>
      <w:r>
        <w:t xml:space="preserve">https://link.springer.com/content/pdf/10.1186/s13007-019-0468-y.pdf</w:t>
      </w:r>
    </w:p>
    <w:p>
      <w:pPr>
        <w:pStyle w:val="BodyText"/>
      </w:pPr>
      <w:hyperlink r:id="rId24">
        <w:r>
          <w:rPr>
            <w:rStyle w:val="Hyperlink"/>
          </w:rPr>
          <w:t xml:space="preserve">https://link.springer.com/content/pdf/10.1186/s13007-019-0468-y.pdf</w:t>
        </w:r>
      </w:hyperlink>
    </w:p>
    <w:p>
      <w:pPr>
        <w:pStyle w:val="BodyText"/>
      </w:pPr>
      <w:hyperlink r:id="rId25">
        <w:r>
          <w:rPr>
            <w:rStyle w:val="Hyperlink"/>
          </w:rPr>
          <w:t xml:space="preserve">[5]</w:t>
        </w:r>
      </w:hyperlink>
      <w:r>
        <w:t xml:space="preserve"> </w:t>
      </w:r>
      <w:hyperlink r:id="rId25">
        <w:r>
          <w:rPr>
            <w:rStyle w:val="Hyperlink"/>
          </w:rPr>
          <w:t xml:space="preserve">[75]</w:t>
        </w:r>
      </w:hyperlink>
      <w:r>
        <w:t xml:space="preserve"> </w:t>
      </w:r>
      <w:r>
        <w:t xml:space="preserve">https://link.springer.com/article/10.1186/s12284-020-00429-w</w:t>
      </w:r>
    </w:p>
    <w:p>
      <w:pPr>
        <w:pStyle w:val="BodyText"/>
      </w:pPr>
      <w:hyperlink r:id="rId25">
        <w:r>
          <w:rPr>
            <w:rStyle w:val="Hyperlink"/>
          </w:rPr>
          <w:t xml:space="preserve">https://link.springer.com/article/10.1186/s12284-020-00429-w</w:t>
        </w:r>
      </w:hyperlink>
    </w:p>
    <w:p>
      <w:pPr>
        <w:pStyle w:val="BodyText"/>
      </w:pPr>
      <w:hyperlink r:id="rId26">
        <w:r>
          <w:rPr>
            <w:rStyle w:val="Hyperlink"/>
          </w:rPr>
          <w:t xml:space="preserve">[6]</w:t>
        </w:r>
      </w:hyperlink>
      <w:r>
        <w:t xml:space="preserve"> </w:t>
      </w:r>
      <w:r>
        <w:t xml:space="preserve">https://www.sciencedirect.com/science/article/pii/S0168169923007664</w:t>
      </w:r>
    </w:p>
    <w:p>
      <w:pPr>
        <w:pStyle w:val="BodyText"/>
      </w:pPr>
      <w:hyperlink r:id="rId26">
        <w:r>
          <w:rPr>
            <w:rStyle w:val="Hyperlink"/>
          </w:rPr>
          <w:t xml:space="preserve">https://www.sciencedirect.com/science/article/pii/S0168169923007664</w:t>
        </w:r>
      </w:hyperlink>
    </w:p>
    <w:p>
      <w:pPr>
        <w:pStyle w:val="BodyText"/>
      </w:pPr>
      <w:hyperlink r:id="rId27">
        <w:r>
          <w:rPr>
            <w:rStyle w:val="Hyperlink"/>
          </w:rPr>
          <w:t xml:space="preserve">[7]</w:t>
        </w:r>
      </w:hyperlink>
      <w:r>
        <w:t xml:space="preserve"> </w:t>
      </w:r>
      <w:r>
        <w:t xml:space="preserve">https://www.frontiersin.org/journals/plant-science/articles/10.3389/fpls.2020.575810/full</w:t>
      </w:r>
    </w:p>
    <w:p>
      <w:pPr>
        <w:pStyle w:val="BodyText"/>
      </w:pPr>
      <w:hyperlink r:id="rId27">
        <w:r>
          <w:rPr>
            <w:rStyle w:val="Hyperlink"/>
          </w:rPr>
          <w:t xml:space="preserve">https://www.frontiersin.org/journals/plant-science/articles/10.3389/fpls.2020.575810/full</w:t>
        </w:r>
      </w:hyperlink>
    </w:p>
    <w:p>
      <w:pPr>
        <w:pStyle w:val="BodyText"/>
      </w:pPr>
      <w:hyperlink r:id="rId28">
        <w:r>
          <w:rPr>
            <w:rStyle w:val="Hyperlink"/>
          </w:rPr>
          <w:t xml:space="preserve">[8]</w:t>
        </w:r>
      </w:hyperlink>
      <w:r>
        <w:t xml:space="preserve"> </w:t>
      </w:r>
      <w:hyperlink r:id="rId28">
        <w:r>
          <w:rPr>
            <w:rStyle w:val="Hyperlink"/>
          </w:rPr>
          <w:t xml:space="preserve">[48]</w:t>
        </w:r>
      </w:hyperlink>
      <w:r>
        <w:t xml:space="preserve"> </w:t>
      </w:r>
      <w:r>
        <w:t xml:space="preserve">https://rpg.ifi.uzh.ch/docs/ICRA16_Isler.pdf</w:t>
      </w:r>
    </w:p>
    <w:p>
      <w:pPr>
        <w:pStyle w:val="BodyText"/>
      </w:pPr>
      <w:hyperlink r:id="rId28">
        <w:r>
          <w:rPr>
            <w:rStyle w:val="Hyperlink"/>
          </w:rPr>
          <w:t xml:space="preserve">https://rpg.ifi.uzh.ch/docs/ICRA16_Isler.pdf</w:t>
        </w:r>
      </w:hyperlink>
    </w:p>
    <w:p>
      <w:pPr>
        <w:pStyle w:val="BodyText"/>
      </w:pPr>
      <w:hyperlink r:id="rId30">
        <w:r>
          <w:rPr>
            <w:rStyle w:val="Hyperlink"/>
          </w:rPr>
          <w:t xml:space="preserve">[9]</w:t>
        </w:r>
      </w:hyperlink>
      <w:r>
        <w:t xml:space="preserve"> </w:t>
      </w:r>
      <w:hyperlink r:id="rId30">
        <w:r>
          <w:rPr>
            <w:rStyle w:val="Hyperlink"/>
          </w:rPr>
          <w:t xml:space="preserve">[14]</w:t>
        </w:r>
      </w:hyperlink>
      <w:r>
        <w:t xml:space="preserve"> </w:t>
      </w:r>
      <w:r>
        <w:t xml:space="preserve">https://demuc.de/papers/schoenberger2016sfm.pdf</w:t>
      </w:r>
    </w:p>
    <w:p>
      <w:pPr>
        <w:pStyle w:val="BodyText"/>
      </w:pPr>
      <w:hyperlink r:id="rId30">
        <w:r>
          <w:rPr>
            <w:rStyle w:val="Hyperlink"/>
          </w:rPr>
          <w:t xml:space="preserve">https://demuc.de/papers/schoenberger2016sfm.pdf</w:t>
        </w:r>
      </w:hyperlink>
    </w:p>
    <w:p>
      <w:pPr>
        <w:pStyle w:val="BodyText"/>
      </w:pPr>
      <w:hyperlink r:id="rId32">
        <w:r>
          <w:rPr>
            <w:rStyle w:val="Hyperlink"/>
          </w:rPr>
          <w:t xml:space="preserve">[12]</w:t>
        </w:r>
      </w:hyperlink>
      <w:r>
        <w:t xml:space="preserve"> </w:t>
      </w:r>
      <w:r>
        <w:t xml:space="preserve">https://link.springer.com/article/10.1186/s13007-020-00591-8</w:t>
      </w:r>
    </w:p>
    <w:p>
      <w:pPr>
        <w:pStyle w:val="BodyText"/>
      </w:pPr>
      <w:hyperlink r:id="rId32">
        <w:r>
          <w:rPr>
            <w:rStyle w:val="Hyperlink"/>
          </w:rPr>
          <w:t xml:space="preserve">https://link.springer.com/article/10.1186/s13007-020-00591-8</w:t>
        </w:r>
      </w:hyperlink>
    </w:p>
    <w:p>
      <w:pPr>
        <w:pStyle w:val="BodyText"/>
      </w:pPr>
      <w:hyperlink r:id="rId33">
        <w:r>
          <w:rPr>
            <w:rStyle w:val="Hyperlink"/>
          </w:rPr>
          <w:t xml:space="preserve">[13]</w:t>
        </w:r>
      </w:hyperlink>
      <w:r>
        <w:t xml:space="preserve"> </w:t>
      </w:r>
      <w:hyperlink r:id="rId33">
        <w:r>
          <w:rPr>
            <w:rStyle w:val="Hyperlink"/>
          </w:rPr>
          <w:t xml:space="preserve">[19]</w:t>
        </w:r>
      </w:hyperlink>
      <w:r>
        <w:t xml:space="preserve"> </w:t>
      </w:r>
      <w:r>
        <w:t xml:space="preserve">https://github.com/RSMagneto/SSANet</w:t>
      </w:r>
    </w:p>
    <w:p>
      <w:pPr>
        <w:pStyle w:val="BodyText"/>
      </w:pPr>
      <w:hyperlink r:id="rId33">
        <w:r>
          <w:rPr>
            <w:rStyle w:val="Hyperlink"/>
          </w:rPr>
          <w:t xml:space="preserve">https://github.com/RSMagneto/SSANet</w:t>
        </w:r>
      </w:hyperlink>
    </w:p>
    <w:p>
      <w:pPr>
        <w:pStyle w:val="BodyText"/>
      </w:pPr>
      <w:hyperlink r:id="rId34">
        <w:r>
          <w:rPr>
            <w:rStyle w:val="Hyperlink"/>
          </w:rPr>
          <w:t xml:space="preserve">[15]</w:t>
        </w:r>
      </w:hyperlink>
      <w:r>
        <w:t xml:space="preserve"> </w:t>
      </w:r>
      <w:r>
        <w:t xml:space="preserve">https://link.springer.com/chapter/10.1007/978-3-319-56414-2_5</w:t>
      </w:r>
    </w:p>
    <w:p>
      <w:pPr>
        <w:pStyle w:val="BodyText"/>
      </w:pPr>
      <w:hyperlink r:id="rId34">
        <w:r>
          <w:rPr>
            <w:rStyle w:val="Hyperlink"/>
          </w:rPr>
          <w:t xml:space="preserve">https://link.springer.com/chapter/10.1007/978-3-319-56414-2_5</w:t>
        </w:r>
      </w:hyperlink>
    </w:p>
    <w:p>
      <w:pPr>
        <w:pStyle w:val="BodyText"/>
      </w:pPr>
      <w:hyperlink r:id="rId35">
        <w:r>
          <w:rPr>
            <w:rStyle w:val="Hyperlink"/>
          </w:rPr>
          <w:t xml:space="preserve">[16]</w:t>
        </w:r>
      </w:hyperlink>
      <w:r>
        <w:t xml:space="preserve"> </w:t>
      </w:r>
      <w:r>
        <w:t xml:space="preserve">https://vladlen.info/papers/tanks-and-temples.pdf</w:t>
      </w:r>
    </w:p>
    <w:p>
      <w:pPr>
        <w:pStyle w:val="BodyText"/>
      </w:pPr>
      <w:hyperlink r:id="rId35">
        <w:r>
          <w:rPr>
            <w:rStyle w:val="Hyperlink"/>
          </w:rPr>
          <w:t xml:space="preserve">https://vladlen.info/papers/tanks-and-temples.pdf</w:t>
        </w:r>
      </w:hyperlink>
    </w:p>
    <w:p>
      <w:pPr>
        <w:pStyle w:val="BodyText"/>
      </w:pPr>
      <w:hyperlink r:id="rId36">
        <w:r>
          <w:rPr>
            <w:rStyle w:val="Hyperlink"/>
          </w:rPr>
          <w:t xml:space="preserve">[17]</w:t>
        </w:r>
      </w:hyperlink>
      <w:r>
        <w:t xml:space="preserve"> </w:t>
      </w:r>
      <w:r>
        <w:t xml:space="preserve">https://openaccess.thecvf.com/content_cvpr_2017/papers/Schops_A_Multi-View_Stereo_CVPR_2017_paper.pdf</w:t>
      </w:r>
    </w:p>
    <w:p>
      <w:pPr>
        <w:pStyle w:val="BodyText"/>
      </w:pPr>
      <w:hyperlink r:id="rId36">
        <w:r>
          <w:rPr>
            <w:rStyle w:val="Hyperlink"/>
          </w:rPr>
          <w:t xml:space="preserve">https://openaccess.thecvf.com/content_cvpr_2017/papers/Schops_A_Multi-View_Stereo_CVPR_2017_paper.pdf</w:t>
        </w:r>
      </w:hyperlink>
    </w:p>
    <w:p>
      <w:pPr>
        <w:pStyle w:val="BodyText"/>
      </w:pPr>
      <w:hyperlink r:id="rId37">
        <w:r>
          <w:rPr>
            <w:rStyle w:val="Hyperlink"/>
          </w:rPr>
          <w:t xml:space="preserve">[18]</w:t>
        </w:r>
      </w:hyperlink>
      <w:r>
        <w:t xml:space="preserve"> </w:t>
      </w:r>
      <w:r>
        <w:t xml:space="preserve">https://www.nature.com/articles/s41597-023-02660-8.pdf</w:t>
      </w:r>
    </w:p>
    <w:p>
      <w:pPr>
        <w:pStyle w:val="BodyText"/>
      </w:pPr>
      <w:hyperlink r:id="rId37">
        <w:r>
          <w:rPr>
            <w:rStyle w:val="Hyperlink"/>
          </w:rPr>
          <w:t xml:space="preserve">https://www.nature.com/articles/s41597-023-02660-8.pdf</w:t>
        </w:r>
      </w:hyperlink>
    </w:p>
    <w:p>
      <w:pPr>
        <w:pStyle w:val="BodyText"/>
      </w:pPr>
      <w:hyperlink r:id="rId38">
        <w:r>
          <w:rPr>
            <w:rStyle w:val="Hyperlink"/>
          </w:rPr>
          <w:t xml:space="preserve">[20]</w:t>
        </w:r>
      </w:hyperlink>
      <w:r>
        <w:t xml:space="preserve"> </w:t>
      </w:r>
      <w:r>
        <w:t xml:space="preserve">https://datadryad.org/dataset/doi%3A10.5061/dryad.d2547d8bx</w:t>
      </w:r>
    </w:p>
    <w:p>
      <w:pPr>
        <w:pStyle w:val="BodyText"/>
      </w:pPr>
      <w:hyperlink r:id="rId38">
        <w:r>
          <w:rPr>
            <w:rStyle w:val="Hyperlink"/>
          </w:rPr>
          <w:t xml:space="preserve">https://datadryad.org/dataset/doi%3A10.5061/dryad.d2547d8bx</w:t>
        </w:r>
      </w:hyperlink>
    </w:p>
    <w:p>
      <w:pPr>
        <w:pStyle w:val="BodyText"/>
      </w:pPr>
      <w:hyperlink r:id="rId40">
        <w:r>
          <w:rPr>
            <w:rStyle w:val="Hyperlink"/>
          </w:rPr>
          <w:t xml:space="preserve">[21]</w:t>
        </w:r>
      </w:hyperlink>
      <w:r>
        <w:t xml:space="preserve"> </w:t>
      </w:r>
      <w:hyperlink r:id="rId40">
        <w:r>
          <w:rPr>
            <w:rStyle w:val="Hyperlink"/>
          </w:rPr>
          <w:t xml:space="preserve">[26]</w:t>
        </w:r>
      </w:hyperlink>
      <w:r>
        <w:t xml:space="preserve"> </w:t>
      </w:r>
      <w:hyperlink r:id="rId40">
        <w:r>
          <w:rPr>
            <w:rStyle w:val="Hyperlink"/>
          </w:rPr>
          <w:t xml:space="preserve">[73]</w:t>
        </w:r>
      </w:hyperlink>
      <w:r>
        <w:t xml:space="preserve"> </w:t>
      </w:r>
      <w:r>
        <w:t xml:space="preserve">https://www.microphotonics.com/how-much-does-a-micro-ct-scanner-cost/</w:t>
      </w:r>
    </w:p>
    <w:p>
      <w:pPr>
        <w:pStyle w:val="BodyText"/>
      </w:pPr>
      <w:hyperlink r:id="rId40">
        <w:r>
          <w:rPr>
            <w:rStyle w:val="Hyperlink"/>
          </w:rPr>
          <w:t xml:space="preserve">https://www.microphotonics.com/how-much-does-a-micro-ct-scanner-cost/</w:t>
        </w:r>
      </w:hyperlink>
    </w:p>
    <w:p>
      <w:pPr>
        <w:pStyle w:val="BodyText"/>
      </w:pPr>
      <w:hyperlink r:id="rId41">
        <w:r>
          <w:rPr>
            <w:rStyle w:val="Hyperlink"/>
          </w:rPr>
          <w:t xml:space="preserve">[23]</w:t>
        </w:r>
      </w:hyperlink>
      <w:r>
        <w:t xml:space="preserve"> </w:t>
      </w:r>
      <w:r>
        <w:t xml:space="preserve">https://m.madeinchina.com/mall/show-Wiiboox-Reeyee-PRO-Full-Color-Handheld-3D-Scanner_990066.html</w:t>
      </w:r>
    </w:p>
    <w:p>
      <w:pPr>
        <w:pStyle w:val="BodyText"/>
      </w:pPr>
      <w:hyperlink r:id="rId41">
        <w:r>
          <w:rPr>
            <w:rStyle w:val="Hyperlink"/>
          </w:rPr>
          <w:t xml:space="preserve">https://m.madeinchina.com/mall/show-Wiiboox-Reeyee-PRO-Full-Color-Handheld-3D-Scanner_990066.html</w:t>
        </w:r>
      </w:hyperlink>
    </w:p>
    <w:p>
      <w:pPr>
        <w:pStyle w:val="BodyText"/>
      </w:pPr>
      <w:hyperlink r:id="rId42">
        <w:r>
          <w:rPr>
            <w:rStyle w:val="Hyperlink"/>
          </w:rPr>
          <w:t xml:space="preserve">[24]</w:t>
        </w:r>
      </w:hyperlink>
      <w:r>
        <w:t xml:space="preserve"> </w:t>
      </w:r>
      <w:hyperlink r:id="rId42">
        <w:r>
          <w:rPr>
            <w:rStyle w:val="Hyperlink"/>
          </w:rPr>
          <w:t xml:space="preserve">[36]</w:t>
        </w:r>
      </w:hyperlink>
      <w:r>
        <w:t xml:space="preserve"> </w:t>
      </w:r>
      <w:r>
        <w:t xml:space="preserve">https://www.realsenseai.com/products/real-sense-depth-camera-d455f/</w:t>
      </w:r>
    </w:p>
    <w:p>
      <w:pPr>
        <w:pStyle w:val="BodyText"/>
      </w:pPr>
      <w:hyperlink r:id="rId42">
        <w:r>
          <w:rPr>
            <w:rStyle w:val="Hyperlink"/>
          </w:rPr>
          <w:t xml:space="preserve">https://www.realsenseai.com/products/real-sense-depth-camera-d455f/</w:t>
        </w:r>
      </w:hyperlink>
    </w:p>
    <w:p>
      <w:pPr>
        <w:pStyle w:val="BodyText"/>
      </w:pPr>
      <w:hyperlink r:id="rId43">
        <w:r>
          <w:rPr>
            <w:rStyle w:val="Hyperlink"/>
          </w:rPr>
          <w:t xml:space="preserve">[25]</w:t>
        </w:r>
      </w:hyperlink>
      <w:r>
        <w:t xml:space="preserve"> </w:t>
      </w:r>
      <w:hyperlink r:id="rId43">
        <w:r>
          <w:rPr>
            <w:rStyle w:val="Hyperlink"/>
          </w:rPr>
          <w:t xml:space="preserve">[74]</w:t>
        </w:r>
      </w:hyperlink>
      <w:r>
        <w:t xml:space="preserve"> </w:t>
      </w:r>
      <w:r>
        <w:t xml:space="preserve">https://www.digikey.com/en/product-highlight/i/intel/d455-realsense-depth-cameras</w:t>
      </w:r>
    </w:p>
    <w:p>
      <w:pPr>
        <w:pStyle w:val="BodyText"/>
      </w:pPr>
      <w:hyperlink r:id="rId43">
        <w:r>
          <w:rPr>
            <w:rStyle w:val="Hyperlink"/>
          </w:rPr>
          <w:t xml:space="preserve">https://www.digikey.com/en/product-highlight/i/intel/d455-realsense-depth-cameras</w:t>
        </w:r>
      </w:hyperlink>
    </w:p>
    <w:p>
      <w:pPr>
        <w:pStyle w:val="BodyText"/>
      </w:pPr>
      <w:hyperlink r:id="rId44">
        <w:r>
          <w:rPr>
            <w:rStyle w:val="Hyperlink"/>
          </w:rPr>
          <w:t xml:space="preserve">[27]</w:t>
        </w:r>
      </w:hyperlink>
      <w:r>
        <w:t xml:space="preserve"> </w:t>
      </w:r>
      <w:hyperlink r:id="rId44">
        <w:r>
          <w:rPr>
            <w:rStyle w:val="Hyperlink"/>
          </w:rPr>
          <w:t xml:space="preserve">[33]</w:t>
        </w:r>
      </w:hyperlink>
      <w:r>
        <w:t xml:space="preserve"> </w:t>
      </w:r>
      <w:r>
        <w:t xml:space="preserve">https://tsapps.nist.gov/publication/get_pdf.cfm?pub_id=903023</w:t>
      </w:r>
    </w:p>
    <w:p>
      <w:pPr>
        <w:pStyle w:val="BodyText"/>
      </w:pPr>
      <w:hyperlink r:id="rId44">
        <w:r>
          <w:rPr>
            <w:rStyle w:val="Hyperlink"/>
          </w:rPr>
          <w:t xml:space="preserve">https://tsapps.nist.gov/publication/get_pdf.cfm?pub_id=903023</w:t>
        </w:r>
      </w:hyperlink>
    </w:p>
    <w:p>
      <w:pPr>
        <w:pStyle w:val="BodyText"/>
      </w:pPr>
      <w:hyperlink r:id="rId47">
        <w:r>
          <w:rPr>
            <w:rStyle w:val="Hyperlink"/>
          </w:rPr>
          <w:t xml:space="preserve">[28]</w:t>
        </w:r>
      </w:hyperlink>
      <w:r>
        <w:t xml:space="preserve"> </w:t>
      </w:r>
      <w:r>
        <w:t xml:space="preserve">https://web.stanford.edu/class/cs231a/course_notes/01-camera-models.pdf</w:t>
      </w:r>
    </w:p>
    <w:p>
      <w:pPr>
        <w:pStyle w:val="BodyText"/>
      </w:pPr>
      <w:hyperlink r:id="rId47">
        <w:r>
          <w:rPr>
            <w:rStyle w:val="Hyperlink"/>
          </w:rPr>
          <w:t xml:space="preserve">https://web.stanford.edu/class/cs231a/course_notes/01-camera-models.pdf</w:t>
        </w:r>
      </w:hyperlink>
    </w:p>
    <w:p>
      <w:pPr>
        <w:pStyle w:val="BodyText"/>
      </w:pPr>
      <w:hyperlink r:id="rId48">
        <w:r>
          <w:rPr>
            <w:rStyle w:val="Hyperlink"/>
          </w:rPr>
          <w:t xml:space="preserve">[29]</w:t>
        </w:r>
      </w:hyperlink>
      <w:r>
        <w:t xml:space="preserve"> </w:t>
      </w:r>
      <w:hyperlink r:id="rId48">
        <w:r>
          <w:rPr>
            <w:rStyle w:val="Hyperlink"/>
          </w:rPr>
          <w:t xml:space="preserve">[76]</w:t>
        </w:r>
      </w:hyperlink>
      <w:r>
        <w:t xml:space="preserve"> </w:t>
      </w:r>
      <w:r>
        <w:t xml:space="preserve">https://docs.opencv.org/4.x/dc/dbb/tutorial_py_calibration.html</w:t>
      </w:r>
    </w:p>
    <w:p>
      <w:pPr>
        <w:pStyle w:val="BodyText"/>
      </w:pPr>
      <w:hyperlink r:id="rId48">
        <w:r>
          <w:rPr>
            <w:rStyle w:val="Hyperlink"/>
          </w:rPr>
          <w:t xml:space="preserve">https://docs.opencv.org/4.x/dc/dbb/tutorial_py_calibration.html</w:t>
        </w:r>
      </w:hyperlink>
    </w:p>
    <w:p>
      <w:pPr>
        <w:pStyle w:val="BodyText"/>
      </w:pPr>
      <w:hyperlink r:id="rId49">
        <w:r>
          <w:rPr>
            <w:rStyle w:val="Hyperlink"/>
          </w:rPr>
          <w:t xml:space="preserve">[30]</w:t>
        </w:r>
      </w:hyperlink>
      <w:r>
        <w:t xml:space="preserve"> </w:t>
      </w:r>
      <w:r>
        <w:t xml:space="preserve">https://www.emva.org/standards-technology/emva-1288/</w:t>
      </w:r>
    </w:p>
    <w:p>
      <w:pPr>
        <w:pStyle w:val="BodyText"/>
      </w:pPr>
      <w:hyperlink r:id="rId49">
        <w:r>
          <w:rPr>
            <w:rStyle w:val="Hyperlink"/>
          </w:rPr>
          <w:t xml:space="preserve">https://www.emva.org/standards-technology/emva-1288/</w:t>
        </w:r>
      </w:hyperlink>
    </w:p>
    <w:p>
      <w:pPr>
        <w:pStyle w:val="BodyText"/>
      </w:pPr>
      <w:hyperlink r:id="rId50">
        <w:r>
          <w:rPr>
            <w:rStyle w:val="Hyperlink"/>
          </w:rPr>
          <w:t xml:space="preserve">[31]</w:t>
        </w:r>
      </w:hyperlink>
      <w:r>
        <w:t xml:space="preserve"> </w:t>
      </w:r>
      <w:r>
        <w:t xml:space="preserve">https://www.mdpi.com/1424-8220/21/22/7770</w:t>
      </w:r>
    </w:p>
    <w:p>
      <w:pPr>
        <w:pStyle w:val="BodyText"/>
      </w:pPr>
      <w:hyperlink r:id="rId50">
        <w:r>
          <w:rPr>
            <w:rStyle w:val="Hyperlink"/>
          </w:rPr>
          <w:t xml:space="preserve">https://www.mdpi.com/1424-8220/21/22/7770</w:t>
        </w:r>
      </w:hyperlink>
    </w:p>
    <w:p>
      <w:pPr>
        <w:pStyle w:val="BodyText"/>
      </w:pPr>
      <w:hyperlink r:id="rId51">
        <w:r>
          <w:rPr>
            <w:rStyle w:val="Hyperlink"/>
          </w:rPr>
          <w:t xml:space="preserve">[32]</w:t>
        </w:r>
      </w:hyperlink>
      <w:r>
        <w:t xml:space="preserve"> </w:t>
      </w:r>
      <w:r>
        <w:t xml:space="preserve">https://tristanvanleeuwen.github.io/IP_and_Im_Lectures/tomography.html</w:t>
      </w:r>
    </w:p>
    <w:p>
      <w:pPr>
        <w:pStyle w:val="BodyText"/>
      </w:pPr>
      <w:hyperlink r:id="rId51">
        <w:r>
          <w:rPr>
            <w:rStyle w:val="Hyperlink"/>
          </w:rPr>
          <w:t xml:space="preserve">https://tristanvanleeuwen.github.io/IP_and_Im_Lectures/tomography.html</w:t>
        </w:r>
      </w:hyperlink>
    </w:p>
    <w:p>
      <w:pPr>
        <w:pStyle w:val="BodyText"/>
      </w:pPr>
      <w:hyperlink r:id="rId52">
        <w:r>
          <w:rPr>
            <w:rStyle w:val="Hyperlink"/>
          </w:rPr>
          <w:t xml:space="preserve">[34]</w:t>
        </w:r>
      </w:hyperlink>
      <w:r>
        <w:t xml:space="preserve"> </w:t>
      </w:r>
      <w:hyperlink r:id="rId52">
        <w:r>
          <w:rPr>
            <w:rStyle w:val="Hyperlink"/>
          </w:rPr>
          <w:t xml:space="preserve">[65]</w:t>
        </w:r>
      </w:hyperlink>
      <w:r>
        <w:t xml:space="preserve"> </w:t>
      </w:r>
      <w:r>
        <w:t xml:space="preserve">https://www.mdpi.com/1424-8220/21/11/3738</w:t>
      </w:r>
    </w:p>
    <w:p>
      <w:pPr>
        <w:pStyle w:val="BodyText"/>
      </w:pPr>
      <w:hyperlink r:id="rId52">
        <w:r>
          <w:rPr>
            <w:rStyle w:val="Hyperlink"/>
          </w:rPr>
          <w:t xml:space="preserve">https://www.mdpi.com/1424-8220/21/11/3738</w:t>
        </w:r>
      </w:hyperlink>
    </w:p>
    <w:p>
      <w:pPr>
        <w:pStyle w:val="BodyText"/>
      </w:pPr>
      <w:hyperlink r:id="rId53">
        <w:r>
          <w:rPr>
            <w:rStyle w:val="Hyperlink"/>
          </w:rPr>
          <w:t xml:space="preserve">[35]</w:t>
        </w:r>
      </w:hyperlink>
      <w:r>
        <w:t xml:space="preserve"> </w:t>
      </w:r>
      <w:r>
        <w:t xml:space="preserve">https://resonon.com/blog-raw-radiance-reflectance-hyperspectral-data</w:t>
      </w:r>
    </w:p>
    <w:p>
      <w:pPr>
        <w:pStyle w:val="BodyText"/>
      </w:pPr>
      <w:hyperlink r:id="rId53">
        <w:r>
          <w:rPr>
            <w:rStyle w:val="Hyperlink"/>
          </w:rPr>
          <w:t xml:space="preserve">https://resonon.com/blog-raw-radiance-reflectance-hyperspectral-data</w:t>
        </w:r>
      </w:hyperlink>
    </w:p>
    <w:p>
      <w:pPr>
        <w:pStyle w:val="BodyText"/>
      </w:pPr>
      <w:hyperlink r:id="rId56">
        <w:r>
          <w:rPr>
            <w:rStyle w:val="Hyperlink"/>
          </w:rPr>
          <w:t xml:space="preserve">[37]</w:t>
        </w:r>
      </w:hyperlink>
      <w:r>
        <w:t xml:space="preserve"> </w:t>
      </w:r>
      <w:r>
        <w:t xml:space="preserve">https://courses.healthtech.dtu.dk/22485/notes/ct_reconstruction_ver_2025_2_slides.pdf</w:t>
      </w:r>
    </w:p>
    <w:p>
      <w:pPr>
        <w:pStyle w:val="BodyText"/>
      </w:pPr>
      <w:hyperlink r:id="rId56">
        <w:r>
          <w:rPr>
            <w:rStyle w:val="Hyperlink"/>
          </w:rPr>
          <w:t xml:space="preserve">https://courses.healthtech.dtu.dk/22485/notes/ct_reconstruction_ver_2025_2_slides.pdf</w:t>
        </w:r>
      </w:hyperlink>
    </w:p>
    <w:p>
      <w:pPr>
        <w:pStyle w:val="BodyText"/>
      </w:pPr>
      <w:hyperlink r:id="rId58">
        <w:r>
          <w:rPr>
            <w:rStyle w:val="Hyperlink"/>
          </w:rPr>
          <w:t xml:space="preserve">[38]</w:t>
        </w:r>
      </w:hyperlink>
      <w:r>
        <w:t xml:space="preserve"> </w:t>
      </w:r>
      <w:r>
        <w:t xml:space="preserve">https://arxiv.org/abs/2003.08934</w:t>
      </w:r>
    </w:p>
    <w:p>
      <w:pPr>
        <w:pStyle w:val="BodyText"/>
      </w:pPr>
      <w:hyperlink r:id="rId58">
        <w:r>
          <w:rPr>
            <w:rStyle w:val="Hyperlink"/>
          </w:rPr>
          <w:t xml:space="preserve">https://arxiv.org/abs/2003.08934</w:t>
        </w:r>
      </w:hyperlink>
    </w:p>
    <w:p>
      <w:pPr>
        <w:pStyle w:val="BodyText"/>
      </w:pPr>
      <w:hyperlink r:id="rId59">
        <w:r>
          <w:rPr>
            <w:rStyle w:val="Hyperlink"/>
          </w:rPr>
          <w:t xml:space="preserve">[39]</w:t>
        </w:r>
      </w:hyperlink>
      <w:r>
        <w:t xml:space="preserve"> </w:t>
      </w:r>
      <w:r>
        <w:t xml:space="preserve">https://arxiv.org/abs/2201.05989</w:t>
      </w:r>
    </w:p>
    <w:p>
      <w:pPr>
        <w:pStyle w:val="BodyText"/>
      </w:pPr>
      <w:hyperlink r:id="rId59">
        <w:r>
          <w:rPr>
            <w:rStyle w:val="Hyperlink"/>
          </w:rPr>
          <w:t xml:space="preserve">https://arxiv.org/abs/2201.05989</w:t>
        </w:r>
      </w:hyperlink>
    </w:p>
    <w:p>
      <w:pPr>
        <w:pStyle w:val="BodyText"/>
      </w:pPr>
      <w:hyperlink r:id="rId60">
        <w:r>
          <w:rPr>
            <w:rStyle w:val="Hyperlink"/>
          </w:rPr>
          <w:t xml:space="preserve">[40]</w:t>
        </w:r>
      </w:hyperlink>
      <w:r>
        <w:t xml:space="preserve"> </w:t>
      </w:r>
      <w:r>
        <w:t xml:space="preserve">https://arxiv.org/abs/2308.04079</w:t>
      </w:r>
    </w:p>
    <w:p>
      <w:pPr>
        <w:pStyle w:val="BodyText"/>
      </w:pPr>
      <w:hyperlink r:id="rId60">
        <w:r>
          <w:rPr>
            <w:rStyle w:val="Hyperlink"/>
          </w:rPr>
          <w:t xml:space="preserve">https://arxiv.org/abs/2308.04079</w:t>
        </w:r>
      </w:hyperlink>
    </w:p>
    <w:p>
      <w:pPr>
        <w:pStyle w:val="BodyText"/>
      </w:pPr>
      <w:hyperlink r:id="rId63">
        <w:r>
          <w:rPr>
            <w:rStyle w:val="Hyperlink"/>
          </w:rPr>
          <w:t xml:space="preserve">[41]</w:t>
        </w:r>
      </w:hyperlink>
      <w:r>
        <w:t xml:space="preserve"> </w:t>
      </w:r>
      <w:r>
        <w:t xml:space="preserve">https://www.cs.unc.edu/~welch/kalman/media/pdf/Kalman1960.pdf</w:t>
      </w:r>
    </w:p>
    <w:p>
      <w:pPr>
        <w:pStyle w:val="BodyText"/>
      </w:pPr>
      <w:hyperlink r:id="rId63">
        <w:r>
          <w:rPr>
            <w:rStyle w:val="Hyperlink"/>
          </w:rPr>
          <w:t xml:space="preserve">https://www.cs.unc.edu/~welch/kalman/media/pdf/Kalman1960.pdf</w:t>
        </w:r>
      </w:hyperlink>
    </w:p>
    <w:p>
      <w:pPr>
        <w:pStyle w:val="BodyText"/>
      </w:pPr>
      <w:hyperlink r:id="rId64">
        <w:r>
          <w:rPr>
            <w:rStyle w:val="Hyperlink"/>
          </w:rPr>
          <w:t xml:space="preserve">[42]</w:t>
        </w:r>
      </w:hyperlink>
      <w:r>
        <w:t xml:space="preserve"> </w:t>
      </w:r>
      <w:r>
        <w:t xml:space="preserve">https://web.stanford.edu/class/ee363/lectures/ekf.pdf</w:t>
      </w:r>
    </w:p>
    <w:p>
      <w:pPr>
        <w:pStyle w:val="BodyText"/>
      </w:pPr>
      <w:hyperlink r:id="rId64">
        <w:r>
          <w:rPr>
            <w:rStyle w:val="Hyperlink"/>
          </w:rPr>
          <w:t xml:space="preserve">https://web.stanford.edu/class/ee363/lectures/ekf.pdf</w:t>
        </w:r>
      </w:hyperlink>
    </w:p>
    <w:p>
      <w:pPr>
        <w:pStyle w:val="BodyText"/>
      </w:pPr>
      <w:hyperlink r:id="rId65">
        <w:r>
          <w:rPr>
            <w:rStyle w:val="Hyperlink"/>
          </w:rPr>
          <w:t xml:space="preserve">[43]</w:t>
        </w:r>
      </w:hyperlink>
      <w:r>
        <w:t xml:space="preserve"> </w:t>
      </w:r>
      <w:r>
        <w:t xml:space="preserve">https://www.cs.ubc.ca/~murphyk/Papers/Julier_Uhlmann_mar04.pdf</w:t>
      </w:r>
    </w:p>
    <w:p>
      <w:pPr>
        <w:pStyle w:val="BodyText"/>
      </w:pPr>
      <w:hyperlink r:id="rId65">
        <w:r>
          <w:rPr>
            <w:rStyle w:val="Hyperlink"/>
          </w:rPr>
          <w:t xml:space="preserve">https://www.cs.ubc.ca/~murphyk/Papers/Julier_Uhlmann_mar04.pdf</w:t>
        </w:r>
      </w:hyperlink>
    </w:p>
    <w:p>
      <w:pPr>
        <w:pStyle w:val="BodyText"/>
      </w:pPr>
      <w:hyperlink r:id="rId66">
        <w:r>
          <w:rPr>
            <w:rStyle w:val="Hyperlink"/>
          </w:rPr>
          <w:t xml:space="preserve">[44]</w:t>
        </w:r>
      </w:hyperlink>
      <w:r>
        <w:t xml:space="preserve"> </w:t>
      </w:r>
      <w:r>
        <w:t xml:space="preserve">https://people.eecs.berkeley.edu/~pabbeel/cs287-fa12/optreadings/Arulampalam_etal_2002.pdf</w:t>
      </w:r>
    </w:p>
    <w:p>
      <w:pPr>
        <w:pStyle w:val="BodyText"/>
      </w:pPr>
      <w:hyperlink r:id="rId66">
        <w:r>
          <w:rPr>
            <w:rStyle w:val="Hyperlink"/>
          </w:rPr>
          <w:t xml:space="preserve">https://people.eecs.berkeley.edu/~pabbeel/cs287-fa12/optreadings/Arulampalam_etal_2002.pdf</w:t>
        </w:r>
      </w:hyperlink>
    </w:p>
    <w:p>
      <w:pPr>
        <w:pStyle w:val="BodyText"/>
      </w:pPr>
      <w:hyperlink r:id="rId67">
        <w:r>
          <w:rPr>
            <w:rStyle w:val="Hyperlink"/>
          </w:rPr>
          <w:t xml:space="preserve">[45]</w:t>
        </w:r>
      </w:hyperlink>
      <w:r>
        <w:t xml:space="preserve"> </w:t>
      </w:r>
      <w:hyperlink r:id="rId67">
        <w:r>
          <w:rPr>
            <w:rStyle w:val="Hyperlink"/>
          </w:rPr>
          <w:t xml:space="preserve">[50]</w:t>
        </w:r>
      </w:hyperlink>
      <w:r>
        <w:t xml:space="preserve"> </w:t>
      </w:r>
      <w:r>
        <w:t xml:space="preserve">https://sites.engineering.ucsb.edu/~jbraw/mpc/MPC-book-2nd-edition-4th-printing.pdf</w:t>
      </w:r>
    </w:p>
    <w:p>
      <w:pPr>
        <w:pStyle w:val="BodyText"/>
      </w:pPr>
      <w:hyperlink r:id="rId67">
        <w:r>
          <w:rPr>
            <w:rStyle w:val="Hyperlink"/>
          </w:rPr>
          <w:t xml:space="preserve">https://sites.engineering.ucsb.edu/~jbraw/mpc/MPC-book-2nd-edition-4th-printing.pdf</w:t>
        </w:r>
      </w:hyperlink>
    </w:p>
    <w:p>
      <w:pPr>
        <w:pStyle w:val="BodyText"/>
      </w:pPr>
      <w:hyperlink r:id="rId68">
        <w:r>
          <w:rPr>
            <w:rStyle w:val="Hyperlink"/>
          </w:rPr>
          <w:t xml:space="preserve">[46]</w:t>
        </w:r>
      </w:hyperlink>
      <w:r>
        <w:t xml:space="preserve"> </w:t>
      </w:r>
      <w:r>
        <w:t xml:space="preserve">https://www.cs.jhu.edu/~misha/ReadingSeminar/Papers/Triggs00.pdf</w:t>
      </w:r>
    </w:p>
    <w:p>
      <w:pPr>
        <w:pStyle w:val="BodyText"/>
      </w:pPr>
      <w:hyperlink r:id="rId68">
        <w:r>
          <w:rPr>
            <w:rStyle w:val="Hyperlink"/>
          </w:rPr>
          <w:t xml:space="preserve">https://www.cs.jhu.edu/~misha/ReadingSeminar/Papers/Triggs00.pdf</w:t>
        </w:r>
      </w:hyperlink>
    </w:p>
    <w:p>
      <w:pPr>
        <w:pStyle w:val="BodyText"/>
      </w:pPr>
      <w:hyperlink r:id="rId69">
        <w:r>
          <w:rPr>
            <w:rStyle w:val="Hyperlink"/>
          </w:rPr>
          <w:t xml:space="preserve">[47]</w:t>
        </w:r>
      </w:hyperlink>
      <w:r>
        <w:t xml:space="preserve"> </w:t>
      </w:r>
      <w:hyperlink r:id="rId69">
        <w:r>
          <w:rPr>
            <w:rStyle w:val="Hyperlink"/>
          </w:rPr>
          <w:t xml:space="preserve">[69]</w:t>
        </w:r>
      </w:hyperlink>
      <w:r>
        <w:t xml:space="preserve"> </w:t>
      </w:r>
      <w:r>
        <w:t xml:space="preserve">https://ceres-solver.org/nnls_tutorial.html</w:t>
      </w:r>
    </w:p>
    <w:p>
      <w:pPr>
        <w:pStyle w:val="BodyText"/>
      </w:pPr>
      <w:hyperlink r:id="rId69">
        <w:r>
          <w:rPr>
            <w:rStyle w:val="Hyperlink"/>
          </w:rPr>
          <w:t xml:space="preserve">https://ceres-solver.org/nnls_tutorial.html</w:t>
        </w:r>
      </w:hyperlink>
    </w:p>
    <w:p>
      <w:pPr>
        <w:pStyle w:val="BodyText"/>
      </w:pPr>
      <w:hyperlink r:id="rId72">
        <w:r>
          <w:rPr>
            <w:rStyle w:val="Hyperlink"/>
          </w:rPr>
          <w:t xml:space="preserve">[49]</w:t>
        </w:r>
      </w:hyperlink>
      <w:r>
        <w:t xml:space="preserve"> </w:t>
      </w:r>
      <w:r>
        <w:t xml:space="preserve">https://www.sciencedirect.com/science/article/pii/S2667393225000171</w:t>
      </w:r>
    </w:p>
    <w:p>
      <w:pPr>
        <w:pStyle w:val="BodyText"/>
      </w:pPr>
      <w:hyperlink r:id="rId72">
        <w:r>
          <w:rPr>
            <w:rStyle w:val="Hyperlink"/>
          </w:rPr>
          <w:t xml:space="preserve">https://www.sciencedirect.com/science/article/pii/S2667393225000171</w:t>
        </w:r>
      </w:hyperlink>
    </w:p>
    <w:p>
      <w:pPr>
        <w:pStyle w:val="BodyText"/>
      </w:pPr>
      <w:hyperlink r:id="rId74">
        <w:r>
          <w:rPr>
            <w:rStyle w:val="Hyperlink"/>
          </w:rPr>
          <w:t xml:space="preserve">[51]</w:t>
        </w:r>
      </w:hyperlink>
      <w:r>
        <w:t xml:space="preserve"> </w:t>
      </w:r>
      <w:r>
        <w:t xml:space="preserve">https://archive.control.lth.se/media/Education/DoctorateProgram/2018/Robust%20Control/Lecture3.pdf</w:t>
      </w:r>
    </w:p>
    <w:p>
      <w:pPr>
        <w:pStyle w:val="BodyText"/>
      </w:pPr>
      <w:hyperlink r:id="rId74">
        <w:r>
          <w:rPr>
            <w:rStyle w:val="Hyperlink"/>
          </w:rPr>
          <w:t xml:space="preserve">https://archive.control.lth.se/media/Education/DoctorateProgram/2018/Robust%20Control/Lecture3.pdf</w:t>
        </w:r>
      </w:hyperlink>
    </w:p>
    <w:p>
      <w:pPr>
        <w:pStyle w:val="BodyText"/>
      </w:pPr>
      <w:hyperlink r:id="rId75">
        <w:r>
          <w:rPr>
            <w:rStyle w:val="Hyperlink"/>
          </w:rPr>
          <w:t xml:space="preserve">[52]</w:t>
        </w:r>
      </w:hyperlink>
      <w:r>
        <w:t xml:space="preserve"> </w:t>
      </w:r>
      <w:r>
        <w:t xml:space="preserve">https://courses.ece.ubc.ca/574/EECE574-11.pdf</w:t>
      </w:r>
    </w:p>
    <w:p>
      <w:pPr>
        <w:pStyle w:val="BodyText"/>
      </w:pPr>
      <w:hyperlink r:id="rId75">
        <w:r>
          <w:rPr>
            <w:rStyle w:val="Hyperlink"/>
          </w:rPr>
          <w:t xml:space="preserve">https://courses.ece.ubc.ca/574/EECE574-11.pdf</w:t>
        </w:r>
      </w:hyperlink>
    </w:p>
    <w:p>
      <w:pPr>
        <w:pStyle w:val="BodyText"/>
      </w:pPr>
      <w:hyperlink r:id="rId76">
        <w:r>
          <w:rPr>
            <w:rStyle w:val="Hyperlink"/>
          </w:rPr>
          <w:t xml:space="preserve">[53]</w:t>
        </w:r>
      </w:hyperlink>
      <w:r>
        <w:t xml:space="preserve"> </w:t>
      </w:r>
      <w:r>
        <w:t xml:space="preserve">https://ntrs.nasa.gov/api/citations/20090032037/downloads/20090032037.pdf</w:t>
      </w:r>
    </w:p>
    <w:p>
      <w:pPr>
        <w:pStyle w:val="BodyText"/>
      </w:pPr>
      <w:hyperlink r:id="rId76">
        <w:r>
          <w:rPr>
            <w:rStyle w:val="Hyperlink"/>
          </w:rPr>
          <w:t xml:space="preserve">https://ntrs.nasa.gov/api/citations/20090032037/downloads/20090032037.pdf</w:t>
        </w:r>
      </w:hyperlink>
    </w:p>
    <w:p>
      <w:pPr>
        <w:pStyle w:val="BodyText"/>
      </w:pPr>
      <w:hyperlink r:id="rId78">
        <w:r>
          <w:rPr>
            <w:rStyle w:val="Hyperlink"/>
          </w:rPr>
          <w:t xml:space="preserve">[54]</w:t>
        </w:r>
      </w:hyperlink>
      <w:r>
        <w:t xml:space="preserve"> </w:t>
      </w:r>
      <w:r>
        <w:t xml:space="preserve">https://engineering.purdue.edu/~byao/Courses/ME578%20-%20Yao%20-%20Spring%202018/Chap9_overhead_filled.pdf</w:t>
      </w:r>
    </w:p>
    <w:p>
      <w:pPr>
        <w:pStyle w:val="BodyText"/>
      </w:pPr>
      <w:hyperlink r:id="rId78">
        <w:r>
          <w:rPr>
            <w:rStyle w:val="Hyperlink"/>
          </w:rPr>
          <w:t xml:space="preserve">https://engineering.purdue.edu/~byao/Courses/ME578%20-%20Yao%20-%20Spring%202018/Chap9_overhead_filled.pdf</w:t>
        </w:r>
      </w:hyperlink>
    </w:p>
    <w:p>
      <w:pPr>
        <w:pStyle w:val="BodyText"/>
      </w:pPr>
      <w:hyperlink r:id="rId81">
        <w:r>
          <w:rPr>
            <w:rStyle w:val="Hyperlink"/>
          </w:rPr>
          <w:t xml:space="preserve">[55]</w:t>
        </w:r>
      </w:hyperlink>
      <w:r>
        <w:t xml:space="preserve"> </w:t>
      </w:r>
      <w:r>
        <w:t xml:space="preserve">https://april.eecs.umich.edu/software/apriltag</w:t>
      </w:r>
    </w:p>
    <w:p>
      <w:pPr>
        <w:pStyle w:val="BodyText"/>
      </w:pPr>
      <w:hyperlink r:id="rId81">
        <w:r>
          <w:rPr>
            <w:rStyle w:val="Hyperlink"/>
          </w:rPr>
          <w:t xml:space="preserve">https://april.eecs.umich.edu/software/apriltag</w:t>
        </w:r>
      </w:hyperlink>
    </w:p>
    <w:p>
      <w:pPr>
        <w:pStyle w:val="BodyText"/>
      </w:pPr>
      <w:hyperlink r:id="rId82">
        <w:r>
          <w:rPr>
            <w:rStyle w:val="Hyperlink"/>
          </w:rPr>
          <w:t xml:space="preserve">[56]</w:t>
        </w:r>
      </w:hyperlink>
      <w:r>
        <w:t xml:space="preserve"> </w:t>
      </w:r>
      <w:r>
        <w:t xml:space="preserve">https://github.com/ethz-asl/kalibr</w:t>
      </w:r>
    </w:p>
    <w:p>
      <w:pPr>
        <w:pStyle w:val="BodyText"/>
      </w:pPr>
      <w:hyperlink r:id="rId82">
        <w:r>
          <w:rPr>
            <w:rStyle w:val="Hyperlink"/>
          </w:rPr>
          <w:t xml:space="preserve">https://github.com/ethz-asl/kalibr</w:t>
        </w:r>
      </w:hyperlink>
    </w:p>
    <w:p>
      <w:pPr>
        <w:pStyle w:val="BodyText"/>
      </w:pPr>
      <w:hyperlink r:id="rId83">
        <w:r>
          <w:rPr>
            <w:rStyle w:val="Hyperlink"/>
          </w:rPr>
          <w:t xml:space="preserve">[57]</w:t>
        </w:r>
      </w:hyperlink>
      <w:r>
        <w:t xml:space="preserve"> </w:t>
      </w:r>
      <w:r>
        <w:t xml:space="preserve">https://kmlee.gatech.edu/me6406/handeye.pdf</w:t>
      </w:r>
    </w:p>
    <w:p>
      <w:pPr>
        <w:pStyle w:val="BodyText"/>
      </w:pPr>
      <w:hyperlink r:id="rId83">
        <w:r>
          <w:rPr>
            <w:rStyle w:val="Hyperlink"/>
          </w:rPr>
          <w:t xml:space="preserve">https://kmlee.gatech.edu/me6406/handeye.pdf</w:t>
        </w:r>
      </w:hyperlink>
    </w:p>
    <w:p>
      <w:pPr>
        <w:pStyle w:val="BodyText"/>
      </w:pPr>
      <w:hyperlink r:id="rId84">
        <w:r>
          <w:rPr>
            <w:rStyle w:val="Hyperlink"/>
          </w:rPr>
          <w:t xml:space="preserve">[58]</w:t>
        </w:r>
      </w:hyperlink>
      <w:r>
        <w:t xml:space="preserve"> </w:t>
      </w:r>
      <w:r>
        <w:t xml:space="preserve">https://arxiv.org/abs/2001.07715</w:t>
      </w:r>
    </w:p>
    <w:p>
      <w:pPr>
        <w:pStyle w:val="BodyText"/>
      </w:pPr>
      <w:hyperlink r:id="rId84">
        <w:r>
          <w:rPr>
            <w:rStyle w:val="Hyperlink"/>
          </w:rPr>
          <w:t xml:space="preserve">https://arxiv.org/abs/2001.07715</w:t>
        </w:r>
      </w:hyperlink>
    </w:p>
    <w:p>
      <w:pPr>
        <w:pStyle w:val="BodyText"/>
      </w:pPr>
      <w:hyperlink r:id="rId85">
        <w:r>
          <w:rPr>
            <w:rStyle w:val="Hyperlink"/>
          </w:rPr>
          <w:t xml:space="preserve">[59]</w:t>
        </w:r>
      </w:hyperlink>
      <w:r>
        <w:t xml:space="preserve"> </w:t>
      </w:r>
      <w:r>
        <w:t xml:space="preserve">https://www.open3d.org/docs/release/tutorial/pipelines/icp_registration.html</w:t>
      </w:r>
    </w:p>
    <w:p>
      <w:pPr>
        <w:pStyle w:val="BodyText"/>
      </w:pPr>
      <w:hyperlink r:id="rId85">
        <w:r>
          <w:rPr>
            <w:rStyle w:val="Hyperlink"/>
          </w:rPr>
          <w:t xml:space="preserve">https://www.open3d.org/docs/release/tutorial/pipelines/icp_registration.html</w:t>
        </w:r>
      </w:hyperlink>
    </w:p>
    <w:p>
      <w:pPr>
        <w:pStyle w:val="BodyText"/>
      </w:pPr>
      <w:hyperlink r:id="rId86">
        <w:r>
          <w:rPr>
            <w:rStyle w:val="Hyperlink"/>
          </w:rPr>
          <w:t xml:space="preserve">[60]</w:t>
        </w:r>
      </w:hyperlink>
      <w:r>
        <w:t xml:space="preserve"> </w:t>
      </w:r>
      <w:hyperlink r:id="rId86">
        <w:r>
          <w:rPr>
            <w:rStyle w:val="Hyperlink"/>
          </w:rPr>
          <w:t xml:space="preserve">[70]</w:t>
        </w:r>
      </w:hyperlink>
      <w:r>
        <w:t xml:space="preserve"> </w:t>
      </w:r>
      <w:r>
        <w:t xml:space="preserve">https://ais.informatik.uni-freiburg.de/publications/papers/kuemmerle11icra.pdf</w:t>
      </w:r>
    </w:p>
    <w:p>
      <w:pPr>
        <w:pStyle w:val="BodyText"/>
      </w:pPr>
      <w:hyperlink r:id="rId86">
        <w:r>
          <w:rPr>
            <w:rStyle w:val="Hyperlink"/>
          </w:rPr>
          <w:t xml:space="preserve">https://ais.informatik.uni-freiburg.de/publications/papers/kuemmerle11icra.pdf</w:t>
        </w:r>
      </w:hyperlink>
    </w:p>
    <w:p>
      <w:pPr>
        <w:pStyle w:val="BodyText"/>
      </w:pPr>
      <w:hyperlink r:id="rId88">
        <w:r>
          <w:rPr>
            <w:rStyle w:val="Hyperlink"/>
          </w:rPr>
          <w:t xml:space="preserve">[61]</w:t>
        </w:r>
      </w:hyperlink>
      <w:r>
        <w:t xml:space="preserve"> </w:t>
      </w:r>
      <w:r>
        <w:t xml:space="preserve">https://arxiv.org/abs/1505.04597</w:t>
      </w:r>
    </w:p>
    <w:p>
      <w:pPr>
        <w:pStyle w:val="BodyText"/>
      </w:pPr>
      <w:hyperlink r:id="rId88">
        <w:r>
          <w:rPr>
            <w:rStyle w:val="Hyperlink"/>
          </w:rPr>
          <w:t xml:space="preserve">https://arxiv.org/abs/1505.04597</w:t>
        </w:r>
      </w:hyperlink>
    </w:p>
    <w:p>
      <w:pPr>
        <w:pStyle w:val="BodyText"/>
      </w:pPr>
      <w:hyperlink r:id="rId89">
        <w:r>
          <w:rPr>
            <w:rStyle w:val="Hyperlink"/>
          </w:rPr>
          <w:t xml:space="preserve">[62]</w:t>
        </w:r>
      </w:hyperlink>
      <w:r>
        <w:t xml:space="preserve"> </w:t>
      </w:r>
      <w:r>
        <w:t xml:space="preserve">https://arxiv.org/abs/1703.06870</w:t>
      </w:r>
    </w:p>
    <w:p>
      <w:pPr>
        <w:pStyle w:val="BodyText"/>
      </w:pPr>
      <w:hyperlink r:id="rId89">
        <w:r>
          <w:rPr>
            <w:rStyle w:val="Hyperlink"/>
          </w:rPr>
          <w:t xml:space="preserve">https://arxiv.org/abs/1703.06870</w:t>
        </w:r>
      </w:hyperlink>
    </w:p>
    <w:p>
      <w:pPr>
        <w:pStyle w:val="BodyText"/>
      </w:pPr>
      <w:hyperlink r:id="rId90">
        <w:r>
          <w:rPr>
            <w:rStyle w:val="Hyperlink"/>
          </w:rPr>
          <w:t xml:space="preserve">[63]</w:t>
        </w:r>
      </w:hyperlink>
      <w:r>
        <w:t xml:space="preserve"> </w:t>
      </w:r>
      <w:r>
        <w:t xml:space="preserve">https://arxiv.org/abs/2304.02643</w:t>
      </w:r>
    </w:p>
    <w:p>
      <w:pPr>
        <w:pStyle w:val="BodyText"/>
      </w:pPr>
      <w:hyperlink r:id="rId90">
        <w:r>
          <w:rPr>
            <w:rStyle w:val="Hyperlink"/>
          </w:rPr>
          <w:t xml:space="preserve">https://arxiv.org/abs/2304.02643</w:t>
        </w:r>
      </w:hyperlink>
    </w:p>
    <w:p>
      <w:pPr>
        <w:pStyle w:val="BodyText"/>
      </w:pPr>
      <w:hyperlink r:id="rId91">
        <w:r>
          <w:rPr>
            <w:rStyle w:val="Hyperlink"/>
          </w:rPr>
          <w:t xml:space="preserve">[64]</w:t>
        </w:r>
      </w:hyperlink>
      <w:r>
        <w:t xml:space="preserve"> </w:t>
      </w:r>
      <w:r>
        <w:t xml:space="preserve">https://arxiv.org/abs/1706.02413</w:t>
      </w:r>
    </w:p>
    <w:p>
      <w:pPr>
        <w:pStyle w:val="BodyText"/>
      </w:pPr>
      <w:hyperlink r:id="rId91">
        <w:r>
          <w:rPr>
            <w:rStyle w:val="Hyperlink"/>
          </w:rPr>
          <w:t xml:space="preserve">https://arxiv.org/abs/1706.02413</w:t>
        </w:r>
      </w:hyperlink>
    </w:p>
    <w:p>
      <w:pPr>
        <w:pStyle w:val="BodyText"/>
      </w:pPr>
      <w:hyperlink r:id="rId93">
        <w:r>
          <w:rPr>
            <w:rStyle w:val="Hyperlink"/>
          </w:rPr>
          <w:t xml:space="preserve">[66]</w:t>
        </w:r>
      </w:hyperlink>
      <w:r>
        <w:t xml:space="preserve"> </w:t>
      </w:r>
      <w:r>
        <w:t xml:space="preserve">https://www.mdpi.com/2077-0472/14/3/391</w:t>
      </w:r>
    </w:p>
    <w:p>
      <w:pPr>
        <w:pStyle w:val="BodyText"/>
      </w:pPr>
      <w:hyperlink r:id="rId93">
        <w:r>
          <w:rPr>
            <w:rStyle w:val="Hyperlink"/>
          </w:rPr>
          <w:t xml:space="preserve">https://www.mdpi.com/2077-0472/14/3/391</w:t>
        </w:r>
      </w:hyperlink>
    </w:p>
    <w:p>
      <w:pPr>
        <w:pStyle w:val="BodyText"/>
      </w:pPr>
      <w:hyperlink r:id="rId95">
        <w:r>
          <w:rPr>
            <w:rStyle w:val="Hyperlink"/>
          </w:rPr>
          <w:t xml:space="preserve">[67]</w:t>
        </w:r>
      </w:hyperlink>
      <w:r>
        <w:t xml:space="preserve"> </w:t>
      </w:r>
      <w:r>
        <w:t xml:space="preserve">https://openmvg.readthedocs.io/en/latest/</w:t>
      </w:r>
    </w:p>
    <w:p>
      <w:pPr>
        <w:pStyle w:val="BodyText"/>
      </w:pPr>
      <w:hyperlink r:id="rId95">
        <w:r>
          <w:rPr>
            <w:rStyle w:val="Hyperlink"/>
          </w:rPr>
          <w:t xml:space="preserve">https://openmvg.readthedocs.io/en/latest/</w:t>
        </w:r>
      </w:hyperlink>
    </w:p>
    <w:p>
      <w:pPr>
        <w:pStyle w:val="BodyText"/>
      </w:pPr>
      <w:hyperlink r:id="rId96">
        <w:r>
          <w:rPr>
            <w:rStyle w:val="Hyperlink"/>
          </w:rPr>
          <w:t xml:space="preserve">[68]</w:t>
        </w:r>
      </w:hyperlink>
      <w:r>
        <w:t xml:space="preserve"> </w:t>
      </w:r>
      <w:r>
        <w:t xml:space="preserve">https://www.open3d.org/html/</w:t>
      </w:r>
    </w:p>
    <w:p>
      <w:pPr>
        <w:pStyle w:val="BodyText"/>
      </w:pPr>
      <w:hyperlink r:id="rId96">
        <w:r>
          <w:rPr>
            <w:rStyle w:val="Hyperlink"/>
          </w:rPr>
          <w:t xml:space="preserve">https://www.open3d.org/html/</w:t>
        </w:r>
      </w:hyperlink>
    </w:p>
    <w:p>
      <w:pPr>
        <w:pStyle w:val="BodyText"/>
      </w:pPr>
      <w:hyperlink r:id="rId97">
        <w:r>
          <w:rPr>
            <w:rStyle w:val="Hyperlink"/>
          </w:rPr>
          <w:t xml:space="preserve">[71]</w:t>
        </w:r>
      </w:hyperlink>
      <w:r>
        <w:t xml:space="preserve"> </w:t>
      </w:r>
      <w:r>
        <w:t xml:space="preserve">https://ros2docs.robook.org/humble/Installation/DDS-Implementations.html</w:t>
      </w:r>
    </w:p>
    <w:p>
      <w:pPr>
        <w:pStyle w:val="BodyText"/>
      </w:pPr>
      <w:hyperlink r:id="rId97">
        <w:r>
          <w:rPr>
            <w:rStyle w:val="Hyperlink"/>
          </w:rPr>
          <w:t xml:space="preserve">https://ros2docs.robook.org/humble/Installation/DDS-Implementations.html</w:t>
        </w:r>
      </w:hyperlink>
    </w:p>
    <w:p>
      <w:pPr>
        <w:pStyle w:val="BodyText"/>
      </w:pPr>
      <w:hyperlink r:id="rId98">
        <w:r>
          <w:rPr>
            <w:rStyle w:val="Hyperlink"/>
          </w:rPr>
          <w:t xml:space="preserve">[72]</w:t>
        </w:r>
      </w:hyperlink>
      <w:r>
        <w:t xml:space="preserve"> </w:t>
      </w:r>
      <w:r>
        <w:t xml:space="preserve">https://ftp.udx.icscoe.jp/ros/ros_docs_mirror/en/humble/Tutorials/Real-Time-Programming.html</w:t>
      </w:r>
    </w:p>
    <w:p>
      <w:pPr>
        <w:pStyle w:val="BodyText"/>
      </w:pPr>
      <w:hyperlink r:id="rId98">
        <w:r>
          <w:rPr>
            <w:rStyle w:val="Hyperlink"/>
          </w:rPr>
          <w:t xml:space="preserve">https://ftp.udx.icscoe.jp/ros/ros_docs_mirror/en/humble/Tutorials/Real-Time-Programming.html</w:t>
        </w:r>
      </w:hyperlink>
    </w:p>
    <w:bookmarkEnd w:id="10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1" Target="https://academic.oup.com/plphys/article/172/3/1358/6115817" TargetMode="External" /><Relationship Type="http://schemas.openxmlformats.org/officeDocument/2006/relationships/hyperlink" Id="rId86" Target="https://ais.informatik.uni-freiburg.de/publications/papers/kuemmerle11icra.pdf" TargetMode="External" /><Relationship Type="http://schemas.openxmlformats.org/officeDocument/2006/relationships/hyperlink" Id="rId81" Target="https://april.eecs.umich.edu/software/apriltag" TargetMode="External" /><Relationship Type="http://schemas.openxmlformats.org/officeDocument/2006/relationships/hyperlink" Id="rId74" Target="https://archive.control.lth.se/media/Education/DoctorateProgram/2018/Robust%20Control/Lecture3.pdf" TargetMode="External" /><Relationship Type="http://schemas.openxmlformats.org/officeDocument/2006/relationships/hyperlink" Id="rId88" Target="https://arxiv.org/abs/1505.04597" TargetMode="External" /><Relationship Type="http://schemas.openxmlformats.org/officeDocument/2006/relationships/hyperlink" Id="rId89" Target="https://arxiv.org/abs/1703.06870" TargetMode="External" /><Relationship Type="http://schemas.openxmlformats.org/officeDocument/2006/relationships/hyperlink" Id="rId91" Target="https://arxiv.org/abs/1706.02413" TargetMode="External" /><Relationship Type="http://schemas.openxmlformats.org/officeDocument/2006/relationships/hyperlink" Id="rId84" Target="https://arxiv.org/abs/2001.07715" TargetMode="External" /><Relationship Type="http://schemas.openxmlformats.org/officeDocument/2006/relationships/hyperlink" Id="rId58" Target="https://arxiv.org/abs/2003.08934" TargetMode="External" /><Relationship Type="http://schemas.openxmlformats.org/officeDocument/2006/relationships/hyperlink" Id="rId59" Target="https://arxiv.org/abs/2201.05989" TargetMode="External" /><Relationship Type="http://schemas.openxmlformats.org/officeDocument/2006/relationships/hyperlink" Id="rId90" Target="https://arxiv.org/abs/2304.02643" TargetMode="External" /><Relationship Type="http://schemas.openxmlformats.org/officeDocument/2006/relationships/hyperlink" Id="rId60" Target="https://arxiv.org/abs/2308.04079" TargetMode="External" /><Relationship Type="http://schemas.openxmlformats.org/officeDocument/2006/relationships/hyperlink" Id="rId69" Target="https://ceres-solver.org/nnls_tutorial.html" TargetMode="External" /><Relationship Type="http://schemas.openxmlformats.org/officeDocument/2006/relationships/hyperlink" Id="rId75" Target="https://courses.ece.ubc.ca/574/EECE574-11.pdf" TargetMode="External" /><Relationship Type="http://schemas.openxmlformats.org/officeDocument/2006/relationships/hyperlink" Id="rId56" Target="https://courses.healthtech.dtu.dk/22485/notes/ct_reconstruction_ver_2025_2_slides.pdf" TargetMode="External" /><Relationship Type="http://schemas.openxmlformats.org/officeDocument/2006/relationships/hyperlink" Id="rId38" Target="https://datadryad.org/dataset/doi%3A10.5061/dryad.d2547d8bx" TargetMode="External" /><Relationship Type="http://schemas.openxmlformats.org/officeDocument/2006/relationships/hyperlink" Id="rId30" Target="https://demuc.de/papers/schoenberger2016sfm.pdf" TargetMode="External" /><Relationship Type="http://schemas.openxmlformats.org/officeDocument/2006/relationships/hyperlink" Id="rId48" Target="https://docs.opencv.org/4.x/dc/dbb/tutorial_py_calibration.html" TargetMode="External" /><Relationship Type="http://schemas.openxmlformats.org/officeDocument/2006/relationships/hyperlink" Id="rId78" Target="https://engineering.purdue.edu/~byao/Courses/ME578%20-%20Yao%20-%20Spring%202018/Chap9_overhead_filled.pdf" TargetMode="External" /><Relationship Type="http://schemas.openxmlformats.org/officeDocument/2006/relationships/hyperlink" Id="rId98" Target="https://ftp.udx.icscoe.jp/ros/ros_docs_mirror/en/humble/Tutorials/Real-Time-Programming.html" TargetMode="External" /><Relationship Type="http://schemas.openxmlformats.org/officeDocument/2006/relationships/hyperlink" Id="rId33" Target="https://github.com/RSMagneto/SSANet" TargetMode="External" /><Relationship Type="http://schemas.openxmlformats.org/officeDocument/2006/relationships/hyperlink" Id="rId82" Target="https://github.com/ethz-asl/kalibr" TargetMode="External" /><Relationship Type="http://schemas.openxmlformats.org/officeDocument/2006/relationships/hyperlink" Id="rId83" Target="https://kmlee.gatech.edu/me6406/handeye.pdf" TargetMode="External" /><Relationship Type="http://schemas.openxmlformats.org/officeDocument/2006/relationships/hyperlink" Id="rId25" Target="https://link.springer.com/article/10.1186/s12284-020-00429-w" TargetMode="External" /><Relationship Type="http://schemas.openxmlformats.org/officeDocument/2006/relationships/hyperlink" Id="rId32" Target="https://link.springer.com/article/10.1186/s13007-020-00591-8" TargetMode="External" /><Relationship Type="http://schemas.openxmlformats.org/officeDocument/2006/relationships/hyperlink" Id="rId34" Target="https://link.springer.com/chapter/10.1007/978-3-319-56414-2_5" TargetMode="External" /><Relationship Type="http://schemas.openxmlformats.org/officeDocument/2006/relationships/hyperlink" Id="rId24" Target="https://link.springer.com/content/pdf/10.1186/s13007-019-0468-y.pdf" TargetMode="External" /><Relationship Type="http://schemas.openxmlformats.org/officeDocument/2006/relationships/hyperlink" Id="rId41" Target="https://m.madeinchina.com/mall/show-Wiiboox-Reeyee-PRO-Full-Color-Handheld-3D-Scanner_990066.html" TargetMode="External" /><Relationship Type="http://schemas.openxmlformats.org/officeDocument/2006/relationships/hyperlink" Id="rId76" Target="https://ntrs.nasa.gov/api/citations/20090032037/downloads/20090032037.pdf" TargetMode="External" /><Relationship Type="http://schemas.openxmlformats.org/officeDocument/2006/relationships/hyperlink" Id="rId22" Target="https://openaccess.thecvf.com/content/ICCV2023W/CVPPA/papers/Cherepashkin_Deep_Learning_Based_3d_Reconstruction_for_Phenotyping_of_Wheat_Seeds_ICCVW_2023_paper.pdf" TargetMode="External" /><Relationship Type="http://schemas.openxmlformats.org/officeDocument/2006/relationships/hyperlink" Id="rId36" Target="https://openaccess.thecvf.com/content_cvpr_2017/papers/Schops_A_Multi-View_Stereo_CVPR_2017_paper.pdf" TargetMode="External" /><Relationship Type="http://schemas.openxmlformats.org/officeDocument/2006/relationships/hyperlink" Id="rId95" Target="https://openmvg.readthedocs.io/en/latest/" TargetMode="External" /><Relationship Type="http://schemas.openxmlformats.org/officeDocument/2006/relationships/hyperlink" Id="rId66" Target="https://people.eecs.berkeley.edu/~pabbeel/cs287-fa12/optreadings/Arulampalam_etal_2002.pdf" TargetMode="External" /><Relationship Type="http://schemas.openxmlformats.org/officeDocument/2006/relationships/hyperlink" Id="rId53" Target="https://resonon.com/blog-raw-radiance-reflectance-hyperspectral-data" TargetMode="External" /><Relationship Type="http://schemas.openxmlformats.org/officeDocument/2006/relationships/hyperlink" Id="rId97" Target="https://ros2docs.robook.org/humble/Installation/DDS-Implementations.html" TargetMode="External" /><Relationship Type="http://schemas.openxmlformats.org/officeDocument/2006/relationships/hyperlink" Id="rId28" Target="https://rpg.ifi.uzh.ch/docs/ICRA16_Isler.pdf" TargetMode="External" /><Relationship Type="http://schemas.openxmlformats.org/officeDocument/2006/relationships/hyperlink" Id="rId67" Target="https://sites.engineering.ucsb.edu/~jbraw/mpc/MPC-book-2nd-edition-4th-printing.pdf" TargetMode="External" /><Relationship Type="http://schemas.openxmlformats.org/officeDocument/2006/relationships/hyperlink" Id="rId51" Target="https://tristanvanleeuwen.github.io/IP_and_Im_Lectures/tomography.html" TargetMode="External" /><Relationship Type="http://schemas.openxmlformats.org/officeDocument/2006/relationships/hyperlink" Id="rId44" Target="https://tsapps.nist.gov/publication/get_pdf.cfm?pub_id=903023" TargetMode="External" /><Relationship Type="http://schemas.openxmlformats.org/officeDocument/2006/relationships/hyperlink" Id="rId35" Target="https://vladlen.info/papers/tanks-and-temples.pdf" TargetMode="External" /><Relationship Type="http://schemas.openxmlformats.org/officeDocument/2006/relationships/hyperlink" Id="rId47" Target="https://web.stanford.edu/class/cs231a/course_notes/01-camera-models.pdf" TargetMode="External" /><Relationship Type="http://schemas.openxmlformats.org/officeDocument/2006/relationships/hyperlink" Id="rId64" Target="https://web.stanford.edu/class/ee363/lectures/ekf.pdf" TargetMode="External" /><Relationship Type="http://schemas.openxmlformats.org/officeDocument/2006/relationships/hyperlink" Id="rId68" Target="https://www.cs.jhu.edu/~misha/ReadingSeminar/Papers/Triggs00.pdf" TargetMode="External" /><Relationship Type="http://schemas.openxmlformats.org/officeDocument/2006/relationships/hyperlink" Id="rId65" Target="https://www.cs.ubc.ca/~murphyk/Papers/Julier_Uhlmann_mar04.pdf" TargetMode="External" /><Relationship Type="http://schemas.openxmlformats.org/officeDocument/2006/relationships/hyperlink" Id="rId63" Target="https://www.cs.unc.edu/~welch/kalman/media/pdf/Kalman1960.pdf" TargetMode="External" /><Relationship Type="http://schemas.openxmlformats.org/officeDocument/2006/relationships/hyperlink" Id="rId43" Target="https://www.digikey.com/en/product-highlight/i/intel/d455-realsense-depth-cameras" TargetMode="External" /><Relationship Type="http://schemas.openxmlformats.org/officeDocument/2006/relationships/hyperlink" Id="rId49" Target="https://www.emva.org/standards-technology/emva-1288/" TargetMode="External" /><Relationship Type="http://schemas.openxmlformats.org/officeDocument/2006/relationships/hyperlink" Id="rId27" Target="https://www.frontiersin.org/journals/plant-science/articles/10.3389/fpls.2020.575810/full" TargetMode="External" /><Relationship Type="http://schemas.openxmlformats.org/officeDocument/2006/relationships/hyperlink" Id="rId52" Target="https://www.mdpi.com/1424-8220/21/11/3738" TargetMode="External" /><Relationship Type="http://schemas.openxmlformats.org/officeDocument/2006/relationships/hyperlink" Id="rId50" Target="https://www.mdpi.com/1424-8220/21/22/7770" TargetMode="External" /><Relationship Type="http://schemas.openxmlformats.org/officeDocument/2006/relationships/hyperlink" Id="rId93" Target="https://www.mdpi.com/2077-0472/14/3/391" TargetMode="External" /><Relationship Type="http://schemas.openxmlformats.org/officeDocument/2006/relationships/hyperlink" Id="rId40" Target="https://www.microphotonics.com/how-much-does-a-micro-ct-scanner-cost/" TargetMode="External" /><Relationship Type="http://schemas.openxmlformats.org/officeDocument/2006/relationships/hyperlink" Id="rId37" Target="https://www.nature.com/articles/s41597-023-02660-8.pdf" TargetMode="External" /><Relationship Type="http://schemas.openxmlformats.org/officeDocument/2006/relationships/hyperlink" Id="rId23" Target="https://www.nature.com/articles/s41598-022-07221-4.pdf" TargetMode="External" /><Relationship Type="http://schemas.openxmlformats.org/officeDocument/2006/relationships/hyperlink" Id="rId85" Target="https://www.open3d.org/docs/release/tutorial/pipelines/icp_registration.html" TargetMode="External" /><Relationship Type="http://schemas.openxmlformats.org/officeDocument/2006/relationships/hyperlink" Id="rId96" Target="https://www.open3d.org/html/" TargetMode="External" /><Relationship Type="http://schemas.openxmlformats.org/officeDocument/2006/relationships/hyperlink" Id="rId42" Target="https://www.realsenseai.com/products/real-sense-depth-camera-d455f/" TargetMode="External" /><Relationship Type="http://schemas.openxmlformats.org/officeDocument/2006/relationships/hyperlink" Id="rId26" Target="https://www.sciencedirect.com/science/article/pii/S0168169923007664" TargetMode="External" /><Relationship Type="http://schemas.openxmlformats.org/officeDocument/2006/relationships/hyperlink" Id="rId72" Target="https://www.sciencedirect.com/science/article/pii/S2667393225000171" TargetMode="External" /></Relationships>
</file>

<file path=word/_rels/footnotes.xml.rels><?xml version="1.0" encoding="UTF-8"?><Relationships xmlns="http://schemas.openxmlformats.org/package/2006/relationships"><Relationship Type="http://schemas.openxmlformats.org/officeDocument/2006/relationships/hyperlink" Id="rId21" Target="https://academic.oup.com/plphys/article/172/3/1358/6115817" TargetMode="External" /><Relationship Type="http://schemas.openxmlformats.org/officeDocument/2006/relationships/hyperlink" Id="rId86" Target="https://ais.informatik.uni-freiburg.de/publications/papers/kuemmerle11icra.pdf" TargetMode="External" /><Relationship Type="http://schemas.openxmlformats.org/officeDocument/2006/relationships/hyperlink" Id="rId81" Target="https://april.eecs.umich.edu/software/apriltag" TargetMode="External" /><Relationship Type="http://schemas.openxmlformats.org/officeDocument/2006/relationships/hyperlink" Id="rId74" Target="https://archive.control.lth.se/media/Education/DoctorateProgram/2018/Robust%20Control/Lecture3.pdf" TargetMode="External" /><Relationship Type="http://schemas.openxmlformats.org/officeDocument/2006/relationships/hyperlink" Id="rId88" Target="https://arxiv.org/abs/1505.04597" TargetMode="External" /><Relationship Type="http://schemas.openxmlformats.org/officeDocument/2006/relationships/hyperlink" Id="rId89" Target="https://arxiv.org/abs/1703.06870" TargetMode="External" /><Relationship Type="http://schemas.openxmlformats.org/officeDocument/2006/relationships/hyperlink" Id="rId91" Target="https://arxiv.org/abs/1706.02413" TargetMode="External" /><Relationship Type="http://schemas.openxmlformats.org/officeDocument/2006/relationships/hyperlink" Id="rId84" Target="https://arxiv.org/abs/2001.07715" TargetMode="External" /><Relationship Type="http://schemas.openxmlformats.org/officeDocument/2006/relationships/hyperlink" Id="rId58" Target="https://arxiv.org/abs/2003.08934" TargetMode="External" /><Relationship Type="http://schemas.openxmlformats.org/officeDocument/2006/relationships/hyperlink" Id="rId59" Target="https://arxiv.org/abs/2201.05989" TargetMode="External" /><Relationship Type="http://schemas.openxmlformats.org/officeDocument/2006/relationships/hyperlink" Id="rId90" Target="https://arxiv.org/abs/2304.02643" TargetMode="External" /><Relationship Type="http://schemas.openxmlformats.org/officeDocument/2006/relationships/hyperlink" Id="rId60" Target="https://arxiv.org/abs/2308.04079" TargetMode="External" /><Relationship Type="http://schemas.openxmlformats.org/officeDocument/2006/relationships/hyperlink" Id="rId69" Target="https://ceres-solver.org/nnls_tutorial.html" TargetMode="External" /><Relationship Type="http://schemas.openxmlformats.org/officeDocument/2006/relationships/hyperlink" Id="rId75" Target="https://courses.ece.ubc.ca/574/EECE574-11.pdf" TargetMode="External" /><Relationship Type="http://schemas.openxmlformats.org/officeDocument/2006/relationships/hyperlink" Id="rId56" Target="https://courses.healthtech.dtu.dk/22485/notes/ct_reconstruction_ver_2025_2_slides.pdf" TargetMode="External" /><Relationship Type="http://schemas.openxmlformats.org/officeDocument/2006/relationships/hyperlink" Id="rId38" Target="https://datadryad.org/dataset/doi%3A10.5061/dryad.d2547d8bx" TargetMode="External" /><Relationship Type="http://schemas.openxmlformats.org/officeDocument/2006/relationships/hyperlink" Id="rId30" Target="https://demuc.de/papers/schoenberger2016sfm.pdf" TargetMode="External" /><Relationship Type="http://schemas.openxmlformats.org/officeDocument/2006/relationships/hyperlink" Id="rId48" Target="https://docs.opencv.org/4.x/dc/dbb/tutorial_py_calibration.html" TargetMode="External" /><Relationship Type="http://schemas.openxmlformats.org/officeDocument/2006/relationships/hyperlink" Id="rId78" Target="https://engineering.purdue.edu/~byao/Courses/ME578%20-%20Yao%20-%20Spring%202018/Chap9_overhead_filled.pdf" TargetMode="External" /><Relationship Type="http://schemas.openxmlformats.org/officeDocument/2006/relationships/hyperlink" Id="rId98" Target="https://ftp.udx.icscoe.jp/ros/ros_docs_mirror/en/humble/Tutorials/Real-Time-Programming.html" TargetMode="External" /><Relationship Type="http://schemas.openxmlformats.org/officeDocument/2006/relationships/hyperlink" Id="rId33" Target="https://github.com/RSMagneto/SSANet" TargetMode="External" /><Relationship Type="http://schemas.openxmlformats.org/officeDocument/2006/relationships/hyperlink" Id="rId82" Target="https://github.com/ethz-asl/kalibr" TargetMode="External" /><Relationship Type="http://schemas.openxmlformats.org/officeDocument/2006/relationships/hyperlink" Id="rId83" Target="https://kmlee.gatech.edu/me6406/handeye.pdf" TargetMode="External" /><Relationship Type="http://schemas.openxmlformats.org/officeDocument/2006/relationships/hyperlink" Id="rId25" Target="https://link.springer.com/article/10.1186/s12284-020-00429-w" TargetMode="External" /><Relationship Type="http://schemas.openxmlformats.org/officeDocument/2006/relationships/hyperlink" Id="rId32" Target="https://link.springer.com/article/10.1186/s13007-020-00591-8" TargetMode="External" /><Relationship Type="http://schemas.openxmlformats.org/officeDocument/2006/relationships/hyperlink" Id="rId34" Target="https://link.springer.com/chapter/10.1007/978-3-319-56414-2_5" TargetMode="External" /><Relationship Type="http://schemas.openxmlformats.org/officeDocument/2006/relationships/hyperlink" Id="rId24" Target="https://link.springer.com/content/pdf/10.1186/s13007-019-0468-y.pdf" TargetMode="External" /><Relationship Type="http://schemas.openxmlformats.org/officeDocument/2006/relationships/hyperlink" Id="rId41" Target="https://m.madeinchina.com/mall/show-Wiiboox-Reeyee-PRO-Full-Color-Handheld-3D-Scanner_990066.html" TargetMode="External" /><Relationship Type="http://schemas.openxmlformats.org/officeDocument/2006/relationships/hyperlink" Id="rId76" Target="https://ntrs.nasa.gov/api/citations/20090032037/downloads/20090032037.pdf" TargetMode="External" /><Relationship Type="http://schemas.openxmlformats.org/officeDocument/2006/relationships/hyperlink" Id="rId22" Target="https://openaccess.thecvf.com/content/ICCV2023W/CVPPA/papers/Cherepashkin_Deep_Learning_Based_3d_Reconstruction_for_Phenotyping_of_Wheat_Seeds_ICCVW_2023_paper.pdf" TargetMode="External" /><Relationship Type="http://schemas.openxmlformats.org/officeDocument/2006/relationships/hyperlink" Id="rId36" Target="https://openaccess.thecvf.com/content_cvpr_2017/papers/Schops_A_Multi-View_Stereo_CVPR_2017_paper.pdf" TargetMode="External" /><Relationship Type="http://schemas.openxmlformats.org/officeDocument/2006/relationships/hyperlink" Id="rId95" Target="https://openmvg.readthedocs.io/en/latest/" TargetMode="External" /><Relationship Type="http://schemas.openxmlformats.org/officeDocument/2006/relationships/hyperlink" Id="rId66" Target="https://people.eecs.berkeley.edu/~pabbeel/cs287-fa12/optreadings/Arulampalam_etal_2002.pdf" TargetMode="External" /><Relationship Type="http://schemas.openxmlformats.org/officeDocument/2006/relationships/hyperlink" Id="rId53" Target="https://resonon.com/blog-raw-radiance-reflectance-hyperspectral-data" TargetMode="External" /><Relationship Type="http://schemas.openxmlformats.org/officeDocument/2006/relationships/hyperlink" Id="rId97" Target="https://ros2docs.robook.org/humble/Installation/DDS-Implementations.html" TargetMode="External" /><Relationship Type="http://schemas.openxmlformats.org/officeDocument/2006/relationships/hyperlink" Id="rId28" Target="https://rpg.ifi.uzh.ch/docs/ICRA16_Isler.pdf" TargetMode="External" /><Relationship Type="http://schemas.openxmlformats.org/officeDocument/2006/relationships/hyperlink" Id="rId67" Target="https://sites.engineering.ucsb.edu/~jbraw/mpc/MPC-book-2nd-edition-4th-printing.pdf" TargetMode="External" /><Relationship Type="http://schemas.openxmlformats.org/officeDocument/2006/relationships/hyperlink" Id="rId51" Target="https://tristanvanleeuwen.github.io/IP_and_Im_Lectures/tomography.html" TargetMode="External" /><Relationship Type="http://schemas.openxmlformats.org/officeDocument/2006/relationships/hyperlink" Id="rId44" Target="https://tsapps.nist.gov/publication/get_pdf.cfm?pub_id=903023" TargetMode="External" /><Relationship Type="http://schemas.openxmlformats.org/officeDocument/2006/relationships/hyperlink" Id="rId35" Target="https://vladlen.info/papers/tanks-and-temples.pdf" TargetMode="External" /><Relationship Type="http://schemas.openxmlformats.org/officeDocument/2006/relationships/hyperlink" Id="rId47" Target="https://web.stanford.edu/class/cs231a/course_notes/01-camera-models.pdf" TargetMode="External" /><Relationship Type="http://schemas.openxmlformats.org/officeDocument/2006/relationships/hyperlink" Id="rId64" Target="https://web.stanford.edu/class/ee363/lectures/ekf.pdf" TargetMode="External" /><Relationship Type="http://schemas.openxmlformats.org/officeDocument/2006/relationships/hyperlink" Id="rId68" Target="https://www.cs.jhu.edu/~misha/ReadingSeminar/Papers/Triggs00.pdf" TargetMode="External" /><Relationship Type="http://schemas.openxmlformats.org/officeDocument/2006/relationships/hyperlink" Id="rId65" Target="https://www.cs.ubc.ca/~murphyk/Papers/Julier_Uhlmann_mar04.pdf" TargetMode="External" /><Relationship Type="http://schemas.openxmlformats.org/officeDocument/2006/relationships/hyperlink" Id="rId63" Target="https://www.cs.unc.edu/~welch/kalman/media/pdf/Kalman1960.pdf" TargetMode="External" /><Relationship Type="http://schemas.openxmlformats.org/officeDocument/2006/relationships/hyperlink" Id="rId43" Target="https://www.digikey.com/en/product-highlight/i/intel/d455-realsense-depth-cameras" TargetMode="External" /><Relationship Type="http://schemas.openxmlformats.org/officeDocument/2006/relationships/hyperlink" Id="rId49" Target="https://www.emva.org/standards-technology/emva-1288/" TargetMode="External" /><Relationship Type="http://schemas.openxmlformats.org/officeDocument/2006/relationships/hyperlink" Id="rId27" Target="https://www.frontiersin.org/journals/plant-science/articles/10.3389/fpls.2020.575810/full" TargetMode="External" /><Relationship Type="http://schemas.openxmlformats.org/officeDocument/2006/relationships/hyperlink" Id="rId52" Target="https://www.mdpi.com/1424-8220/21/11/3738" TargetMode="External" /><Relationship Type="http://schemas.openxmlformats.org/officeDocument/2006/relationships/hyperlink" Id="rId50" Target="https://www.mdpi.com/1424-8220/21/22/7770" TargetMode="External" /><Relationship Type="http://schemas.openxmlformats.org/officeDocument/2006/relationships/hyperlink" Id="rId93" Target="https://www.mdpi.com/2077-0472/14/3/391" TargetMode="External" /><Relationship Type="http://schemas.openxmlformats.org/officeDocument/2006/relationships/hyperlink" Id="rId40" Target="https://www.microphotonics.com/how-much-does-a-micro-ct-scanner-cost/" TargetMode="External" /><Relationship Type="http://schemas.openxmlformats.org/officeDocument/2006/relationships/hyperlink" Id="rId37" Target="https://www.nature.com/articles/s41597-023-02660-8.pdf" TargetMode="External" /><Relationship Type="http://schemas.openxmlformats.org/officeDocument/2006/relationships/hyperlink" Id="rId23" Target="https://www.nature.com/articles/s41598-022-07221-4.pdf" TargetMode="External" /><Relationship Type="http://schemas.openxmlformats.org/officeDocument/2006/relationships/hyperlink" Id="rId85" Target="https://www.open3d.org/docs/release/tutorial/pipelines/icp_registration.html" TargetMode="External" /><Relationship Type="http://schemas.openxmlformats.org/officeDocument/2006/relationships/hyperlink" Id="rId96" Target="https://www.open3d.org/html/" TargetMode="External" /><Relationship Type="http://schemas.openxmlformats.org/officeDocument/2006/relationships/hyperlink" Id="rId42" Target="https://www.realsenseai.com/products/real-sense-depth-camera-d455f/" TargetMode="External" /><Relationship Type="http://schemas.openxmlformats.org/officeDocument/2006/relationships/hyperlink" Id="rId26" Target="https://www.sciencedirect.com/science/article/pii/S0168169923007664" TargetMode="External" /><Relationship Type="http://schemas.openxmlformats.org/officeDocument/2006/relationships/hyperlink" Id="rId72" Target="https://www.sciencedirect.com/science/article/pii/S266739322500017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2026-03-17T18:23:20Z</dcterms:created>
  <dcterms:modified xsi:type="dcterms:W3CDTF">2026-03-17T18:23:20Z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