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FA6F" w14:textId="77777777" w:rsidR="00276CA6" w:rsidRPr="00276CA6" w:rsidRDefault="00276CA6" w:rsidP="00BC42F8">
      <w:pPr>
        <w:rPr>
          <w:b/>
          <w:u w:val="single"/>
        </w:rPr>
      </w:pPr>
      <w:r>
        <w:rPr>
          <w:b/>
          <w:u w:val="single"/>
        </w:rPr>
        <w:t>Issue Brief</w:t>
      </w:r>
      <w:r w:rsidR="00523813">
        <w:rPr>
          <w:b/>
          <w:u w:val="single"/>
        </w:rPr>
        <w:t xml:space="preserve"> Outline</w:t>
      </w:r>
      <w:r>
        <w:rPr>
          <w:b/>
          <w:u w:val="single"/>
        </w:rPr>
        <w:t>: Comparing the Results of ACM/</w:t>
      </w:r>
      <w:r w:rsidR="00523813">
        <w:rPr>
          <w:b/>
          <w:u w:val="single"/>
        </w:rPr>
        <w:t>IMPAQ</w:t>
      </w:r>
      <w:r>
        <w:rPr>
          <w:b/>
          <w:u w:val="single"/>
        </w:rPr>
        <w:t xml:space="preserve"> models</w:t>
      </w:r>
    </w:p>
    <w:p w14:paraId="1B50337E" w14:textId="77777777" w:rsidR="00BC42F8" w:rsidRDefault="00BC42F8" w:rsidP="00BC42F8">
      <w:pPr>
        <w:pStyle w:val="ListParagraph"/>
        <w:numPr>
          <w:ilvl w:val="0"/>
          <w:numId w:val="1"/>
        </w:numPr>
      </w:pPr>
      <w:r>
        <w:t>Introduction</w:t>
      </w:r>
    </w:p>
    <w:p w14:paraId="6ED420F8" w14:textId="77777777" w:rsidR="00BC42F8" w:rsidRDefault="00BC42F8" w:rsidP="00BC42F8">
      <w:pPr>
        <w:pStyle w:val="ListParagraph"/>
        <w:numPr>
          <w:ilvl w:val="1"/>
          <w:numId w:val="1"/>
        </w:numPr>
      </w:pPr>
      <w:r>
        <w:t>Project Overview</w:t>
      </w:r>
    </w:p>
    <w:p w14:paraId="5B01ACC6" w14:textId="77777777" w:rsidR="003857C7" w:rsidRDefault="003857C7" w:rsidP="003857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Access to and use of paid and unpaid leave are critical to an individual’s financial security and quality of life (Winston, 2017). The United States remains an outlier when it comes to paid leave. Nearly every other developed country provides paid maternity leave, and most advanced industrial countries offer extended paid medical and parental leaves. In the US, there is no federal requirement for paid leave or sick days, which leaves many individuals, especially low-income workers, facing difficult tradeoffs. In 2016, only 14 percent of all US workers have access to paid family leave through their employers, and 68 percent have paid sick leave (BLS, 2016). </w:t>
      </w:r>
    </w:p>
    <w:p w14:paraId="6A4E0A4F" w14:textId="77777777" w:rsidR="003857C7" w:rsidRDefault="003857C7" w:rsidP="003857C7">
      <w:pPr>
        <w:autoSpaceDE w:val="0"/>
        <w:autoSpaceDN w:val="0"/>
        <w:adjustRightInd w:val="0"/>
        <w:spacing w:after="0" w:line="240" w:lineRule="auto"/>
        <w:jc w:val="both"/>
        <w:rPr>
          <w:rFonts w:ascii="Times New Roman" w:hAnsi="Times New Roman" w:cs="Times New Roman"/>
        </w:rPr>
      </w:pPr>
    </w:p>
    <w:p w14:paraId="4EEE657F" w14:textId="1B22B2A1" w:rsidR="003857C7" w:rsidRDefault="003857C7" w:rsidP="003857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However, in recent years, paid family and medical leave programs have received considerable support from both sides of the political aisle. Some states and municipalities have moved forward on paid family leave. California enacted paid family leave legislation in 2002, New Jersey in 2008, Rhode Island in 2013, New York in 2016 (effective January 2018), District of Columbia in 2017 (effective July 2020), and Washington in 2017 (effective January 2020). Several states and municipalities using government funds have examined the feasibility of instituting paid leave polices in their constituency. However the sophistication and reliability of these methods are inconsistent. In order to support different state’s quantitative evaluation of proposed paid leave policy, we are creating a </w:t>
      </w:r>
      <w:r>
        <w:rPr>
          <w:rFonts w:ascii="Times New Roman" w:hAnsi="Times New Roman" w:cs="Times New Roman"/>
          <w:b/>
          <w:i/>
        </w:rPr>
        <w:t xml:space="preserve">Leave Simulation Model </w:t>
      </w:r>
      <w:r>
        <w:rPr>
          <w:rFonts w:ascii="Times New Roman" w:hAnsi="Times New Roman" w:cs="Times New Roman"/>
        </w:rPr>
        <w:t xml:space="preserve">along with the </w:t>
      </w:r>
      <w:r>
        <w:rPr>
          <w:rFonts w:ascii="Times New Roman" w:hAnsi="Times New Roman" w:cs="Times New Roman"/>
          <w:b/>
        </w:rPr>
        <w:t>US Department of Labor</w:t>
      </w:r>
      <w:r>
        <w:rPr>
          <w:rFonts w:ascii="Times New Roman" w:hAnsi="Times New Roman" w:cs="Times New Roman"/>
        </w:rPr>
        <w:t xml:space="preserve">. This model will offer a convenient and rigorous way for any state or municipality to test different scenarios of paid-leave programs and to estimate the implications on costs in benefits paid out as well as assess the costs of administering a program. </w:t>
      </w:r>
    </w:p>
    <w:p w14:paraId="1D2B7AF8" w14:textId="28194394" w:rsidR="00D94C3F" w:rsidRDefault="00D94C3F" w:rsidP="003857C7">
      <w:pPr>
        <w:autoSpaceDE w:val="0"/>
        <w:autoSpaceDN w:val="0"/>
        <w:adjustRightInd w:val="0"/>
        <w:spacing w:after="0" w:line="240" w:lineRule="auto"/>
        <w:jc w:val="both"/>
        <w:rPr>
          <w:rFonts w:ascii="Times New Roman" w:hAnsi="Times New Roman" w:cs="Times New Roman"/>
        </w:rPr>
      </w:pPr>
    </w:p>
    <w:p w14:paraId="68FFB7F3" w14:textId="1F87EC9B" w:rsidR="00D94C3F" w:rsidRDefault="00D94C3F" w:rsidP="00D94C3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IMPAQ model is designed to be similar in purpose to the original simulation model built by IWPR, Randy Abelda, and Alan Clayton-Matthews (the ACM model). However, the original ACM model was built in proprietary programming languages and requires advanced programming knowledge to use. The IMPAQ model is built in open-source programming languages and designed to be more accessible and usable to a broader audience. </w:t>
      </w:r>
    </w:p>
    <w:p w14:paraId="141E0377" w14:textId="77777777" w:rsidR="00D94C3F" w:rsidRDefault="00D94C3F" w:rsidP="00D94C3F">
      <w:pPr>
        <w:autoSpaceDE w:val="0"/>
        <w:autoSpaceDN w:val="0"/>
        <w:adjustRightInd w:val="0"/>
        <w:spacing w:after="0" w:line="240" w:lineRule="auto"/>
        <w:jc w:val="both"/>
        <w:rPr>
          <w:rFonts w:ascii="Times New Roman" w:hAnsi="Times New Roman" w:cs="Times New Roman"/>
        </w:rPr>
      </w:pPr>
    </w:p>
    <w:p w14:paraId="5E77A0C1" w14:textId="77777777" w:rsidR="00D94C3F" w:rsidRDefault="00D94C3F" w:rsidP="00D94C3F">
      <w:pPr>
        <w:pStyle w:val="ListParagraph"/>
        <w:numPr>
          <w:ilvl w:val="0"/>
          <w:numId w:val="3"/>
        </w:numPr>
      </w:pPr>
      <w:r>
        <w:t>Purpose of comparing ACM/IMPAQ models</w:t>
      </w:r>
    </w:p>
    <w:p w14:paraId="5A32CE82" w14:textId="3540DAFE" w:rsidR="00D94C3F" w:rsidRDefault="00D94C3F" w:rsidP="00D94C3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issue brief is intended to provide a benchmark comparison between the two models against real-world leave program statistics to demonstrate the reliability of both the original and new versions at modeling real-world leave taking.</w:t>
      </w:r>
    </w:p>
    <w:p w14:paraId="435485A3" w14:textId="77777777" w:rsidR="00D94C3F" w:rsidRPr="00D94C3F" w:rsidRDefault="00D94C3F" w:rsidP="00D94C3F">
      <w:pPr>
        <w:autoSpaceDE w:val="0"/>
        <w:autoSpaceDN w:val="0"/>
        <w:adjustRightInd w:val="0"/>
        <w:spacing w:after="0" w:line="240" w:lineRule="auto"/>
        <w:jc w:val="both"/>
        <w:rPr>
          <w:rFonts w:ascii="Times New Roman" w:hAnsi="Times New Roman" w:cs="Times New Roman"/>
        </w:rPr>
      </w:pPr>
    </w:p>
    <w:p w14:paraId="61582A39" w14:textId="77777777" w:rsidR="00B70368" w:rsidRDefault="00B70368" w:rsidP="00B70368">
      <w:r>
        <w:t xml:space="preserve">The IMPAQ model is not a pure replication of the ACM model. While similar in general purpose, the IMPAQ development team has made several changes for ease of use and generalizability of the model. While the intent is to keep the estimates close to ACM estimates and empirically observed leave taking data, these adjustments have slight impacts on program estimates.  The purpose of this issue brief is to show how the ACM and the new IMPAQ simulation model estimates differ and how both models compare to real-world program statistics. We then discuss the differences in results and how differences in the model structure could explain them. </w:t>
      </w:r>
      <w:r>
        <w:tab/>
        <w:t xml:space="preserve"> </w:t>
      </w:r>
    </w:p>
    <w:p w14:paraId="0E58BF6D" w14:textId="77777777" w:rsidR="00B70368" w:rsidRDefault="00B70368" w:rsidP="00B70368">
      <w:r>
        <w:t>We do this by comparing actual statistics reported by three states with leave programs with appreciable historical data to observe: California, New Jersey, and Rhode Island. Corresponding with the timeframes of the 2012-2016 ACS 5-year survey data set we use in the simulation model, we generally compare the 5 year averages of these states from 2012-2016. Rhode Island has only been active from 2014-2016, and so averages from only those years are used for Rhode Island.</w:t>
      </w:r>
    </w:p>
    <w:p w14:paraId="6BE1E02A" w14:textId="77777777" w:rsidR="00E710C2" w:rsidRDefault="00E710C2" w:rsidP="00E710C2"/>
    <w:p w14:paraId="5379EB98" w14:textId="77777777" w:rsidR="00BC42F8" w:rsidRDefault="00BC42F8" w:rsidP="00BC42F8">
      <w:pPr>
        <w:pStyle w:val="ListParagraph"/>
        <w:numPr>
          <w:ilvl w:val="0"/>
          <w:numId w:val="1"/>
        </w:numPr>
      </w:pPr>
      <w:r>
        <w:t>Methodology</w:t>
      </w:r>
    </w:p>
    <w:p w14:paraId="015D1ECE" w14:textId="1E4FA408" w:rsidR="003857C7" w:rsidRDefault="00B1730C" w:rsidP="003857C7">
      <w:pPr>
        <w:jc w:val="both"/>
      </w:pPr>
      <w:bookmarkStart w:id="0" w:name="_GoBack"/>
      <w:bookmarkEnd w:id="0"/>
      <w:r>
        <w:t xml:space="preserve">As </w:t>
      </w:r>
      <w:r w:rsidR="003857C7" w:rsidRPr="00644B9E">
        <w:t xml:space="preserve">We </w:t>
      </w:r>
      <w:r w:rsidR="003857C7">
        <w:t xml:space="preserve">perform </w:t>
      </w:r>
      <w:r w:rsidR="007C33A8">
        <w:t xml:space="preserve">two </w:t>
      </w:r>
      <w:r w:rsidR="003857C7">
        <w:t>different types of model tests.</w:t>
      </w:r>
    </w:p>
    <w:p w14:paraId="6C736E45" w14:textId="038F369C" w:rsidR="003857C7" w:rsidRDefault="003857C7" w:rsidP="003857C7">
      <w:pPr>
        <w:jc w:val="both"/>
      </w:pPr>
      <w:r w:rsidRPr="00C23673">
        <w:rPr>
          <w:b/>
          <w:i/>
        </w:rPr>
        <w:t>Comparing simulated and published program costs.</w:t>
      </w:r>
      <w:r>
        <w:t xml:space="preserve"> The ability to closely predict total program cost is arguably the most important feature of a good microsimulation model. </w:t>
      </w:r>
      <w:r w:rsidRPr="00020506">
        <w:t>There are three states with sufficient historical data on benefit o</w:t>
      </w:r>
      <w:r>
        <w:t xml:space="preserve">utlays to perform this test on: </w:t>
      </w:r>
      <w:r w:rsidRPr="00020506">
        <w:t xml:space="preserve">California, </w:t>
      </w:r>
      <w:r>
        <w:t xml:space="preserve">New Jersey, and </w:t>
      </w:r>
      <w:r w:rsidRPr="00020506">
        <w:t>Rhode Island.</w:t>
      </w:r>
      <w:r>
        <w:t xml:space="preserve"> For each state, we specified the model parameters so that they can approximate the eligibility rules and benefit payout schedules as closely as possible</w:t>
      </w:r>
      <w:r w:rsidR="007C33A8">
        <w:t xml:space="preserve"> to the actual rules of the programs</w:t>
      </w:r>
      <w:r>
        <w:t xml:space="preserve">. Upon completion of simulation under a given simulation method for a given state, we compute the weighted sum of benefits received by each ACS worker in that state, with weight being the population represented by the worker (i.e. the ACS variable </w:t>
      </w:r>
      <w:r>
        <w:rPr>
          <w:i/>
        </w:rPr>
        <w:t>PWGTP</w:t>
      </w:r>
      <w:r>
        <w:t>). This weighted sum is our simulated total program cost and is then compared against the published program outlays of the same state.</w:t>
      </w:r>
    </w:p>
    <w:p w14:paraId="235A3811" w14:textId="77777777" w:rsidR="003857C7" w:rsidRDefault="003857C7" w:rsidP="003857C7">
      <w:pPr>
        <w:jc w:val="both"/>
      </w:pPr>
      <w:r w:rsidRPr="00C23673">
        <w:rPr>
          <w:b/>
          <w:i/>
        </w:rPr>
        <w:t>Comparing simulated and observed population level statistics.</w:t>
      </w:r>
      <w:r>
        <w:t xml:space="preserve"> We recognize that the robustness of a microsimulation model cannot be fully verified if we can only confirm 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level:</w:t>
      </w:r>
    </w:p>
    <w:p w14:paraId="2E25D459" w14:textId="4F8E2B6A" w:rsidR="00B1730C" w:rsidRDefault="00B1730C" w:rsidP="00B1730C">
      <w:pPr>
        <w:pStyle w:val="ListParagraph"/>
        <w:numPr>
          <w:ilvl w:val="0"/>
          <w:numId w:val="2"/>
        </w:numPr>
        <w:spacing w:after="0" w:line="240" w:lineRule="auto"/>
        <w:jc w:val="both"/>
      </w:pPr>
      <w:r>
        <w:t>Total number of workers eligible for the program</w:t>
      </w:r>
    </w:p>
    <w:p w14:paraId="5725B1E0" w14:textId="211B44A9" w:rsidR="003857C7" w:rsidRDefault="003857C7" w:rsidP="003857C7">
      <w:pPr>
        <w:pStyle w:val="ListParagraph"/>
        <w:numPr>
          <w:ilvl w:val="0"/>
          <w:numId w:val="2"/>
        </w:numPr>
        <w:spacing w:after="0" w:line="240" w:lineRule="auto"/>
        <w:jc w:val="both"/>
      </w:pPr>
      <w:r>
        <w:t>Total number of leave takers</w:t>
      </w:r>
      <w:r w:rsidR="00B1730C">
        <w:t xml:space="preserve"> receiving benefits</w:t>
      </w:r>
    </w:p>
    <w:p w14:paraId="302CAFBA" w14:textId="784437B0" w:rsidR="003857C7" w:rsidRDefault="003857C7" w:rsidP="003857C7">
      <w:pPr>
        <w:pStyle w:val="ListParagraph"/>
        <w:numPr>
          <w:ilvl w:val="0"/>
          <w:numId w:val="2"/>
        </w:numPr>
        <w:spacing w:after="0" w:line="240" w:lineRule="auto"/>
        <w:jc w:val="both"/>
      </w:pPr>
      <w:r>
        <w:t>Total number of leave needers</w:t>
      </w:r>
      <w:r w:rsidR="00B1730C">
        <w:t xml:space="preserve"> receiving benefits </w:t>
      </w:r>
    </w:p>
    <w:p w14:paraId="664FC22F" w14:textId="77777777" w:rsidR="003857C7" w:rsidRDefault="003857C7" w:rsidP="003857C7">
      <w:pPr>
        <w:pStyle w:val="ListParagraph"/>
        <w:spacing w:after="0" w:line="240" w:lineRule="auto"/>
        <w:jc w:val="both"/>
      </w:pPr>
    </w:p>
    <w:p w14:paraId="79B80B78" w14:textId="77777777" w:rsidR="00431FEF" w:rsidRDefault="003857C7" w:rsidP="00006DC3">
      <w:pPr>
        <w:jc w:val="both"/>
      </w:pPr>
      <w:r>
        <w:t xml:space="preserve">All of these population level statistics can be computed directly based on the respective variables observed for each worker in the FMLA data, allowing the comparison with the simulated counterparts for model testing purpose. </w:t>
      </w:r>
    </w:p>
    <w:p w14:paraId="35D26FE8" w14:textId="77777777" w:rsidR="00431FEF" w:rsidRDefault="00431FEF" w:rsidP="00006DC3">
      <w:pPr>
        <w:jc w:val="both"/>
      </w:pPr>
    </w:p>
    <w:p w14:paraId="6EE7D49A" w14:textId="77777777" w:rsidR="00BC42F8" w:rsidRDefault="00BC42F8" w:rsidP="00BC42F8">
      <w:pPr>
        <w:pStyle w:val="ListParagraph"/>
        <w:numPr>
          <w:ilvl w:val="0"/>
          <w:numId w:val="1"/>
        </w:numPr>
      </w:pPr>
      <w:r>
        <w:t>Results</w:t>
      </w:r>
    </w:p>
    <w:p w14:paraId="4ED400EB" w14:textId="77777777" w:rsidR="004D792D" w:rsidRDefault="004D792D" w:rsidP="00BC42F8">
      <w:pPr>
        <w:pStyle w:val="ListParagraph"/>
        <w:numPr>
          <w:ilvl w:val="1"/>
          <w:numId w:val="1"/>
        </w:numPr>
      </w:pPr>
      <w:r>
        <w:t>Compare R, Python, ACM models:</w:t>
      </w:r>
    </w:p>
    <w:p w14:paraId="363423A5" w14:textId="77777777" w:rsidR="00BC42F8" w:rsidRDefault="00C71E6D" w:rsidP="004D792D">
      <w:pPr>
        <w:pStyle w:val="ListParagraph"/>
        <w:numPr>
          <w:ilvl w:val="2"/>
          <w:numId w:val="1"/>
        </w:numPr>
      </w:pPr>
      <w:r>
        <w:t>Population l</w:t>
      </w:r>
      <w:r w:rsidR="00BC42F8">
        <w:t>eave needing/taking estimates</w:t>
      </w:r>
    </w:p>
    <w:p w14:paraId="0948367B" w14:textId="77777777" w:rsidR="00BC42F8" w:rsidRDefault="00BC42F8" w:rsidP="004D792D">
      <w:pPr>
        <w:pStyle w:val="ListParagraph"/>
        <w:numPr>
          <w:ilvl w:val="2"/>
          <w:numId w:val="1"/>
        </w:numPr>
      </w:pPr>
      <w:r>
        <w:t>Length of leave estimates</w:t>
      </w:r>
    </w:p>
    <w:p w14:paraId="325EAF60" w14:textId="77777777" w:rsidR="00F05F5B" w:rsidRDefault="00F05F5B" w:rsidP="00F05F5B">
      <w:pPr>
        <w:pStyle w:val="ListParagraph"/>
        <w:numPr>
          <w:ilvl w:val="2"/>
          <w:numId w:val="1"/>
        </w:numPr>
      </w:pPr>
      <w:r>
        <w:t>Number of eligible workers for program</w:t>
      </w:r>
    </w:p>
    <w:p w14:paraId="757AD388" w14:textId="77777777" w:rsidR="00BC42F8" w:rsidRDefault="00BC42F8" w:rsidP="004D792D">
      <w:pPr>
        <w:pStyle w:val="ListParagraph"/>
        <w:numPr>
          <w:ilvl w:val="2"/>
          <w:numId w:val="1"/>
        </w:numPr>
      </w:pPr>
      <w:r>
        <w:t>Program cost estimates</w:t>
      </w:r>
    </w:p>
    <w:p w14:paraId="04120A90" w14:textId="77777777" w:rsidR="004D792D" w:rsidRDefault="004D792D" w:rsidP="004D792D">
      <w:pPr>
        <w:pStyle w:val="ListParagraph"/>
        <w:numPr>
          <w:ilvl w:val="1"/>
          <w:numId w:val="1"/>
        </w:numPr>
      </w:pPr>
      <w:r>
        <w:t>Discuss results</w:t>
      </w:r>
    </w:p>
    <w:p w14:paraId="432BD70E" w14:textId="77777777" w:rsidR="003152A5" w:rsidRDefault="003152A5" w:rsidP="003152A5">
      <w:pPr>
        <w:pStyle w:val="ListParagraph"/>
        <w:numPr>
          <w:ilvl w:val="0"/>
          <w:numId w:val="1"/>
        </w:numPr>
      </w:pPr>
      <w:r>
        <w:t>Conclusion</w:t>
      </w:r>
    </w:p>
    <w:p w14:paraId="03E61C64" w14:textId="77777777" w:rsidR="003152A5" w:rsidRDefault="003152A5" w:rsidP="003152A5">
      <w:pPr>
        <w:pStyle w:val="ListParagraph"/>
        <w:numPr>
          <w:ilvl w:val="1"/>
          <w:numId w:val="1"/>
        </w:numPr>
      </w:pPr>
      <w:r>
        <w:t>Summary of findings</w:t>
      </w:r>
    </w:p>
    <w:p w14:paraId="2DDBD5D0" w14:textId="77777777" w:rsidR="003152A5" w:rsidRDefault="003152A5" w:rsidP="003152A5">
      <w:pPr>
        <w:pStyle w:val="ListParagraph"/>
        <w:numPr>
          <w:ilvl w:val="1"/>
          <w:numId w:val="1"/>
        </w:numPr>
      </w:pPr>
      <w:r>
        <w:t>Explanations for differences</w:t>
      </w:r>
    </w:p>
    <w:p w14:paraId="65A649DA" w14:textId="77777777" w:rsidR="003152A5" w:rsidRDefault="003152A5" w:rsidP="003152A5">
      <w:pPr>
        <w:pStyle w:val="ListParagraph"/>
        <w:numPr>
          <w:ilvl w:val="1"/>
          <w:numId w:val="1"/>
        </w:numPr>
      </w:pPr>
      <w:r>
        <w:t>Next steps</w:t>
      </w:r>
    </w:p>
    <w:p w14:paraId="376C205D" w14:textId="77777777" w:rsidR="003152A5" w:rsidRDefault="003152A5">
      <w:pPr>
        <w:rPr>
          <w:b/>
        </w:rPr>
      </w:pPr>
      <w:r>
        <w:rPr>
          <w:b/>
        </w:rPr>
        <w:br w:type="page"/>
      </w:r>
    </w:p>
    <w:p w14:paraId="4A226667" w14:textId="77777777" w:rsidR="004A489D" w:rsidRDefault="004243FF" w:rsidP="004A489D">
      <w:pPr>
        <w:rPr>
          <w:b/>
        </w:rPr>
      </w:pPr>
      <w:r>
        <w:rPr>
          <w:b/>
        </w:rPr>
        <w:lastRenderedPageBreak/>
        <w:t xml:space="preserve">Mock </w:t>
      </w:r>
      <w:r w:rsidR="00C041F2">
        <w:rPr>
          <w:b/>
        </w:rPr>
        <w:t>Graphs</w:t>
      </w:r>
      <w:r w:rsidR="004A489D">
        <w:rPr>
          <w:b/>
        </w:rPr>
        <w:t xml:space="preserve"> for Results </w:t>
      </w:r>
      <w:r w:rsidR="007759B1">
        <w:rPr>
          <w:b/>
        </w:rPr>
        <w:t>Section</w:t>
      </w:r>
    </w:p>
    <w:p w14:paraId="24BF565C" w14:textId="77777777" w:rsidR="004A489D" w:rsidRPr="004A489D" w:rsidRDefault="003152A5" w:rsidP="004A489D">
      <w:pPr>
        <w:rPr>
          <w:b/>
        </w:rPr>
      </w:pPr>
      <w:r>
        <w:rPr>
          <w:noProof/>
        </w:rPr>
        <w:drawing>
          <wp:inline distT="0" distB="0" distL="0" distR="0" wp14:anchorId="6815E7E1" wp14:editId="2B6D814D">
            <wp:extent cx="5943600" cy="3238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60D233" w14:textId="77777777" w:rsidR="003152A5" w:rsidRDefault="003152A5">
      <w:r>
        <w:rPr>
          <w:noProof/>
        </w:rPr>
        <w:drawing>
          <wp:inline distT="0" distB="0" distL="0" distR="0" wp14:anchorId="2306234B" wp14:editId="3D84B030">
            <wp:extent cx="5943600" cy="393319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6CD302" w14:textId="77777777" w:rsidR="003152A5" w:rsidRDefault="003152A5">
      <w:r>
        <w:br w:type="page"/>
      </w:r>
    </w:p>
    <w:p w14:paraId="65E7BD74" w14:textId="77777777" w:rsidR="00BC42F8" w:rsidRDefault="003152A5">
      <w:r>
        <w:rPr>
          <w:noProof/>
        </w:rPr>
        <w:lastRenderedPageBreak/>
        <w:drawing>
          <wp:inline distT="0" distB="0" distL="0" distR="0" wp14:anchorId="26680744" wp14:editId="7FEB8FC5">
            <wp:extent cx="5943600" cy="36652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5C0128" w14:textId="77777777" w:rsidR="003152A5" w:rsidRDefault="003152A5">
      <w:r>
        <w:rPr>
          <w:noProof/>
        </w:rPr>
        <w:drawing>
          <wp:inline distT="0" distB="0" distL="0" distR="0" wp14:anchorId="0AF77121" wp14:editId="51BBBC81">
            <wp:extent cx="5943600" cy="3665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A5123B" w14:textId="77777777" w:rsidR="007E39A1" w:rsidRDefault="007E39A1"/>
    <w:p w14:paraId="61B92BD6" w14:textId="77777777" w:rsidR="007E39A1" w:rsidRDefault="007E39A1">
      <w:r>
        <w:br w:type="page"/>
      </w:r>
    </w:p>
    <w:p w14:paraId="17D398BF" w14:textId="77777777" w:rsidR="007E39A1" w:rsidRDefault="007E39A1">
      <w:r>
        <w:lastRenderedPageBreak/>
        <w:t>Bibliography</w:t>
      </w:r>
    </w:p>
    <w:p w14:paraId="2B978F5C"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Winston, P. (2017). Exploring the Relationship between Paid Family Leave and the Well-being of Low-Income</w:t>
      </w:r>
    </w:p>
    <w:p w14:paraId="70638A32"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Families: Lessons from California. Washington, DC: U.S. Department of Health and Human Services, Office of the</w:t>
      </w:r>
    </w:p>
    <w:p w14:paraId="35B98ED6"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Assistant Secretary for Planning and Evaluation, Office of Human Services Policy.</w:t>
      </w:r>
    </w:p>
    <w:p w14:paraId="2AA96629" w14:textId="77777777"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Bureau of Labor Statistics (2016). Table 32. Leave benefits: Access, Civilian Workers, National Compensation Survey, March 2016. Retrieved from </w:t>
      </w:r>
      <w:r>
        <w:rPr>
          <w:rFonts w:ascii="Times New Roman" w:hAnsi="Times New Roman" w:cs="Times New Roman"/>
          <w:color w:val="0000FF"/>
          <w:sz w:val="20"/>
          <w:szCs w:val="20"/>
        </w:rPr>
        <w:t>https://www.bls.gov/ncs/ebs/benefits/2016/ownership/civilian/table32a.htm</w:t>
      </w:r>
      <w:r>
        <w:rPr>
          <w:rFonts w:ascii="Times New Roman" w:hAnsi="Times New Roman" w:cs="Times New Roman"/>
          <w:color w:val="000000"/>
          <w:sz w:val="20"/>
          <w:szCs w:val="20"/>
        </w:rPr>
        <w:t>.</w:t>
      </w:r>
    </w:p>
    <w:p w14:paraId="3FC0F222" w14:textId="0D01521D" w:rsidR="007E39A1" w:rsidRDefault="007E39A1"/>
    <w:p w14:paraId="06B7DBB6" w14:textId="14B8B603" w:rsidR="00614252" w:rsidRDefault="00614252">
      <w:r>
        <w:t xml:space="preserve">Appendix </w:t>
      </w:r>
    </w:p>
    <w:p w14:paraId="53A9B58A" w14:textId="77777777" w:rsidR="00614252" w:rsidRPr="004A489D" w:rsidRDefault="00614252" w:rsidP="00614252">
      <w:pPr>
        <w:rPr>
          <w:b/>
        </w:rPr>
      </w:pPr>
      <w:r w:rsidRPr="004A489D">
        <w:rPr>
          <w:b/>
        </w:rPr>
        <w:t>ACM Parameters</w:t>
      </w:r>
    </w:p>
    <w:tbl>
      <w:tblPr>
        <w:tblW w:w="9022" w:type="dxa"/>
        <w:tblLook w:val="04A0" w:firstRow="1" w:lastRow="0" w:firstColumn="1" w:lastColumn="0" w:noHBand="0" w:noVBand="1"/>
      </w:tblPr>
      <w:tblGrid>
        <w:gridCol w:w="2590"/>
        <w:gridCol w:w="2144"/>
        <w:gridCol w:w="2144"/>
        <w:gridCol w:w="2144"/>
      </w:tblGrid>
      <w:tr w:rsidR="00614252" w:rsidRPr="004A489D" w14:paraId="6BF1BD4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5B9BD5" w:fill="5B9BD5"/>
            <w:noWrap/>
            <w:vAlign w:val="bottom"/>
            <w:hideMark/>
          </w:tcPr>
          <w:p w14:paraId="30A65988"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Parameter</w:t>
            </w:r>
          </w:p>
        </w:tc>
        <w:tc>
          <w:tcPr>
            <w:tcW w:w="2144" w:type="dxa"/>
            <w:tcBorders>
              <w:top w:val="single" w:sz="4" w:space="0" w:color="9BC2E6"/>
              <w:left w:val="nil"/>
              <w:bottom w:val="single" w:sz="4" w:space="0" w:color="9BC2E6"/>
              <w:right w:val="nil"/>
            </w:tcBorders>
            <w:shd w:val="clear" w:color="5B9BD5" w:fill="5B9BD5"/>
            <w:vAlign w:val="bottom"/>
            <w:hideMark/>
          </w:tcPr>
          <w:p w14:paraId="78C58D8B"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CA</w:t>
            </w:r>
          </w:p>
        </w:tc>
        <w:tc>
          <w:tcPr>
            <w:tcW w:w="2144" w:type="dxa"/>
            <w:tcBorders>
              <w:top w:val="single" w:sz="4" w:space="0" w:color="9BC2E6"/>
              <w:left w:val="nil"/>
              <w:bottom w:val="single" w:sz="4" w:space="0" w:color="9BC2E6"/>
              <w:right w:val="nil"/>
            </w:tcBorders>
            <w:shd w:val="clear" w:color="5B9BD5" w:fill="5B9BD5"/>
            <w:vAlign w:val="bottom"/>
            <w:hideMark/>
          </w:tcPr>
          <w:p w14:paraId="4DD41737"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NJ</w:t>
            </w:r>
          </w:p>
        </w:tc>
        <w:tc>
          <w:tcPr>
            <w:tcW w:w="2144" w:type="dxa"/>
            <w:tcBorders>
              <w:top w:val="single" w:sz="4" w:space="0" w:color="9BC2E6"/>
              <w:left w:val="nil"/>
              <w:bottom w:val="single" w:sz="4" w:space="0" w:color="9BC2E6"/>
              <w:right w:val="single" w:sz="4" w:space="0" w:color="9BC2E6"/>
            </w:tcBorders>
            <w:shd w:val="clear" w:color="5B9BD5" w:fill="5B9BD5"/>
            <w:vAlign w:val="bottom"/>
            <w:hideMark/>
          </w:tcPr>
          <w:p w14:paraId="5C8B6D6C" w14:textId="77777777" w:rsidR="00614252" w:rsidRPr="004A489D" w:rsidRDefault="00614252" w:rsidP="0098532A">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RI</w:t>
            </w:r>
          </w:p>
        </w:tc>
      </w:tr>
      <w:tr w:rsidR="00614252" w:rsidRPr="004A489D" w14:paraId="674C23D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33F6F5A1"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DEPENDENTALLOWANCE</w:t>
            </w:r>
          </w:p>
        </w:tc>
        <w:tc>
          <w:tcPr>
            <w:tcW w:w="2144" w:type="dxa"/>
            <w:tcBorders>
              <w:top w:val="single" w:sz="4" w:space="0" w:color="9BC2E6"/>
              <w:left w:val="nil"/>
              <w:bottom w:val="single" w:sz="4" w:space="0" w:color="9BC2E6"/>
              <w:right w:val="nil"/>
            </w:tcBorders>
            <w:shd w:val="clear" w:color="DDEBF7" w:fill="DDEBF7"/>
            <w:vAlign w:val="bottom"/>
            <w:hideMark/>
          </w:tcPr>
          <w:p w14:paraId="2439FB2E"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nil"/>
            </w:tcBorders>
            <w:shd w:val="clear" w:color="DDEBF7" w:fill="DDEBF7"/>
            <w:vAlign w:val="bottom"/>
            <w:hideMark/>
          </w:tcPr>
          <w:p w14:paraId="5F65D77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6107120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r>
      <w:tr w:rsidR="00614252" w:rsidRPr="004A489D" w14:paraId="7E0AE8A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6F079B89"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ELIGIBILITYRULES</w:t>
            </w:r>
          </w:p>
        </w:tc>
        <w:tc>
          <w:tcPr>
            <w:tcW w:w="2144" w:type="dxa"/>
            <w:tcBorders>
              <w:top w:val="single" w:sz="4" w:space="0" w:color="9BC2E6"/>
              <w:left w:val="nil"/>
              <w:bottom w:val="single" w:sz="4" w:space="0" w:color="9BC2E6"/>
              <w:right w:val="nil"/>
            </w:tcBorders>
            <w:shd w:val="clear" w:color="auto" w:fill="auto"/>
            <w:vAlign w:val="bottom"/>
            <w:hideMark/>
          </w:tcPr>
          <w:p w14:paraId="11E6CBF6"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a_earnings=300</w:t>
            </w:r>
          </w:p>
        </w:tc>
        <w:tc>
          <w:tcPr>
            <w:tcW w:w="2144" w:type="dxa"/>
            <w:tcBorders>
              <w:top w:val="single" w:sz="4" w:space="0" w:color="9BC2E6"/>
              <w:left w:val="nil"/>
              <w:bottom w:val="single" w:sz="4" w:space="0" w:color="9BC2E6"/>
              <w:right w:val="nil"/>
            </w:tcBorders>
            <w:shd w:val="clear" w:color="auto" w:fill="auto"/>
            <w:vAlign w:val="bottom"/>
            <w:hideMark/>
          </w:tcPr>
          <w:p w14:paraId="5E2B532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a_earnings=8400</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3F215D7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a_earnings=3840</w:t>
            </w:r>
          </w:p>
        </w:tc>
      </w:tr>
      <w:tr w:rsidR="00614252" w:rsidRPr="004A489D" w14:paraId="5BD31ABD"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038C53B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EXTENDLEAVES</w:t>
            </w:r>
          </w:p>
        </w:tc>
        <w:tc>
          <w:tcPr>
            <w:tcW w:w="2144" w:type="dxa"/>
            <w:tcBorders>
              <w:top w:val="single" w:sz="4" w:space="0" w:color="9BC2E6"/>
              <w:left w:val="nil"/>
              <w:bottom w:val="single" w:sz="4" w:space="0" w:color="9BC2E6"/>
              <w:right w:val="nil"/>
            </w:tcBorders>
            <w:shd w:val="clear" w:color="DDEBF7" w:fill="DDEBF7"/>
            <w:vAlign w:val="bottom"/>
            <w:hideMark/>
          </w:tcPr>
          <w:p w14:paraId="39756A4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c>
          <w:tcPr>
            <w:tcW w:w="2144" w:type="dxa"/>
            <w:tcBorders>
              <w:top w:val="single" w:sz="4" w:space="0" w:color="9BC2E6"/>
              <w:left w:val="nil"/>
              <w:bottom w:val="single" w:sz="4" w:space="0" w:color="9BC2E6"/>
              <w:right w:val="nil"/>
            </w:tcBorders>
            <w:shd w:val="clear" w:color="DDEBF7" w:fill="DDEBF7"/>
            <w:vAlign w:val="bottom"/>
            <w:hideMark/>
          </w:tcPr>
          <w:p w14:paraId="687AFFD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51B65B2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r>
      <w:tr w:rsidR="00614252" w:rsidRPr="004A489D" w14:paraId="051C0A5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CB5BA5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GOVERNMENT</w:t>
            </w:r>
          </w:p>
        </w:tc>
        <w:tc>
          <w:tcPr>
            <w:tcW w:w="2144" w:type="dxa"/>
            <w:tcBorders>
              <w:top w:val="single" w:sz="4" w:space="0" w:color="9BC2E6"/>
              <w:left w:val="nil"/>
              <w:bottom w:val="single" w:sz="4" w:space="0" w:color="9BC2E6"/>
              <w:right w:val="nil"/>
            </w:tcBorders>
            <w:shd w:val="clear" w:color="auto" w:fill="auto"/>
            <w:vAlign w:val="bottom"/>
            <w:hideMark/>
          </w:tcPr>
          <w:p w14:paraId="72BBB60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c>
          <w:tcPr>
            <w:tcW w:w="2144" w:type="dxa"/>
            <w:tcBorders>
              <w:top w:val="single" w:sz="4" w:space="0" w:color="9BC2E6"/>
              <w:left w:val="nil"/>
              <w:bottom w:val="single" w:sz="4" w:space="0" w:color="9BC2E6"/>
              <w:right w:val="nil"/>
            </w:tcBorders>
            <w:shd w:val="clear" w:color="auto" w:fill="auto"/>
            <w:vAlign w:val="bottom"/>
            <w:hideMark/>
          </w:tcPr>
          <w:p w14:paraId="26445EB4"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27F1DF9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r>
      <w:tr w:rsidR="00614252" w:rsidRPr="004A489D" w14:paraId="3EE57A0E" w14:textId="77777777" w:rsidTr="0098532A">
        <w:trPr>
          <w:trHeight w:val="70"/>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1FC55498"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MAXWEEKS</w:t>
            </w:r>
          </w:p>
        </w:tc>
        <w:tc>
          <w:tcPr>
            <w:tcW w:w="2144" w:type="dxa"/>
            <w:tcBorders>
              <w:top w:val="single" w:sz="4" w:space="0" w:color="9BC2E6"/>
              <w:left w:val="nil"/>
              <w:bottom w:val="single" w:sz="4" w:space="0" w:color="9BC2E6"/>
              <w:right w:val="nil"/>
            </w:tcBorders>
            <w:shd w:val="clear" w:color="DDEBF7" w:fill="DDEBF7"/>
            <w:vAlign w:val="bottom"/>
            <w:hideMark/>
          </w:tcPr>
          <w:p w14:paraId="704B0C6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OH=52, MD=52, NC=6, IC=6, IS=6, IP=6</w:t>
            </w:r>
          </w:p>
        </w:tc>
        <w:tc>
          <w:tcPr>
            <w:tcW w:w="2144" w:type="dxa"/>
            <w:tcBorders>
              <w:top w:val="single" w:sz="4" w:space="0" w:color="9BC2E6"/>
              <w:left w:val="nil"/>
              <w:bottom w:val="single" w:sz="4" w:space="0" w:color="9BC2E6"/>
              <w:right w:val="nil"/>
            </w:tcBorders>
            <w:shd w:val="clear" w:color="DDEBF7" w:fill="DDEBF7"/>
            <w:vAlign w:val="bottom"/>
            <w:hideMark/>
          </w:tcPr>
          <w:p w14:paraId="0A27CCA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OH=26, MD=26, NC=6, IC=6, IS=6, IP=6</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33E3A2B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OH=30, MD=30, NC=4, IC=4, IS=4, IP=4</w:t>
            </w:r>
          </w:p>
        </w:tc>
      </w:tr>
      <w:tr w:rsidR="00614252" w:rsidRPr="004A489D" w14:paraId="537D0766"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04883A7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REPLACEMENTRATIO</w:t>
            </w:r>
          </w:p>
        </w:tc>
        <w:tc>
          <w:tcPr>
            <w:tcW w:w="2144" w:type="dxa"/>
            <w:tcBorders>
              <w:top w:val="single" w:sz="4" w:space="0" w:color="9BC2E6"/>
              <w:left w:val="nil"/>
              <w:bottom w:val="single" w:sz="4" w:space="0" w:color="9BC2E6"/>
              <w:right w:val="nil"/>
            </w:tcBorders>
            <w:shd w:val="clear" w:color="auto" w:fill="auto"/>
            <w:vAlign w:val="bottom"/>
            <w:hideMark/>
          </w:tcPr>
          <w:p w14:paraId="79369BDF"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0.55</w:t>
            </w:r>
          </w:p>
        </w:tc>
        <w:tc>
          <w:tcPr>
            <w:tcW w:w="2144" w:type="dxa"/>
            <w:tcBorders>
              <w:top w:val="single" w:sz="4" w:space="0" w:color="9BC2E6"/>
              <w:left w:val="nil"/>
              <w:bottom w:val="single" w:sz="4" w:space="0" w:color="9BC2E6"/>
              <w:right w:val="nil"/>
            </w:tcBorders>
            <w:shd w:val="clear" w:color="auto" w:fill="auto"/>
            <w:vAlign w:val="bottom"/>
            <w:hideMark/>
          </w:tcPr>
          <w:p w14:paraId="3F06BB43"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0.66</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004ADFE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w:t>
            </w:r>
          </w:p>
        </w:tc>
      </w:tr>
      <w:tr w:rsidR="00614252" w:rsidRPr="004A489D" w14:paraId="6F2D9CB5"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7E91A36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STATEOFWORK</w:t>
            </w:r>
          </w:p>
        </w:tc>
        <w:tc>
          <w:tcPr>
            <w:tcW w:w="2144" w:type="dxa"/>
            <w:tcBorders>
              <w:top w:val="single" w:sz="4" w:space="0" w:color="9BC2E6"/>
              <w:left w:val="nil"/>
              <w:bottom w:val="single" w:sz="4" w:space="0" w:color="9BC2E6"/>
              <w:right w:val="nil"/>
            </w:tcBorders>
            <w:shd w:val="clear" w:color="DDEBF7" w:fill="DDEBF7"/>
            <w:vAlign w:val="bottom"/>
            <w:hideMark/>
          </w:tcPr>
          <w:p w14:paraId="34369C5B"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CA</w:t>
            </w:r>
          </w:p>
        </w:tc>
        <w:tc>
          <w:tcPr>
            <w:tcW w:w="2144" w:type="dxa"/>
            <w:tcBorders>
              <w:top w:val="single" w:sz="4" w:space="0" w:color="9BC2E6"/>
              <w:left w:val="nil"/>
              <w:bottom w:val="single" w:sz="4" w:space="0" w:color="9BC2E6"/>
              <w:right w:val="nil"/>
            </w:tcBorders>
            <w:shd w:val="clear" w:color="DDEBF7" w:fill="DDEBF7"/>
            <w:vAlign w:val="bottom"/>
            <w:hideMark/>
          </w:tcPr>
          <w:p w14:paraId="2E19254D"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NJ</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5B8D77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RI</w:t>
            </w:r>
          </w:p>
        </w:tc>
      </w:tr>
      <w:tr w:rsidR="00614252" w:rsidRPr="004A489D" w14:paraId="1BAF15F7"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14:paraId="43E1AE5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TAKEUPRATES</w:t>
            </w:r>
          </w:p>
        </w:tc>
        <w:tc>
          <w:tcPr>
            <w:tcW w:w="2144" w:type="dxa"/>
            <w:tcBorders>
              <w:top w:val="single" w:sz="4" w:space="0" w:color="9BC2E6"/>
              <w:left w:val="nil"/>
              <w:bottom w:val="single" w:sz="4" w:space="0" w:color="9BC2E6"/>
              <w:right w:val="nil"/>
            </w:tcBorders>
            <w:shd w:val="clear" w:color="auto" w:fill="auto"/>
            <w:vAlign w:val="bottom"/>
            <w:hideMark/>
          </w:tcPr>
          <w:p w14:paraId="43EADAC2"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nil"/>
            </w:tcBorders>
            <w:shd w:val="clear" w:color="auto" w:fill="auto"/>
            <w:vAlign w:val="bottom"/>
            <w:hideMark/>
          </w:tcPr>
          <w:p w14:paraId="23D72E6D"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14:paraId="111CDF4C"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r>
      <w:tr w:rsidR="00614252" w:rsidRPr="004A489D" w14:paraId="589AE384" w14:textId="77777777" w:rsidTr="0098532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14:paraId="26EA76C7"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WAITINGPERIOD</w:t>
            </w:r>
          </w:p>
        </w:tc>
        <w:tc>
          <w:tcPr>
            <w:tcW w:w="2144" w:type="dxa"/>
            <w:tcBorders>
              <w:top w:val="single" w:sz="4" w:space="0" w:color="9BC2E6"/>
              <w:left w:val="nil"/>
              <w:bottom w:val="single" w:sz="4" w:space="0" w:color="9BC2E6"/>
              <w:right w:val="nil"/>
            </w:tcBorders>
            <w:shd w:val="clear" w:color="DDEBF7" w:fill="DDEBF7"/>
            <w:vAlign w:val="bottom"/>
            <w:hideMark/>
          </w:tcPr>
          <w:p w14:paraId="0BDB862A"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nil"/>
            </w:tcBorders>
            <w:shd w:val="clear" w:color="DDEBF7" w:fill="DDEBF7"/>
            <w:vAlign w:val="bottom"/>
            <w:hideMark/>
          </w:tcPr>
          <w:p w14:paraId="7FB6B2E0"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14:paraId="1EF92F5E" w14:textId="77777777" w:rsidR="00614252" w:rsidRPr="004A489D" w:rsidRDefault="00614252" w:rsidP="0098532A">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r>
    </w:tbl>
    <w:p w14:paraId="49172BE6" w14:textId="77777777" w:rsidR="00614252" w:rsidRDefault="00614252" w:rsidP="00614252"/>
    <w:p w14:paraId="18FBF471" w14:textId="77777777" w:rsidR="00614252" w:rsidRDefault="00614252" w:rsidP="00614252">
      <w:pPr>
        <w:rPr>
          <w:b/>
        </w:rPr>
      </w:pPr>
      <w:r>
        <w:rPr>
          <w:b/>
        </w:rPr>
        <w:t>IMPAQ Parameters</w:t>
      </w:r>
    </w:p>
    <w:tbl>
      <w:tblPr>
        <w:tblW w:w="6359" w:type="dxa"/>
        <w:tblLook w:val="04A0" w:firstRow="1" w:lastRow="0" w:firstColumn="1" w:lastColumn="0" w:noHBand="0" w:noVBand="1"/>
      </w:tblPr>
      <w:tblGrid>
        <w:gridCol w:w="2193"/>
        <w:gridCol w:w="1271"/>
        <w:gridCol w:w="1395"/>
        <w:gridCol w:w="1535"/>
      </w:tblGrid>
      <w:tr w:rsidR="00614252" w:rsidRPr="004A489D" w14:paraId="525BCB75" w14:textId="77777777" w:rsidTr="0098532A">
        <w:trPr>
          <w:trHeight w:val="244"/>
          <w:tblHeader/>
        </w:trPr>
        <w:tc>
          <w:tcPr>
            <w:tcW w:w="2193" w:type="dxa"/>
            <w:tcBorders>
              <w:top w:val="single" w:sz="4" w:space="0" w:color="9BC2E6"/>
              <w:left w:val="single" w:sz="4" w:space="0" w:color="9BC2E6"/>
              <w:bottom w:val="single" w:sz="4" w:space="0" w:color="9BC2E6"/>
              <w:right w:val="nil"/>
            </w:tcBorders>
            <w:shd w:val="clear" w:color="5B9BD5" w:fill="5B9BD5"/>
            <w:noWrap/>
            <w:vAlign w:val="bottom"/>
            <w:hideMark/>
          </w:tcPr>
          <w:p w14:paraId="14DD5D62"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Parameter</w:t>
            </w:r>
          </w:p>
        </w:tc>
        <w:tc>
          <w:tcPr>
            <w:tcW w:w="1236" w:type="dxa"/>
            <w:tcBorders>
              <w:top w:val="single" w:sz="4" w:space="0" w:color="9BC2E6"/>
              <w:left w:val="nil"/>
              <w:bottom w:val="single" w:sz="4" w:space="0" w:color="9BC2E6"/>
              <w:right w:val="nil"/>
            </w:tcBorders>
            <w:shd w:val="clear" w:color="5B9BD5" w:fill="5B9BD5"/>
            <w:noWrap/>
            <w:vAlign w:val="bottom"/>
            <w:hideMark/>
          </w:tcPr>
          <w:p w14:paraId="0B54334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California</w:t>
            </w:r>
          </w:p>
        </w:tc>
        <w:tc>
          <w:tcPr>
            <w:tcW w:w="1395" w:type="dxa"/>
            <w:tcBorders>
              <w:top w:val="single" w:sz="4" w:space="0" w:color="9BC2E6"/>
              <w:left w:val="nil"/>
              <w:bottom w:val="single" w:sz="4" w:space="0" w:color="9BC2E6"/>
              <w:right w:val="nil"/>
            </w:tcBorders>
            <w:shd w:val="clear" w:color="5B9BD5" w:fill="5B9BD5"/>
            <w:noWrap/>
            <w:vAlign w:val="bottom"/>
            <w:hideMark/>
          </w:tcPr>
          <w:p w14:paraId="383FC08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New Jersey</w:t>
            </w:r>
          </w:p>
        </w:tc>
        <w:tc>
          <w:tcPr>
            <w:tcW w:w="1535" w:type="dxa"/>
            <w:tcBorders>
              <w:top w:val="single" w:sz="4" w:space="0" w:color="9BC2E6"/>
              <w:left w:val="nil"/>
              <w:bottom w:val="single" w:sz="4" w:space="0" w:color="9BC2E6"/>
              <w:right w:val="single" w:sz="4" w:space="0" w:color="9BC2E6"/>
            </w:tcBorders>
            <w:shd w:val="clear" w:color="5B9BD5" w:fill="5B9BD5"/>
            <w:noWrap/>
            <w:vAlign w:val="bottom"/>
            <w:hideMark/>
          </w:tcPr>
          <w:p w14:paraId="00C9A216" w14:textId="77777777" w:rsidR="00614252" w:rsidRPr="004A489D" w:rsidRDefault="00614252" w:rsidP="0098532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Rhode Island</w:t>
            </w:r>
          </w:p>
        </w:tc>
      </w:tr>
      <w:tr w:rsidR="00614252" w:rsidRPr="004A489D" w14:paraId="6D91789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6991A7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ann_hours</w:t>
            </w:r>
          </w:p>
        </w:tc>
        <w:tc>
          <w:tcPr>
            <w:tcW w:w="1236" w:type="dxa"/>
            <w:tcBorders>
              <w:top w:val="single" w:sz="4" w:space="0" w:color="9BC2E6"/>
              <w:left w:val="nil"/>
              <w:bottom w:val="single" w:sz="4" w:space="0" w:color="9BC2E6"/>
              <w:right w:val="nil"/>
            </w:tcBorders>
            <w:shd w:val="clear" w:color="DDEBF7" w:fill="DDEBF7"/>
            <w:noWrap/>
            <w:vAlign w:val="bottom"/>
            <w:hideMark/>
          </w:tcPr>
          <w:p w14:paraId="5A9896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2ABF713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D6818F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2D03D464"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0CD1F8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bene_effect</w:t>
            </w:r>
          </w:p>
        </w:tc>
        <w:tc>
          <w:tcPr>
            <w:tcW w:w="1236" w:type="dxa"/>
            <w:tcBorders>
              <w:top w:val="single" w:sz="4" w:space="0" w:color="9BC2E6"/>
              <w:left w:val="nil"/>
              <w:bottom w:val="single" w:sz="4" w:space="0" w:color="9BC2E6"/>
              <w:right w:val="nil"/>
            </w:tcBorders>
            <w:shd w:val="clear" w:color="auto" w:fill="auto"/>
            <w:noWrap/>
            <w:vAlign w:val="bottom"/>
            <w:hideMark/>
          </w:tcPr>
          <w:p w14:paraId="583FB86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1F91A4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15535F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6E6A7C8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6F7D8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bene_level</w:t>
            </w:r>
          </w:p>
        </w:tc>
        <w:tc>
          <w:tcPr>
            <w:tcW w:w="1236" w:type="dxa"/>
            <w:tcBorders>
              <w:top w:val="single" w:sz="4" w:space="0" w:color="9BC2E6"/>
              <w:left w:val="nil"/>
              <w:bottom w:val="single" w:sz="4" w:space="0" w:color="9BC2E6"/>
              <w:right w:val="nil"/>
            </w:tcBorders>
            <w:shd w:val="clear" w:color="DDEBF7" w:fill="DDEBF7"/>
            <w:noWrap/>
            <w:vAlign w:val="bottom"/>
            <w:hideMark/>
          </w:tcPr>
          <w:p w14:paraId="6D42D7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0.55</w:t>
            </w:r>
          </w:p>
        </w:tc>
        <w:tc>
          <w:tcPr>
            <w:tcW w:w="1395" w:type="dxa"/>
            <w:tcBorders>
              <w:top w:val="single" w:sz="4" w:space="0" w:color="9BC2E6"/>
              <w:left w:val="nil"/>
              <w:bottom w:val="single" w:sz="4" w:space="0" w:color="9BC2E6"/>
              <w:right w:val="nil"/>
            </w:tcBorders>
            <w:shd w:val="clear" w:color="DDEBF7" w:fill="DDEBF7"/>
            <w:noWrap/>
            <w:vAlign w:val="bottom"/>
            <w:hideMark/>
          </w:tcPr>
          <w:p w14:paraId="385BBBB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0.66</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23D22B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w:t>
            </w:r>
          </w:p>
        </w:tc>
      </w:tr>
      <w:tr w:rsidR="00614252" w:rsidRPr="004A489D" w14:paraId="21EC072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6385F6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bond_uptake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3BAFA3F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5C3311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E20230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5AAF9D5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76DB2D9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dependent_allow</w:t>
            </w:r>
          </w:p>
        </w:tc>
        <w:tc>
          <w:tcPr>
            <w:tcW w:w="1236" w:type="dxa"/>
            <w:tcBorders>
              <w:top w:val="single" w:sz="4" w:space="0" w:color="9BC2E6"/>
              <w:left w:val="nil"/>
              <w:bottom w:val="single" w:sz="4" w:space="0" w:color="9BC2E6"/>
              <w:right w:val="nil"/>
            </w:tcBorders>
            <w:shd w:val="clear" w:color="DDEBF7" w:fill="DDEBF7"/>
            <w:noWrap/>
            <w:vAlign w:val="bottom"/>
            <w:hideMark/>
          </w:tcPr>
          <w:p w14:paraId="5170220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395" w:type="dxa"/>
            <w:tcBorders>
              <w:top w:val="single" w:sz="4" w:space="0" w:color="9BC2E6"/>
              <w:left w:val="nil"/>
              <w:bottom w:val="single" w:sz="4" w:space="0" w:color="9BC2E6"/>
              <w:right w:val="nil"/>
            </w:tcBorders>
            <w:shd w:val="clear" w:color="DDEBF7" w:fill="DDEBF7"/>
            <w:noWrap/>
            <w:vAlign w:val="bottom"/>
            <w:hideMark/>
          </w:tcPr>
          <w:p w14:paraId="55D6B7F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95C72D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r>
      <w:tr w:rsidR="00614252" w:rsidRPr="004A489D" w14:paraId="5B1BC4B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E33112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dual_receiver</w:t>
            </w:r>
          </w:p>
        </w:tc>
        <w:tc>
          <w:tcPr>
            <w:tcW w:w="1236" w:type="dxa"/>
            <w:tcBorders>
              <w:top w:val="single" w:sz="4" w:space="0" w:color="9BC2E6"/>
              <w:left w:val="nil"/>
              <w:bottom w:val="single" w:sz="4" w:space="0" w:color="9BC2E6"/>
              <w:right w:val="nil"/>
            </w:tcBorders>
            <w:shd w:val="clear" w:color="auto" w:fill="auto"/>
            <w:noWrap/>
            <w:vAlign w:val="bottom"/>
            <w:hideMark/>
          </w:tcPr>
          <w:p w14:paraId="2824FDA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2E22A66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256E85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18AFC31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356976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Earnings</w:t>
            </w:r>
          </w:p>
        </w:tc>
        <w:tc>
          <w:tcPr>
            <w:tcW w:w="1236" w:type="dxa"/>
            <w:tcBorders>
              <w:top w:val="single" w:sz="4" w:space="0" w:color="9BC2E6"/>
              <w:left w:val="nil"/>
              <w:bottom w:val="single" w:sz="4" w:space="0" w:color="9BC2E6"/>
              <w:right w:val="nil"/>
            </w:tcBorders>
            <w:shd w:val="clear" w:color="DDEBF7" w:fill="DDEBF7"/>
            <w:noWrap/>
            <w:vAlign w:val="bottom"/>
            <w:hideMark/>
          </w:tcPr>
          <w:p w14:paraId="3BFAD24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300</w:t>
            </w:r>
          </w:p>
        </w:tc>
        <w:tc>
          <w:tcPr>
            <w:tcW w:w="1395" w:type="dxa"/>
            <w:tcBorders>
              <w:top w:val="single" w:sz="4" w:space="0" w:color="9BC2E6"/>
              <w:left w:val="nil"/>
              <w:bottom w:val="single" w:sz="4" w:space="0" w:color="9BC2E6"/>
              <w:right w:val="nil"/>
            </w:tcBorders>
            <w:shd w:val="clear" w:color="DDEBF7" w:fill="DDEBF7"/>
            <w:noWrap/>
            <w:vAlign w:val="bottom"/>
            <w:hideMark/>
          </w:tcPr>
          <w:p w14:paraId="2062172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8400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6E1E3A4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3840</w:t>
            </w:r>
          </w:p>
        </w:tc>
      </w:tr>
      <w:tr w:rsidR="00614252" w:rsidRPr="004A489D" w14:paraId="16C9E9D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9DB190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ext_base_effect</w:t>
            </w:r>
          </w:p>
        </w:tc>
        <w:tc>
          <w:tcPr>
            <w:tcW w:w="1236" w:type="dxa"/>
            <w:tcBorders>
              <w:top w:val="single" w:sz="4" w:space="0" w:color="9BC2E6"/>
              <w:left w:val="nil"/>
              <w:bottom w:val="single" w:sz="4" w:space="0" w:color="9BC2E6"/>
              <w:right w:val="nil"/>
            </w:tcBorders>
            <w:shd w:val="clear" w:color="auto" w:fill="auto"/>
            <w:noWrap/>
            <w:vAlign w:val="bottom"/>
            <w:hideMark/>
          </w:tcPr>
          <w:p w14:paraId="555CD23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395" w:type="dxa"/>
            <w:tcBorders>
              <w:top w:val="single" w:sz="4" w:space="0" w:color="9BC2E6"/>
              <w:left w:val="nil"/>
              <w:bottom w:val="single" w:sz="4" w:space="0" w:color="9BC2E6"/>
              <w:right w:val="nil"/>
            </w:tcBorders>
            <w:shd w:val="clear" w:color="auto" w:fill="auto"/>
            <w:noWrap/>
            <w:vAlign w:val="bottom"/>
            <w:hideMark/>
          </w:tcPr>
          <w:p w14:paraId="64F8DD7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A562B5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r>
      <w:tr w:rsidR="00614252" w:rsidRPr="004A489D" w14:paraId="54721B6E"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1CEE9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extend_days</w:t>
            </w:r>
          </w:p>
        </w:tc>
        <w:tc>
          <w:tcPr>
            <w:tcW w:w="1236" w:type="dxa"/>
            <w:tcBorders>
              <w:top w:val="single" w:sz="4" w:space="0" w:color="9BC2E6"/>
              <w:left w:val="nil"/>
              <w:bottom w:val="single" w:sz="4" w:space="0" w:color="9BC2E6"/>
              <w:right w:val="nil"/>
            </w:tcBorders>
            <w:shd w:val="clear" w:color="DDEBF7" w:fill="DDEBF7"/>
            <w:noWrap/>
            <w:vAlign w:val="bottom"/>
            <w:hideMark/>
          </w:tcPr>
          <w:p w14:paraId="7FFAF37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595C2FA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09CA4F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3E97E51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38933A88"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extend_prob</w:t>
            </w:r>
          </w:p>
        </w:tc>
        <w:tc>
          <w:tcPr>
            <w:tcW w:w="1236" w:type="dxa"/>
            <w:tcBorders>
              <w:top w:val="single" w:sz="4" w:space="0" w:color="9BC2E6"/>
              <w:left w:val="nil"/>
              <w:bottom w:val="single" w:sz="4" w:space="0" w:color="9BC2E6"/>
              <w:right w:val="nil"/>
            </w:tcBorders>
            <w:shd w:val="clear" w:color="auto" w:fill="auto"/>
            <w:noWrap/>
            <w:vAlign w:val="bottom"/>
            <w:hideMark/>
          </w:tcPr>
          <w:p w14:paraId="033938A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453EBF2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336F66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70FFE2E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43BD5F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extend_prop</w:t>
            </w:r>
          </w:p>
        </w:tc>
        <w:tc>
          <w:tcPr>
            <w:tcW w:w="1236" w:type="dxa"/>
            <w:tcBorders>
              <w:top w:val="single" w:sz="4" w:space="0" w:color="9BC2E6"/>
              <w:left w:val="nil"/>
              <w:bottom w:val="single" w:sz="4" w:space="0" w:color="9BC2E6"/>
              <w:right w:val="nil"/>
            </w:tcBorders>
            <w:shd w:val="clear" w:color="DDEBF7" w:fill="DDEBF7"/>
            <w:noWrap/>
            <w:vAlign w:val="bottom"/>
            <w:hideMark/>
          </w:tcPr>
          <w:p w14:paraId="668BD97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1E23872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405790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54DD0161"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23B13D1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fmla_protect</w:t>
            </w:r>
          </w:p>
        </w:tc>
        <w:tc>
          <w:tcPr>
            <w:tcW w:w="1236" w:type="dxa"/>
            <w:tcBorders>
              <w:top w:val="single" w:sz="4" w:space="0" w:color="9BC2E6"/>
              <w:left w:val="nil"/>
              <w:bottom w:val="single" w:sz="4" w:space="0" w:color="9BC2E6"/>
              <w:right w:val="nil"/>
            </w:tcBorders>
            <w:shd w:val="clear" w:color="auto" w:fill="auto"/>
            <w:noWrap/>
            <w:vAlign w:val="bottom"/>
            <w:hideMark/>
          </w:tcPr>
          <w:p w14:paraId="6182898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67E2F3E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08B2F7E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42082F4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3D8AC36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full_particip_needer</w:t>
            </w:r>
          </w:p>
        </w:tc>
        <w:tc>
          <w:tcPr>
            <w:tcW w:w="1236" w:type="dxa"/>
            <w:tcBorders>
              <w:top w:val="single" w:sz="4" w:space="0" w:color="9BC2E6"/>
              <w:left w:val="nil"/>
              <w:bottom w:val="single" w:sz="4" w:space="0" w:color="9BC2E6"/>
              <w:right w:val="nil"/>
            </w:tcBorders>
            <w:shd w:val="clear" w:color="DDEBF7" w:fill="DDEBF7"/>
            <w:noWrap/>
            <w:vAlign w:val="bottom"/>
            <w:hideMark/>
          </w:tcPr>
          <w:p w14:paraId="0F760B4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3E9A53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418C64E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0A8D235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F09F76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GOVERNMENT</w:t>
            </w:r>
          </w:p>
        </w:tc>
        <w:tc>
          <w:tcPr>
            <w:tcW w:w="1236" w:type="dxa"/>
            <w:tcBorders>
              <w:top w:val="single" w:sz="4" w:space="0" w:color="9BC2E6"/>
              <w:left w:val="nil"/>
              <w:bottom w:val="single" w:sz="4" w:space="0" w:color="9BC2E6"/>
              <w:right w:val="nil"/>
            </w:tcBorders>
            <w:shd w:val="clear" w:color="auto" w:fill="auto"/>
            <w:noWrap/>
            <w:vAlign w:val="bottom"/>
            <w:hideMark/>
          </w:tcPr>
          <w:p w14:paraId="4C6510F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14:paraId="5C49D3A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749F01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5BCCC70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3925B4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illchild_uptake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00C5CC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3F37ACF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55F2B9B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B705AB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FC2DE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illparent_uptake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3A7B143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1EC3A5D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2BE59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4D1A37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0559F0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illspouse_uptake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7FC2F3B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750C65F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7B1388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749F0D16"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979477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impute_method</w:t>
            </w:r>
          </w:p>
        </w:tc>
        <w:tc>
          <w:tcPr>
            <w:tcW w:w="1236" w:type="dxa"/>
            <w:tcBorders>
              <w:top w:val="single" w:sz="4" w:space="0" w:color="9BC2E6"/>
              <w:left w:val="nil"/>
              <w:bottom w:val="single" w:sz="4" w:space="0" w:color="9BC2E6"/>
              <w:right w:val="nil"/>
            </w:tcBorders>
            <w:shd w:val="clear" w:color="auto" w:fill="auto"/>
            <w:noWrap/>
            <w:vAlign w:val="bottom"/>
            <w:hideMark/>
          </w:tcPr>
          <w:p w14:paraId="1CB7EA1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395" w:type="dxa"/>
            <w:tcBorders>
              <w:top w:val="single" w:sz="4" w:space="0" w:color="9BC2E6"/>
              <w:left w:val="nil"/>
              <w:bottom w:val="single" w:sz="4" w:space="0" w:color="9BC2E6"/>
              <w:right w:val="nil"/>
            </w:tcBorders>
            <w:shd w:val="clear" w:color="auto" w:fill="auto"/>
            <w:noWrap/>
            <w:vAlign w:val="bottom"/>
            <w:hideMark/>
          </w:tcPr>
          <w:p w14:paraId="569C34D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41A5118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r>
      <w:tr w:rsidR="00614252" w:rsidRPr="004A489D" w14:paraId="37CA55E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4C5EE0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matdis_uptake</w:t>
            </w:r>
          </w:p>
        </w:tc>
        <w:tc>
          <w:tcPr>
            <w:tcW w:w="1236" w:type="dxa"/>
            <w:tcBorders>
              <w:top w:val="single" w:sz="4" w:space="0" w:color="9BC2E6"/>
              <w:left w:val="nil"/>
              <w:bottom w:val="single" w:sz="4" w:space="0" w:color="9BC2E6"/>
              <w:right w:val="nil"/>
            </w:tcBorders>
            <w:shd w:val="clear" w:color="DDEBF7" w:fill="DDEBF7"/>
            <w:noWrap/>
            <w:vAlign w:val="bottom"/>
            <w:hideMark/>
          </w:tcPr>
          <w:p w14:paraId="0849E8F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14:paraId="167A7AA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3C06AB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0EF68AC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684E68F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maxlen_bond</w:t>
            </w:r>
          </w:p>
        </w:tc>
        <w:tc>
          <w:tcPr>
            <w:tcW w:w="1236" w:type="dxa"/>
            <w:tcBorders>
              <w:top w:val="single" w:sz="4" w:space="0" w:color="9BC2E6"/>
              <w:left w:val="nil"/>
              <w:bottom w:val="single" w:sz="4" w:space="0" w:color="9BC2E6"/>
              <w:right w:val="nil"/>
            </w:tcBorders>
            <w:shd w:val="clear" w:color="auto" w:fill="auto"/>
            <w:noWrap/>
            <w:vAlign w:val="bottom"/>
            <w:hideMark/>
          </w:tcPr>
          <w:p w14:paraId="231CC03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2106CF9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5633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65D621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3370C6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maxlen_DI</w:t>
            </w:r>
          </w:p>
        </w:tc>
        <w:tc>
          <w:tcPr>
            <w:tcW w:w="1236" w:type="dxa"/>
            <w:tcBorders>
              <w:top w:val="single" w:sz="4" w:space="0" w:color="9BC2E6"/>
              <w:left w:val="nil"/>
              <w:bottom w:val="single" w:sz="4" w:space="0" w:color="9BC2E6"/>
              <w:right w:val="nil"/>
            </w:tcBorders>
            <w:shd w:val="clear" w:color="DDEBF7" w:fill="DDEBF7"/>
            <w:noWrap/>
            <w:vAlign w:val="bottom"/>
            <w:hideMark/>
          </w:tcPr>
          <w:p w14:paraId="11E3748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5DFB3AB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A082A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494AA470"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788F1B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maxlen_illchild</w:t>
            </w:r>
          </w:p>
        </w:tc>
        <w:tc>
          <w:tcPr>
            <w:tcW w:w="1236" w:type="dxa"/>
            <w:tcBorders>
              <w:top w:val="single" w:sz="4" w:space="0" w:color="9BC2E6"/>
              <w:left w:val="nil"/>
              <w:bottom w:val="single" w:sz="4" w:space="0" w:color="9BC2E6"/>
              <w:right w:val="nil"/>
            </w:tcBorders>
            <w:shd w:val="clear" w:color="auto" w:fill="auto"/>
            <w:noWrap/>
            <w:vAlign w:val="bottom"/>
            <w:hideMark/>
          </w:tcPr>
          <w:p w14:paraId="5BAE89F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51F0C7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1D18539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5EFFF19"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4F93307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maxlen_illparent</w:t>
            </w:r>
          </w:p>
        </w:tc>
        <w:tc>
          <w:tcPr>
            <w:tcW w:w="1236" w:type="dxa"/>
            <w:tcBorders>
              <w:top w:val="single" w:sz="4" w:space="0" w:color="9BC2E6"/>
              <w:left w:val="nil"/>
              <w:bottom w:val="single" w:sz="4" w:space="0" w:color="9BC2E6"/>
              <w:right w:val="nil"/>
            </w:tcBorders>
            <w:shd w:val="clear" w:color="DDEBF7" w:fill="DDEBF7"/>
            <w:noWrap/>
            <w:vAlign w:val="bottom"/>
            <w:hideMark/>
          </w:tcPr>
          <w:p w14:paraId="5CB6D53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6D1D86B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C663D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33E60D3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31A487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lastRenderedPageBreak/>
              <w:t>maxlen_illspouse</w:t>
            </w:r>
          </w:p>
        </w:tc>
        <w:tc>
          <w:tcPr>
            <w:tcW w:w="1236" w:type="dxa"/>
            <w:tcBorders>
              <w:top w:val="single" w:sz="4" w:space="0" w:color="9BC2E6"/>
              <w:left w:val="nil"/>
              <w:bottom w:val="single" w:sz="4" w:space="0" w:color="9BC2E6"/>
              <w:right w:val="nil"/>
            </w:tcBorders>
            <w:shd w:val="clear" w:color="auto" w:fill="auto"/>
            <w:noWrap/>
            <w:vAlign w:val="bottom"/>
            <w:hideMark/>
          </w:tcPr>
          <w:p w14:paraId="7259A8F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14:paraId="74B3A8A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2B59ED0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7951A91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1B95C64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maxlen_matdis</w:t>
            </w:r>
          </w:p>
        </w:tc>
        <w:tc>
          <w:tcPr>
            <w:tcW w:w="1236" w:type="dxa"/>
            <w:tcBorders>
              <w:top w:val="single" w:sz="4" w:space="0" w:color="9BC2E6"/>
              <w:left w:val="nil"/>
              <w:bottom w:val="single" w:sz="4" w:space="0" w:color="9BC2E6"/>
              <w:right w:val="nil"/>
            </w:tcBorders>
            <w:shd w:val="clear" w:color="DDEBF7" w:fill="DDEBF7"/>
            <w:noWrap/>
            <w:vAlign w:val="bottom"/>
            <w:hideMark/>
          </w:tcPr>
          <w:p w14:paraId="5BE38C3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14:paraId="4386392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F4C331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3604AC63"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CD1A59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maxlen_own</w:t>
            </w:r>
          </w:p>
        </w:tc>
        <w:tc>
          <w:tcPr>
            <w:tcW w:w="1236" w:type="dxa"/>
            <w:tcBorders>
              <w:top w:val="single" w:sz="4" w:space="0" w:color="9BC2E6"/>
              <w:left w:val="nil"/>
              <w:bottom w:val="single" w:sz="4" w:space="0" w:color="9BC2E6"/>
              <w:right w:val="nil"/>
            </w:tcBorders>
            <w:shd w:val="clear" w:color="auto" w:fill="auto"/>
            <w:noWrap/>
            <w:vAlign w:val="bottom"/>
            <w:hideMark/>
          </w:tcPr>
          <w:p w14:paraId="21CB370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0C0BBE5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99220E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40F4E6AD"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6C561878"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maxlen_PFL</w:t>
            </w:r>
          </w:p>
        </w:tc>
        <w:tc>
          <w:tcPr>
            <w:tcW w:w="1236" w:type="dxa"/>
            <w:tcBorders>
              <w:top w:val="single" w:sz="4" w:space="0" w:color="9BC2E6"/>
              <w:left w:val="nil"/>
              <w:bottom w:val="single" w:sz="4" w:space="0" w:color="9BC2E6"/>
              <w:right w:val="nil"/>
            </w:tcBorders>
            <w:shd w:val="clear" w:color="DDEBF7" w:fill="DDEBF7"/>
            <w:noWrap/>
            <w:vAlign w:val="bottom"/>
            <w:hideMark/>
          </w:tcPr>
          <w:p w14:paraId="3DF5B0E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14:paraId="158F4FD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35F6325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614252" w:rsidRPr="004A489D" w14:paraId="3509F59B"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0E425CD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maxlen_total</w:t>
            </w:r>
          </w:p>
        </w:tc>
        <w:tc>
          <w:tcPr>
            <w:tcW w:w="1236" w:type="dxa"/>
            <w:tcBorders>
              <w:top w:val="single" w:sz="4" w:space="0" w:color="9BC2E6"/>
              <w:left w:val="nil"/>
              <w:bottom w:val="single" w:sz="4" w:space="0" w:color="9BC2E6"/>
              <w:right w:val="nil"/>
            </w:tcBorders>
            <w:shd w:val="clear" w:color="auto" w:fill="auto"/>
            <w:noWrap/>
            <w:vAlign w:val="bottom"/>
            <w:hideMark/>
          </w:tcPr>
          <w:p w14:paraId="22F1078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14:paraId="13BA112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430892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614252" w:rsidRPr="004A489D" w14:paraId="22F03E6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A2018B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minsize</w:t>
            </w:r>
          </w:p>
        </w:tc>
        <w:tc>
          <w:tcPr>
            <w:tcW w:w="1236" w:type="dxa"/>
            <w:tcBorders>
              <w:top w:val="single" w:sz="4" w:space="0" w:color="9BC2E6"/>
              <w:left w:val="nil"/>
              <w:bottom w:val="single" w:sz="4" w:space="0" w:color="9BC2E6"/>
              <w:right w:val="nil"/>
            </w:tcBorders>
            <w:shd w:val="clear" w:color="DDEBF7" w:fill="DDEBF7"/>
            <w:noWrap/>
            <w:vAlign w:val="bottom"/>
            <w:hideMark/>
          </w:tcPr>
          <w:p w14:paraId="1C621E4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7B30107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7DF45F1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13DD3A34"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7597FCC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own_uptake</w:t>
            </w:r>
          </w:p>
        </w:tc>
        <w:tc>
          <w:tcPr>
            <w:tcW w:w="1236" w:type="dxa"/>
            <w:tcBorders>
              <w:top w:val="single" w:sz="4" w:space="0" w:color="9BC2E6"/>
              <w:left w:val="nil"/>
              <w:bottom w:val="single" w:sz="4" w:space="0" w:color="9BC2E6"/>
              <w:right w:val="nil"/>
            </w:tcBorders>
            <w:shd w:val="clear" w:color="auto" w:fill="auto"/>
            <w:noWrap/>
            <w:vAlign w:val="bottom"/>
            <w:hideMark/>
          </w:tcPr>
          <w:p w14:paraId="62C8E0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14:paraId="4F4F79D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7034790"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614252" w:rsidRPr="004A489D" w14:paraId="6C3C2ACC"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tcPr>
          <w:p w14:paraId="290E9D08"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sens_var</w:t>
            </w:r>
          </w:p>
        </w:tc>
        <w:tc>
          <w:tcPr>
            <w:tcW w:w="1236" w:type="dxa"/>
            <w:tcBorders>
              <w:top w:val="single" w:sz="4" w:space="0" w:color="9BC2E6"/>
              <w:left w:val="nil"/>
              <w:bottom w:val="single" w:sz="4" w:space="0" w:color="9BC2E6"/>
              <w:right w:val="nil"/>
            </w:tcBorders>
            <w:shd w:val="clear" w:color="DDEBF7" w:fill="DDEBF7"/>
            <w:noWrap/>
            <w:vAlign w:val="bottom"/>
          </w:tcPr>
          <w:p w14:paraId="30AB01F7"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395" w:type="dxa"/>
            <w:tcBorders>
              <w:top w:val="single" w:sz="4" w:space="0" w:color="9BC2E6"/>
              <w:left w:val="nil"/>
              <w:bottom w:val="single" w:sz="4" w:space="0" w:color="9BC2E6"/>
              <w:right w:val="nil"/>
            </w:tcBorders>
            <w:shd w:val="clear" w:color="DDEBF7" w:fill="DDEBF7"/>
            <w:noWrap/>
            <w:vAlign w:val="bottom"/>
          </w:tcPr>
          <w:p w14:paraId="2B773434"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14:paraId="171A6FB5"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r>
      <w:tr w:rsidR="00614252" w:rsidRPr="004A489D" w14:paraId="77E2EF1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5B42CF3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SELFEMP</w:t>
            </w:r>
          </w:p>
        </w:tc>
        <w:tc>
          <w:tcPr>
            <w:tcW w:w="1236" w:type="dxa"/>
            <w:tcBorders>
              <w:top w:val="single" w:sz="4" w:space="0" w:color="9BC2E6"/>
              <w:left w:val="nil"/>
              <w:bottom w:val="single" w:sz="4" w:space="0" w:color="9BC2E6"/>
              <w:right w:val="nil"/>
            </w:tcBorders>
            <w:shd w:val="clear" w:color="DDEBF7" w:fill="DDEBF7"/>
            <w:noWrap/>
            <w:vAlign w:val="bottom"/>
            <w:hideMark/>
          </w:tcPr>
          <w:p w14:paraId="2D145B9B"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14:paraId="010B0EFF"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204AFD44"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614252" w:rsidRPr="004A489D" w14:paraId="679DB0A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57FC604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topoff_min_length</w:t>
            </w:r>
          </w:p>
        </w:tc>
        <w:tc>
          <w:tcPr>
            <w:tcW w:w="1236" w:type="dxa"/>
            <w:tcBorders>
              <w:top w:val="single" w:sz="4" w:space="0" w:color="9BC2E6"/>
              <w:left w:val="nil"/>
              <w:bottom w:val="single" w:sz="4" w:space="0" w:color="9BC2E6"/>
              <w:right w:val="nil"/>
            </w:tcBorders>
            <w:shd w:val="clear" w:color="auto" w:fill="auto"/>
            <w:noWrap/>
            <w:vAlign w:val="bottom"/>
            <w:hideMark/>
          </w:tcPr>
          <w:p w14:paraId="080738B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14:paraId="1817E76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6814235E"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496F1028"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78ED8E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topoff_rate</w:t>
            </w:r>
          </w:p>
        </w:tc>
        <w:tc>
          <w:tcPr>
            <w:tcW w:w="1236" w:type="dxa"/>
            <w:tcBorders>
              <w:top w:val="single" w:sz="4" w:space="0" w:color="9BC2E6"/>
              <w:left w:val="nil"/>
              <w:bottom w:val="single" w:sz="4" w:space="0" w:color="9BC2E6"/>
              <w:right w:val="nil"/>
            </w:tcBorders>
            <w:shd w:val="clear" w:color="DDEBF7" w:fill="DDEBF7"/>
            <w:noWrap/>
            <w:vAlign w:val="bottom"/>
            <w:hideMark/>
          </w:tcPr>
          <w:p w14:paraId="2E23CE6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14:paraId="2EB290B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65F4D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614252" w:rsidRPr="004A489D" w14:paraId="43E6C966"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44CBBAE1"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waiting_period</w:t>
            </w:r>
          </w:p>
        </w:tc>
        <w:tc>
          <w:tcPr>
            <w:tcW w:w="1236" w:type="dxa"/>
            <w:tcBorders>
              <w:top w:val="single" w:sz="4" w:space="0" w:color="9BC2E6"/>
              <w:left w:val="nil"/>
              <w:bottom w:val="single" w:sz="4" w:space="0" w:color="9BC2E6"/>
              <w:right w:val="nil"/>
            </w:tcBorders>
            <w:shd w:val="clear" w:color="auto" w:fill="auto"/>
            <w:noWrap/>
            <w:vAlign w:val="bottom"/>
            <w:hideMark/>
          </w:tcPr>
          <w:p w14:paraId="56CD163D"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395" w:type="dxa"/>
            <w:tcBorders>
              <w:top w:val="single" w:sz="4" w:space="0" w:color="9BC2E6"/>
              <w:left w:val="nil"/>
              <w:bottom w:val="single" w:sz="4" w:space="0" w:color="9BC2E6"/>
              <w:right w:val="nil"/>
            </w:tcBorders>
            <w:shd w:val="clear" w:color="auto" w:fill="auto"/>
            <w:noWrap/>
            <w:vAlign w:val="bottom"/>
            <w:hideMark/>
          </w:tcPr>
          <w:p w14:paraId="14DB0D7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32A01F8A"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r>
      <w:tr w:rsidR="00614252" w:rsidRPr="004A489D" w14:paraId="74EF3C7C"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07C926D9"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week_bene_cap</w:t>
            </w:r>
          </w:p>
        </w:tc>
        <w:tc>
          <w:tcPr>
            <w:tcW w:w="1236" w:type="dxa"/>
            <w:tcBorders>
              <w:top w:val="single" w:sz="4" w:space="0" w:color="9BC2E6"/>
              <w:left w:val="nil"/>
              <w:bottom w:val="single" w:sz="4" w:space="0" w:color="9BC2E6"/>
              <w:right w:val="nil"/>
            </w:tcBorders>
            <w:shd w:val="clear" w:color="DDEBF7" w:fill="DDEBF7"/>
            <w:noWrap/>
            <w:vAlign w:val="bottom"/>
            <w:hideMark/>
          </w:tcPr>
          <w:p w14:paraId="4AE40FA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1216</w:t>
            </w:r>
          </w:p>
        </w:tc>
        <w:tc>
          <w:tcPr>
            <w:tcW w:w="1395" w:type="dxa"/>
            <w:tcBorders>
              <w:top w:val="single" w:sz="4" w:space="0" w:color="9BC2E6"/>
              <w:left w:val="nil"/>
              <w:bottom w:val="single" w:sz="4" w:space="0" w:color="9BC2E6"/>
              <w:right w:val="nil"/>
            </w:tcBorders>
            <w:shd w:val="clear" w:color="DDEBF7" w:fill="DDEBF7"/>
            <w:noWrap/>
            <w:vAlign w:val="bottom"/>
            <w:hideMark/>
          </w:tcPr>
          <w:p w14:paraId="2A3A263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594</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13D8883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795</w:t>
            </w:r>
          </w:p>
        </w:tc>
      </w:tr>
      <w:tr w:rsidR="00614252" w:rsidRPr="004A489D" w14:paraId="149898D7"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14:paraId="18F0675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week_bene_cap_prop</w:t>
            </w:r>
          </w:p>
        </w:tc>
        <w:tc>
          <w:tcPr>
            <w:tcW w:w="1236" w:type="dxa"/>
            <w:tcBorders>
              <w:top w:val="single" w:sz="4" w:space="0" w:color="9BC2E6"/>
              <w:left w:val="nil"/>
              <w:bottom w:val="single" w:sz="4" w:space="0" w:color="9BC2E6"/>
              <w:right w:val="nil"/>
            </w:tcBorders>
            <w:shd w:val="clear" w:color="auto" w:fill="auto"/>
            <w:noWrap/>
            <w:vAlign w:val="bottom"/>
            <w:hideMark/>
          </w:tcPr>
          <w:p w14:paraId="59B87B72"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auto" w:fill="auto"/>
            <w:noWrap/>
            <w:vAlign w:val="bottom"/>
            <w:hideMark/>
          </w:tcPr>
          <w:p w14:paraId="1564A945"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14:paraId="51BE824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614252" w:rsidRPr="004A489D" w14:paraId="4B87836F"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tcPr>
          <w:p w14:paraId="3D2C28A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week_bene_min</w:t>
            </w:r>
          </w:p>
        </w:tc>
        <w:tc>
          <w:tcPr>
            <w:tcW w:w="1236" w:type="dxa"/>
            <w:tcBorders>
              <w:top w:val="single" w:sz="4" w:space="0" w:color="9BC2E6"/>
              <w:left w:val="nil"/>
              <w:bottom w:val="single" w:sz="4" w:space="0" w:color="9BC2E6"/>
              <w:right w:val="nil"/>
            </w:tcBorders>
            <w:shd w:val="clear" w:color="auto" w:fill="auto"/>
            <w:noWrap/>
            <w:vAlign w:val="bottom"/>
          </w:tcPr>
          <w:p w14:paraId="62215401"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50</w:t>
            </w:r>
          </w:p>
        </w:tc>
        <w:tc>
          <w:tcPr>
            <w:tcW w:w="1395" w:type="dxa"/>
            <w:tcBorders>
              <w:top w:val="single" w:sz="4" w:space="0" w:color="9BC2E6"/>
              <w:left w:val="nil"/>
              <w:bottom w:val="single" w:sz="4" w:space="0" w:color="9BC2E6"/>
              <w:right w:val="nil"/>
            </w:tcBorders>
            <w:shd w:val="clear" w:color="auto" w:fill="auto"/>
            <w:noWrap/>
            <w:vAlign w:val="bottom"/>
          </w:tcPr>
          <w:p w14:paraId="33A09E6E" w14:textId="77777777" w:rsidR="00614252" w:rsidRPr="004A489D" w:rsidRDefault="00614252" w:rsidP="0098532A">
            <w:pPr>
              <w:spacing w:after="0" w:line="240" w:lineRule="auto"/>
              <w:rPr>
                <w:rFonts w:ascii="Calibri" w:eastAsia="Times New Roman" w:hAnsi="Calibri" w:cs="Calibri"/>
                <w:color w:val="000000"/>
                <w:sz w:val="20"/>
                <w:szCs w:val="20"/>
              </w:rPr>
            </w:pP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14:paraId="33EAA34D" w14:textId="77777777" w:rsidR="00614252" w:rsidRPr="004A489D" w:rsidRDefault="00614252" w:rsidP="0098532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89</w:t>
            </w:r>
          </w:p>
        </w:tc>
      </w:tr>
      <w:tr w:rsidR="00614252" w:rsidRPr="004A489D" w14:paraId="2C557CC2" w14:textId="77777777" w:rsidTr="0098532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14:paraId="28CA1796"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weeks</w:t>
            </w:r>
          </w:p>
        </w:tc>
        <w:tc>
          <w:tcPr>
            <w:tcW w:w="1236" w:type="dxa"/>
            <w:tcBorders>
              <w:top w:val="single" w:sz="4" w:space="0" w:color="9BC2E6"/>
              <w:left w:val="nil"/>
              <w:bottom w:val="single" w:sz="4" w:space="0" w:color="9BC2E6"/>
              <w:right w:val="nil"/>
            </w:tcBorders>
            <w:shd w:val="clear" w:color="DDEBF7" w:fill="DDEBF7"/>
            <w:noWrap/>
            <w:vAlign w:val="bottom"/>
            <w:hideMark/>
          </w:tcPr>
          <w:p w14:paraId="6BF79C4C"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14:paraId="15340267"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14:paraId="074CE763" w14:textId="77777777" w:rsidR="00614252" w:rsidRPr="004A489D" w:rsidRDefault="00614252" w:rsidP="0098532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bl>
    <w:p w14:paraId="669FF65E" w14:textId="77777777" w:rsidR="00614252" w:rsidRDefault="00614252" w:rsidP="00614252">
      <w:pPr>
        <w:pStyle w:val="ListParagraph"/>
        <w:ind w:left="1440"/>
      </w:pPr>
    </w:p>
    <w:p w14:paraId="0D2B5D5F" w14:textId="77777777" w:rsidR="00614252" w:rsidRDefault="00614252"/>
    <w:sectPr w:rsidR="0061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0D"/>
    <w:rsid w:val="00006DC3"/>
    <w:rsid w:val="0010471D"/>
    <w:rsid w:val="00183C6B"/>
    <w:rsid w:val="001D7F0D"/>
    <w:rsid w:val="00276CA6"/>
    <w:rsid w:val="003152A5"/>
    <w:rsid w:val="003857C7"/>
    <w:rsid w:val="003F4968"/>
    <w:rsid w:val="00404BE9"/>
    <w:rsid w:val="00405C5A"/>
    <w:rsid w:val="004121A0"/>
    <w:rsid w:val="004243FF"/>
    <w:rsid w:val="00431FEF"/>
    <w:rsid w:val="004A489D"/>
    <w:rsid w:val="004C7EB9"/>
    <w:rsid w:val="004D792D"/>
    <w:rsid w:val="00523813"/>
    <w:rsid w:val="00580B94"/>
    <w:rsid w:val="00614252"/>
    <w:rsid w:val="007759B1"/>
    <w:rsid w:val="007B4748"/>
    <w:rsid w:val="007C0954"/>
    <w:rsid w:val="007C33A8"/>
    <w:rsid w:val="007E39A1"/>
    <w:rsid w:val="00B1730C"/>
    <w:rsid w:val="00B70368"/>
    <w:rsid w:val="00BC42F8"/>
    <w:rsid w:val="00BD37E7"/>
    <w:rsid w:val="00C041F2"/>
    <w:rsid w:val="00C71E6D"/>
    <w:rsid w:val="00CE3C6F"/>
    <w:rsid w:val="00D73CE5"/>
    <w:rsid w:val="00D94C3F"/>
    <w:rsid w:val="00DD03BA"/>
    <w:rsid w:val="00DE04AB"/>
    <w:rsid w:val="00E710C2"/>
    <w:rsid w:val="00EB7A90"/>
    <w:rsid w:val="00F033F7"/>
    <w:rsid w:val="00F0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Takers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'issue_brief_1 nums'!$J$4</c:f>
              <c:strCache>
                <c:ptCount val="1"/>
                <c:pt idx="0">
                  <c:v>take_own</c:v>
                </c:pt>
              </c:strCache>
            </c:strRef>
          </c:tx>
          <c:spPr>
            <a:solidFill>
              <a:schemeClr val="accent1"/>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nums'!$K$4:$P$4</c:f>
              <c:numCache>
                <c:formatCode>General</c:formatCode>
                <c:ptCount val="6"/>
                <c:pt idx="0">
                  <c:v>1946.9159999999999</c:v>
                </c:pt>
                <c:pt idx="1">
                  <c:v>2200.1938517760291</c:v>
                </c:pt>
                <c:pt idx="2">
                  <c:v>479.58499999999998</c:v>
                </c:pt>
                <c:pt idx="3">
                  <c:v>571.16055999613332</c:v>
                </c:pt>
                <c:pt idx="4">
                  <c:v>62.154000000000003</c:v>
                </c:pt>
                <c:pt idx="5">
                  <c:v>48.363155742910465</c:v>
                </c:pt>
              </c:numCache>
            </c:numRef>
          </c:val>
          <c:extLst>
            <c:ext xmlns:c16="http://schemas.microsoft.com/office/drawing/2014/chart" uri="{C3380CC4-5D6E-409C-BE32-E72D297353CC}">
              <c16:uniqueId val="{00000000-36A9-49AF-81BB-40C22C6BE4A6}"/>
            </c:ext>
          </c:extLst>
        </c:ser>
        <c:ser>
          <c:idx val="1"/>
          <c:order val="1"/>
          <c:tx>
            <c:strRef>
              <c:f>'issue_brief_1 nums'!$J$5</c:f>
              <c:strCache>
                <c:ptCount val="1"/>
                <c:pt idx="0">
                  <c:v>take_illspouse</c:v>
                </c:pt>
              </c:strCache>
            </c:strRef>
          </c:tx>
          <c:spPr>
            <a:solidFill>
              <a:schemeClr val="accent2"/>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nums'!$K$5:$P$5</c:f>
              <c:numCache>
                <c:formatCode>General</c:formatCode>
                <c:ptCount val="6"/>
                <c:pt idx="0">
                  <c:v>206.46100000000001</c:v>
                </c:pt>
                <c:pt idx="1">
                  <c:v>169.61764821943424</c:v>
                </c:pt>
                <c:pt idx="2">
                  <c:v>64.183000000000007</c:v>
                </c:pt>
                <c:pt idx="3">
                  <c:v>52.344714665975445</c:v>
                </c:pt>
                <c:pt idx="4">
                  <c:v>7.3949999999999996</c:v>
                </c:pt>
                <c:pt idx="5">
                  <c:v>6.143975554183239</c:v>
                </c:pt>
              </c:numCache>
            </c:numRef>
          </c:val>
          <c:extLst>
            <c:ext xmlns:c16="http://schemas.microsoft.com/office/drawing/2014/chart" uri="{C3380CC4-5D6E-409C-BE32-E72D297353CC}">
              <c16:uniqueId val="{00000001-36A9-49AF-81BB-40C22C6BE4A6}"/>
            </c:ext>
          </c:extLst>
        </c:ser>
        <c:ser>
          <c:idx val="2"/>
          <c:order val="2"/>
          <c:tx>
            <c:strRef>
              <c:f>'issue_brief_1 nums'!$J$6</c:f>
              <c:strCache>
                <c:ptCount val="1"/>
                <c:pt idx="0">
                  <c:v>take_illchild</c:v>
                </c:pt>
              </c:strCache>
            </c:strRef>
          </c:tx>
          <c:spPr>
            <a:solidFill>
              <a:schemeClr val="accent3"/>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nums'!$K$6:$P$6</c:f>
              <c:numCache>
                <c:formatCode>General</c:formatCode>
                <c:ptCount val="6"/>
                <c:pt idx="0">
                  <c:v>425.68299999999999</c:v>
                </c:pt>
                <c:pt idx="1">
                  <c:v>444.19056080874248</c:v>
                </c:pt>
                <c:pt idx="2">
                  <c:v>97.201999999999998</c:v>
                </c:pt>
                <c:pt idx="3">
                  <c:v>76.250456329692668</c:v>
                </c:pt>
                <c:pt idx="4">
                  <c:v>12.741</c:v>
                </c:pt>
                <c:pt idx="5">
                  <c:v>11.884171992502244</c:v>
                </c:pt>
              </c:numCache>
            </c:numRef>
          </c:val>
          <c:extLst>
            <c:ext xmlns:c16="http://schemas.microsoft.com/office/drawing/2014/chart" uri="{C3380CC4-5D6E-409C-BE32-E72D297353CC}">
              <c16:uniqueId val="{00000002-36A9-49AF-81BB-40C22C6BE4A6}"/>
            </c:ext>
          </c:extLst>
        </c:ser>
        <c:ser>
          <c:idx val="3"/>
          <c:order val="3"/>
          <c:tx>
            <c:strRef>
              <c:f>'issue_brief_1 nums'!$J$7</c:f>
              <c:strCache>
                <c:ptCount val="1"/>
                <c:pt idx="0">
                  <c:v>take_illparent</c:v>
                </c:pt>
              </c:strCache>
            </c:strRef>
          </c:tx>
          <c:spPr>
            <a:solidFill>
              <a:schemeClr val="accent4"/>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nums'!$K$7:$P$7</c:f>
              <c:numCache>
                <c:formatCode>General</c:formatCode>
                <c:ptCount val="6"/>
                <c:pt idx="0">
                  <c:v>679.88800000000003</c:v>
                </c:pt>
                <c:pt idx="1">
                  <c:v>828.75052457680556</c:v>
                </c:pt>
                <c:pt idx="2">
                  <c:v>169.19800000000001</c:v>
                </c:pt>
                <c:pt idx="3">
                  <c:v>134.95264070921672</c:v>
                </c:pt>
                <c:pt idx="4">
                  <c:v>19.015999999999998</c:v>
                </c:pt>
                <c:pt idx="5">
                  <c:v>17.054164982385075</c:v>
                </c:pt>
              </c:numCache>
            </c:numRef>
          </c:val>
          <c:extLst>
            <c:ext xmlns:c16="http://schemas.microsoft.com/office/drawing/2014/chart" uri="{C3380CC4-5D6E-409C-BE32-E72D297353CC}">
              <c16:uniqueId val="{00000003-36A9-49AF-81BB-40C22C6BE4A6}"/>
            </c:ext>
          </c:extLst>
        </c:ser>
        <c:ser>
          <c:idx val="4"/>
          <c:order val="4"/>
          <c:tx>
            <c:strRef>
              <c:f>'issue_brief_1 nums'!$J$8</c:f>
              <c:strCache>
                <c:ptCount val="1"/>
                <c:pt idx="0">
                  <c:v>take_matdis</c:v>
                </c:pt>
              </c:strCache>
            </c:strRef>
          </c:tx>
          <c:spPr>
            <a:solidFill>
              <a:schemeClr val="accent5"/>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nums'!$K$8:$P$8</c:f>
              <c:numCache>
                <c:formatCode>General</c:formatCode>
                <c:ptCount val="6"/>
                <c:pt idx="0">
                  <c:v>857.60199999999998</c:v>
                </c:pt>
                <c:pt idx="1">
                  <c:v>904.99424918840748</c:v>
                </c:pt>
                <c:pt idx="2">
                  <c:v>186.67699999999999</c:v>
                </c:pt>
                <c:pt idx="3">
                  <c:v>144.65621986612393</c:v>
                </c:pt>
                <c:pt idx="4">
                  <c:v>24.131</c:v>
                </c:pt>
                <c:pt idx="5">
                  <c:v>29.323294793796951</c:v>
                </c:pt>
              </c:numCache>
            </c:numRef>
          </c:val>
          <c:extLst>
            <c:ext xmlns:c16="http://schemas.microsoft.com/office/drawing/2014/chart" uri="{C3380CC4-5D6E-409C-BE32-E72D297353CC}">
              <c16:uniqueId val="{00000004-36A9-49AF-81BB-40C22C6BE4A6}"/>
            </c:ext>
          </c:extLst>
        </c:ser>
        <c:ser>
          <c:idx val="5"/>
          <c:order val="5"/>
          <c:tx>
            <c:strRef>
              <c:f>'issue_brief_1 nums'!$J$9</c:f>
              <c:strCache>
                <c:ptCount val="1"/>
                <c:pt idx="0">
                  <c:v>take_bond</c:v>
                </c:pt>
              </c:strCache>
            </c:strRef>
          </c:tx>
          <c:spPr>
            <a:solidFill>
              <a:schemeClr val="accent6"/>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nums'!$K$9:$P$9</c:f>
              <c:numCache>
                <c:formatCode>General</c:formatCode>
                <c:ptCount val="6"/>
                <c:pt idx="0">
                  <c:v>386.33699999999999</c:v>
                </c:pt>
                <c:pt idx="1">
                  <c:v>293.15141476675984</c:v>
                </c:pt>
                <c:pt idx="2">
                  <c:v>68.13</c:v>
                </c:pt>
                <c:pt idx="3">
                  <c:v>84.789379365291552</c:v>
                </c:pt>
                <c:pt idx="4">
                  <c:v>10.91</c:v>
                </c:pt>
                <c:pt idx="5">
                  <c:v>12.236508671259271</c:v>
                </c:pt>
              </c:numCache>
            </c:numRef>
          </c:val>
          <c:extLst>
            <c:ext xmlns:c16="http://schemas.microsoft.com/office/drawing/2014/chart" uri="{C3380CC4-5D6E-409C-BE32-E72D297353CC}">
              <c16:uniqueId val="{00000005-36A9-49AF-81BB-40C22C6BE4A6}"/>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Takers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Needers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strRef>
              <c:f>'issue_brief_1 nums'!$J$10</c:f>
              <c:strCache>
                <c:ptCount val="1"/>
                <c:pt idx="0">
                  <c:v>need_own</c:v>
                </c:pt>
              </c:strCache>
            </c:strRef>
          </c:tx>
          <c:spPr>
            <a:solidFill>
              <a:schemeClr val="accent1">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nums'!$K$10:$P$10</c:f>
              <c:numCache>
                <c:formatCode>General</c:formatCode>
                <c:ptCount val="6"/>
                <c:pt idx="0">
                  <c:v>533.02800000000002</c:v>
                </c:pt>
                <c:pt idx="1">
                  <c:v>611.87840741461957</c:v>
                </c:pt>
                <c:pt idx="2">
                  <c:v>114.021</c:v>
                </c:pt>
                <c:pt idx="3">
                  <c:v>131.52568966077843</c:v>
                </c:pt>
                <c:pt idx="4">
                  <c:v>13.194000000000001</c:v>
                </c:pt>
                <c:pt idx="5">
                  <c:v>11.670185079440323</c:v>
                </c:pt>
              </c:numCache>
            </c:numRef>
          </c:val>
          <c:extLst>
            <c:ext xmlns:c16="http://schemas.microsoft.com/office/drawing/2014/chart" uri="{C3380CC4-5D6E-409C-BE32-E72D297353CC}">
              <c16:uniqueId val="{00000000-5093-44C0-8366-0C47AD25FDD4}"/>
            </c:ext>
          </c:extLst>
        </c:ser>
        <c:ser>
          <c:idx val="7"/>
          <c:order val="1"/>
          <c:tx>
            <c:strRef>
              <c:f>'issue_brief_1 nums'!$J$11</c:f>
              <c:strCache>
                <c:ptCount val="1"/>
                <c:pt idx="0">
                  <c:v>need_illspouse</c:v>
                </c:pt>
              </c:strCache>
            </c:strRef>
          </c:tx>
          <c:spPr>
            <a:solidFill>
              <a:schemeClr val="accent2">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nums'!$K$11:$P$11</c:f>
              <c:numCache>
                <c:formatCode>General</c:formatCode>
                <c:ptCount val="6"/>
                <c:pt idx="0">
                  <c:v>47.192</c:v>
                </c:pt>
                <c:pt idx="1">
                  <c:v>45.477243872316045</c:v>
                </c:pt>
                <c:pt idx="2">
                  <c:v>14.180999999999999</c:v>
                </c:pt>
                <c:pt idx="3">
                  <c:v>13.991115375940741</c:v>
                </c:pt>
                <c:pt idx="4">
                  <c:v>1.845</c:v>
                </c:pt>
                <c:pt idx="5">
                  <c:v>1.7993314720278548</c:v>
                </c:pt>
              </c:numCache>
            </c:numRef>
          </c:val>
          <c:extLst>
            <c:ext xmlns:c16="http://schemas.microsoft.com/office/drawing/2014/chart" uri="{C3380CC4-5D6E-409C-BE32-E72D297353CC}">
              <c16:uniqueId val="{00000001-5093-44C0-8366-0C47AD25FDD4}"/>
            </c:ext>
          </c:extLst>
        </c:ser>
        <c:ser>
          <c:idx val="8"/>
          <c:order val="2"/>
          <c:tx>
            <c:strRef>
              <c:f>'issue_brief_1 nums'!$J$12</c:f>
              <c:strCache>
                <c:ptCount val="1"/>
                <c:pt idx="0">
                  <c:v>need_illchild</c:v>
                </c:pt>
              </c:strCache>
            </c:strRef>
          </c:tx>
          <c:spPr>
            <a:solidFill>
              <a:schemeClr val="accent3">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nums'!$K$12:$P$12</c:f>
              <c:numCache>
                <c:formatCode>General</c:formatCode>
                <c:ptCount val="6"/>
                <c:pt idx="0">
                  <c:v>200.41499999999999</c:v>
                </c:pt>
                <c:pt idx="1">
                  <c:v>174.44334045379668</c:v>
                </c:pt>
                <c:pt idx="2">
                  <c:v>48.415999999999997</c:v>
                </c:pt>
                <c:pt idx="3">
                  <c:v>50.282918827935283</c:v>
                </c:pt>
                <c:pt idx="4">
                  <c:v>7.1790000000000003</c:v>
                </c:pt>
                <c:pt idx="5">
                  <c:v>5.7445523041606732</c:v>
                </c:pt>
              </c:numCache>
            </c:numRef>
          </c:val>
          <c:extLst>
            <c:ext xmlns:c16="http://schemas.microsoft.com/office/drawing/2014/chart" uri="{C3380CC4-5D6E-409C-BE32-E72D297353CC}">
              <c16:uniqueId val="{00000002-5093-44C0-8366-0C47AD25FDD4}"/>
            </c:ext>
          </c:extLst>
        </c:ser>
        <c:ser>
          <c:idx val="9"/>
          <c:order val="3"/>
          <c:tx>
            <c:strRef>
              <c:f>'issue_brief_1 nums'!$J$13</c:f>
              <c:strCache>
                <c:ptCount val="1"/>
                <c:pt idx="0">
                  <c:v>need_illparent</c:v>
                </c:pt>
              </c:strCache>
            </c:strRef>
          </c:tx>
          <c:spPr>
            <a:solidFill>
              <a:schemeClr val="accent4">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nums'!$K$13:$P$13</c:f>
              <c:numCache>
                <c:formatCode>General</c:formatCode>
                <c:ptCount val="6"/>
                <c:pt idx="0">
                  <c:v>239.66399999999999</c:v>
                </c:pt>
                <c:pt idx="1">
                  <c:v>199.0655022922011</c:v>
                </c:pt>
                <c:pt idx="2">
                  <c:v>60.825000000000003</c:v>
                </c:pt>
                <c:pt idx="3">
                  <c:v>65.160809100395497</c:v>
                </c:pt>
                <c:pt idx="4">
                  <c:v>7.8819999999999997</c:v>
                </c:pt>
                <c:pt idx="5">
                  <c:v>6.2464705035449972</c:v>
                </c:pt>
              </c:numCache>
            </c:numRef>
          </c:val>
          <c:extLst>
            <c:ext xmlns:c16="http://schemas.microsoft.com/office/drawing/2014/chart" uri="{C3380CC4-5D6E-409C-BE32-E72D297353CC}">
              <c16:uniqueId val="{00000003-5093-44C0-8366-0C47AD25FDD4}"/>
            </c:ext>
          </c:extLst>
        </c:ser>
        <c:ser>
          <c:idx val="10"/>
          <c:order val="4"/>
          <c:tx>
            <c:strRef>
              <c:f>'issue_brief_1 nums'!$J$14</c:f>
              <c:strCache>
                <c:ptCount val="1"/>
                <c:pt idx="0">
                  <c:v>need_matdis</c:v>
                </c:pt>
              </c:strCache>
            </c:strRef>
          </c:tx>
          <c:spPr>
            <a:solidFill>
              <a:schemeClr val="accent5">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nums'!$K$14:$P$14</c:f>
              <c:numCache>
                <c:formatCode>General</c:formatCode>
                <c:ptCount val="6"/>
                <c:pt idx="0">
                  <c:v>44.774000000000001</c:v>
                </c:pt>
                <c:pt idx="1">
                  <c:v>52.892204291557135</c:v>
                </c:pt>
                <c:pt idx="2">
                  <c:v>7.375</c:v>
                </c:pt>
                <c:pt idx="3">
                  <c:v>6.2284153186346254</c:v>
                </c:pt>
                <c:pt idx="4">
                  <c:v>1.266</c:v>
                </c:pt>
                <c:pt idx="5">
                  <c:v>1.1460660748769391</c:v>
                </c:pt>
              </c:numCache>
            </c:numRef>
          </c:val>
          <c:extLst>
            <c:ext xmlns:c16="http://schemas.microsoft.com/office/drawing/2014/chart" uri="{C3380CC4-5D6E-409C-BE32-E72D297353CC}">
              <c16:uniqueId val="{00000004-5093-44C0-8366-0C47AD25FDD4}"/>
            </c:ext>
          </c:extLst>
        </c:ser>
        <c:ser>
          <c:idx val="11"/>
          <c:order val="5"/>
          <c:tx>
            <c:strRef>
              <c:f>'issue_brief_1 nums'!$J$15</c:f>
              <c:strCache>
                <c:ptCount val="1"/>
                <c:pt idx="0">
                  <c:v>need_bond</c:v>
                </c:pt>
              </c:strCache>
            </c:strRef>
          </c:tx>
          <c:spPr>
            <a:solidFill>
              <a:schemeClr val="accent6">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nums'!$K$15:$P$15</c:f>
              <c:numCache>
                <c:formatCode>General</c:formatCode>
                <c:ptCount val="6"/>
                <c:pt idx="0">
                  <c:v>26.992000000000001</c:v>
                </c:pt>
                <c:pt idx="1">
                  <c:v>25.995904154381066</c:v>
                </c:pt>
                <c:pt idx="2">
                  <c:v>5.0730000000000004</c:v>
                </c:pt>
                <c:pt idx="3">
                  <c:v>4.9585142141555867</c:v>
                </c:pt>
                <c:pt idx="4">
                  <c:v>0.71199999999999997</c:v>
                </c:pt>
                <c:pt idx="5">
                  <c:v>0.77285812102406215</c:v>
                </c:pt>
              </c:numCache>
            </c:numRef>
          </c:val>
          <c:extLst>
            <c:ext xmlns:c16="http://schemas.microsoft.com/office/drawing/2014/chart" uri="{C3380CC4-5D6E-409C-BE32-E72D297353CC}">
              <c16:uniqueId val="{00000005-5093-44C0-8366-0C47AD25FDD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Needers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t>
            </a:r>
            <a:r>
              <a:rPr lang="en-US" baseline="0"/>
              <a:t>Days of Leave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2"/>
          <c:order val="0"/>
          <c:tx>
            <c:strRef>
              <c:f>'issue_brief_1 nums'!$J$16</c:f>
              <c:strCache>
                <c:ptCount val="1"/>
                <c:pt idx="0">
                  <c:v>length_own</c:v>
                </c:pt>
              </c:strCache>
            </c:strRef>
          </c:tx>
          <c:spPr>
            <a:solidFill>
              <a:schemeClr val="accent1">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nums'!$K$16:$P$16</c:f>
              <c:numCache>
                <c:formatCode>General</c:formatCode>
                <c:ptCount val="6"/>
                <c:pt idx="0">
                  <c:v>3.9618922167355901</c:v>
                </c:pt>
                <c:pt idx="1">
                  <c:v>4.8611781139112198</c:v>
                </c:pt>
                <c:pt idx="2">
                  <c:v>4.3251662995187798</c:v>
                </c:pt>
                <c:pt idx="3">
                  <c:v>5.2373686133066277</c:v>
                </c:pt>
                <c:pt idx="4">
                  <c:v>4.3610835940844499</c:v>
                </c:pt>
                <c:pt idx="5">
                  <c:v>4.3148028880794795</c:v>
                </c:pt>
              </c:numCache>
            </c:numRef>
          </c:val>
          <c:extLst>
            <c:ext xmlns:c16="http://schemas.microsoft.com/office/drawing/2014/chart" uri="{C3380CC4-5D6E-409C-BE32-E72D297353CC}">
              <c16:uniqueId val="{00000000-6893-45CC-9D8B-DA2A7B660380}"/>
            </c:ext>
          </c:extLst>
        </c:ser>
        <c:ser>
          <c:idx val="13"/>
          <c:order val="1"/>
          <c:tx>
            <c:strRef>
              <c:f>'issue_brief_1 nums'!$J$17</c:f>
              <c:strCache>
                <c:ptCount val="1"/>
                <c:pt idx="0">
                  <c:v>length_illspouse</c:v>
                </c:pt>
              </c:strCache>
            </c:strRef>
          </c:tx>
          <c:spPr>
            <a:solidFill>
              <a:schemeClr val="accent2">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nums'!$K$17:$P$17</c:f>
              <c:numCache>
                <c:formatCode>General</c:formatCode>
                <c:ptCount val="6"/>
                <c:pt idx="0">
                  <c:v>0.193454339301078</c:v>
                </c:pt>
                <c:pt idx="1">
                  <c:v>0.21114199764267108</c:v>
                </c:pt>
                <c:pt idx="2">
                  <c:v>0.254779144301224</c:v>
                </c:pt>
                <c:pt idx="3">
                  <c:v>0.3013465109545056</c:v>
                </c:pt>
                <c:pt idx="4">
                  <c:v>0.26562490305849201</c:v>
                </c:pt>
                <c:pt idx="5">
                  <c:v>0.32153855936169501</c:v>
                </c:pt>
              </c:numCache>
            </c:numRef>
          </c:val>
          <c:extLst>
            <c:ext xmlns:c16="http://schemas.microsoft.com/office/drawing/2014/chart" uri="{C3380CC4-5D6E-409C-BE32-E72D297353CC}">
              <c16:uniqueId val="{00000001-6893-45CC-9D8B-DA2A7B660380}"/>
            </c:ext>
          </c:extLst>
        </c:ser>
        <c:ser>
          <c:idx val="14"/>
          <c:order val="2"/>
          <c:tx>
            <c:strRef>
              <c:f>'issue_brief_1 nums'!$J$18</c:f>
              <c:strCache>
                <c:ptCount val="1"/>
                <c:pt idx="0">
                  <c:v>length_illchild</c:v>
                </c:pt>
              </c:strCache>
            </c:strRef>
          </c:tx>
          <c:spPr>
            <a:solidFill>
              <a:schemeClr val="accent3">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nums'!$K$18:$P$18</c:f>
              <c:numCache>
                <c:formatCode>General</c:formatCode>
                <c:ptCount val="6"/>
                <c:pt idx="0">
                  <c:v>0.34123735722778598</c:v>
                </c:pt>
                <c:pt idx="1">
                  <c:v>0.37735617714012826</c:v>
                </c:pt>
                <c:pt idx="2">
                  <c:v>0.324546331345341</c:v>
                </c:pt>
                <c:pt idx="3">
                  <c:v>0.35689488382261542</c:v>
                </c:pt>
                <c:pt idx="4">
                  <c:v>0.34172010944308501</c:v>
                </c:pt>
                <c:pt idx="5">
                  <c:v>0.27042102722505018</c:v>
                </c:pt>
              </c:numCache>
            </c:numRef>
          </c:val>
          <c:extLst>
            <c:ext xmlns:c16="http://schemas.microsoft.com/office/drawing/2014/chart" uri="{C3380CC4-5D6E-409C-BE32-E72D297353CC}">
              <c16:uniqueId val="{00000002-6893-45CC-9D8B-DA2A7B660380}"/>
            </c:ext>
          </c:extLst>
        </c:ser>
        <c:ser>
          <c:idx val="15"/>
          <c:order val="3"/>
          <c:tx>
            <c:strRef>
              <c:f>'issue_brief_1 nums'!$J$19</c:f>
              <c:strCache>
                <c:ptCount val="1"/>
                <c:pt idx="0">
                  <c:v>length_illparent</c:v>
                </c:pt>
              </c:strCache>
            </c:strRef>
          </c:tx>
          <c:spPr>
            <a:solidFill>
              <a:schemeClr val="accent4">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nums'!$K$19:$P$19</c:f>
              <c:numCache>
                <c:formatCode>General</c:formatCode>
                <c:ptCount val="6"/>
                <c:pt idx="0">
                  <c:v>0.74190052689710495</c:v>
                </c:pt>
                <c:pt idx="1">
                  <c:v>0.72216522081462731</c:v>
                </c:pt>
                <c:pt idx="2">
                  <c:v>0.81167211761303304</c:v>
                </c:pt>
                <c:pt idx="3">
                  <c:v>0.95844521086675938</c:v>
                </c:pt>
                <c:pt idx="4">
                  <c:v>0.81898874754673401</c:v>
                </c:pt>
                <c:pt idx="5">
                  <c:v>0.90292770368513864</c:v>
                </c:pt>
              </c:numCache>
            </c:numRef>
          </c:val>
          <c:extLst>
            <c:ext xmlns:c16="http://schemas.microsoft.com/office/drawing/2014/chart" uri="{C3380CC4-5D6E-409C-BE32-E72D297353CC}">
              <c16:uniqueId val="{00000003-6893-45CC-9D8B-DA2A7B660380}"/>
            </c:ext>
          </c:extLst>
        </c:ser>
        <c:ser>
          <c:idx val="16"/>
          <c:order val="4"/>
          <c:tx>
            <c:strRef>
              <c:f>'issue_brief_1 nums'!$J$20</c:f>
              <c:strCache>
                <c:ptCount val="1"/>
                <c:pt idx="0">
                  <c:v>length_matdis</c:v>
                </c:pt>
              </c:strCache>
            </c:strRef>
          </c:tx>
          <c:spPr>
            <a:solidFill>
              <a:schemeClr val="accent5">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nums'!$K$20:$P$20</c:f>
              <c:numCache>
                <c:formatCode>General</c:formatCode>
                <c:ptCount val="6"/>
                <c:pt idx="0">
                  <c:v>3.3303184153414001</c:v>
                </c:pt>
                <c:pt idx="1">
                  <c:v>3.4269967491948123</c:v>
                </c:pt>
                <c:pt idx="2">
                  <c:v>3.1873091266297102</c:v>
                </c:pt>
                <c:pt idx="3">
                  <c:v>2.4209528644674734</c:v>
                </c:pt>
                <c:pt idx="4">
                  <c:v>3.34505799945816</c:v>
                </c:pt>
                <c:pt idx="5">
                  <c:v>4.0814632046352521</c:v>
                </c:pt>
              </c:numCache>
            </c:numRef>
          </c:val>
          <c:extLst>
            <c:ext xmlns:c16="http://schemas.microsoft.com/office/drawing/2014/chart" uri="{C3380CC4-5D6E-409C-BE32-E72D297353CC}">
              <c16:uniqueId val="{00000004-6893-45CC-9D8B-DA2A7B660380}"/>
            </c:ext>
          </c:extLst>
        </c:ser>
        <c:ser>
          <c:idx val="17"/>
          <c:order val="5"/>
          <c:tx>
            <c:strRef>
              <c:f>'issue_brief_1 nums'!$J$21</c:f>
              <c:strCache>
                <c:ptCount val="1"/>
                <c:pt idx="0">
                  <c:v>length_bond</c:v>
                </c:pt>
              </c:strCache>
            </c:strRef>
          </c:tx>
          <c:spPr>
            <a:solidFill>
              <a:schemeClr val="accent6">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nums'!$K$21:$P$21</c:f>
              <c:numCache>
                <c:formatCode>General</c:formatCode>
                <c:ptCount val="6"/>
                <c:pt idx="0">
                  <c:v>0.596576812067106</c:v>
                </c:pt>
                <c:pt idx="1">
                  <c:v>0.73870041164723022</c:v>
                </c:pt>
                <c:pt idx="2">
                  <c:v>0.456027489587567</c:v>
                </c:pt>
                <c:pt idx="3">
                  <c:v>0.56176592072182363</c:v>
                </c:pt>
                <c:pt idx="4">
                  <c:v>0.62987680414609803</c:v>
                </c:pt>
                <c:pt idx="5">
                  <c:v>0.68821402151804323</c:v>
                </c:pt>
              </c:numCache>
            </c:numRef>
          </c:val>
          <c:extLst>
            <c:ext xmlns:c16="http://schemas.microsoft.com/office/drawing/2014/chart" uri="{C3380CC4-5D6E-409C-BE32-E72D297353CC}">
              <c16:uniqueId val="{00000005-6893-45CC-9D8B-DA2A7B660380}"/>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Days</a:t>
                </a:r>
                <a:r>
                  <a:rPr lang="en-US" baseline="0"/>
                  <a:t> of Leave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Benefits Outlayed by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8"/>
          <c:order val="0"/>
          <c:tx>
            <c:strRef>
              <c:f>'issue_brief_1 nums'!$J$22</c:f>
              <c:strCache>
                <c:ptCount val="1"/>
                <c:pt idx="0">
                  <c:v>actual_benefits</c:v>
                </c:pt>
              </c:strCache>
            </c:strRef>
          </c:tx>
          <c:spPr>
            <a:solidFill>
              <a:schemeClr val="accent1">
                <a:lumMod val="8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nums'!$K$22:$P$22</c:f>
              <c:numCache>
                <c:formatCode>General</c:formatCode>
                <c:ptCount val="6"/>
                <c:pt idx="0">
                  <c:v>2760.3984807936199</c:v>
                </c:pt>
                <c:pt idx="1">
                  <c:v>2196.5199765350944</c:v>
                </c:pt>
                <c:pt idx="2">
                  <c:v>600.61725779149492</c:v>
                </c:pt>
                <c:pt idx="3">
                  <c:v>553.39538383548336</c:v>
                </c:pt>
                <c:pt idx="4">
                  <c:v>66.195707685804095</c:v>
                </c:pt>
                <c:pt idx="5">
                  <c:v>76.819569992160083</c:v>
                </c:pt>
              </c:numCache>
            </c:numRef>
          </c:val>
          <c:extLst>
            <c:ext xmlns:c16="http://schemas.microsoft.com/office/drawing/2014/chart" uri="{C3380CC4-5D6E-409C-BE32-E72D297353CC}">
              <c16:uniqueId val="{00000000-1450-4EEB-86FF-8CD21500947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Benefits</a:t>
                </a:r>
                <a:r>
                  <a:rPr lang="en-US" baseline="0"/>
                  <a:t> Outlayed (Millions of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31</cp:revision>
  <dcterms:created xsi:type="dcterms:W3CDTF">2019-12-16T20:26:00Z</dcterms:created>
  <dcterms:modified xsi:type="dcterms:W3CDTF">2019-12-23T21:57:00Z</dcterms:modified>
</cp:coreProperties>
</file>