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CFA6F" w14:textId="73AD634C" w:rsidR="00276CA6" w:rsidRPr="009C31AA" w:rsidRDefault="00276CA6" w:rsidP="009C31AA">
      <w:pPr>
        <w:pBdr>
          <w:bottom w:val="single" w:sz="4" w:space="1" w:color="auto"/>
        </w:pBdr>
        <w:jc w:val="center"/>
        <w:rPr>
          <w:rFonts w:cs="Arial"/>
          <w:b/>
          <w:caps/>
          <w:color w:val="6C0000"/>
          <w:sz w:val="28"/>
        </w:rPr>
      </w:pPr>
      <w:r w:rsidRPr="009C31AA">
        <w:rPr>
          <w:rFonts w:cs="Arial"/>
          <w:b/>
          <w:caps/>
          <w:color w:val="6C0000"/>
          <w:sz w:val="28"/>
        </w:rPr>
        <w:t xml:space="preserve">Issue Brief: </w:t>
      </w:r>
      <w:r w:rsidR="00801EFD">
        <w:rPr>
          <w:rFonts w:cs="Arial"/>
          <w:b/>
          <w:caps/>
          <w:color w:val="6C0000"/>
          <w:sz w:val="28"/>
        </w:rPr>
        <w:t>BenchMarking</w:t>
      </w:r>
      <w:r w:rsidR="009C31AA">
        <w:rPr>
          <w:rFonts w:cs="Arial"/>
          <w:b/>
          <w:caps/>
          <w:color w:val="6C0000"/>
          <w:sz w:val="28"/>
        </w:rPr>
        <w:t xml:space="preserve"> the Results of ACM and </w:t>
      </w:r>
      <w:r w:rsidR="00523813" w:rsidRPr="009C31AA">
        <w:rPr>
          <w:rFonts w:cs="Arial"/>
          <w:b/>
          <w:caps/>
          <w:color w:val="6C0000"/>
          <w:sz w:val="28"/>
        </w:rPr>
        <w:t>IMPAQ</w:t>
      </w:r>
      <w:r w:rsidRPr="009C31AA">
        <w:rPr>
          <w:rFonts w:cs="Arial"/>
          <w:b/>
          <w:caps/>
          <w:color w:val="6C0000"/>
          <w:sz w:val="28"/>
        </w:rPr>
        <w:t xml:space="preserve"> </w:t>
      </w:r>
      <w:r w:rsidR="00760590" w:rsidRPr="009C31AA">
        <w:rPr>
          <w:rFonts w:cs="Arial"/>
          <w:b/>
          <w:caps/>
          <w:color w:val="6C0000"/>
          <w:sz w:val="28"/>
        </w:rPr>
        <w:t>Paid Leave Microsimulation M</w:t>
      </w:r>
      <w:r w:rsidRPr="009C31AA">
        <w:rPr>
          <w:rFonts w:cs="Arial"/>
          <w:b/>
          <w:caps/>
          <w:color w:val="6C0000"/>
          <w:sz w:val="28"/>
        </w:rPr>
        <w:t>odels</w:t>
      </w:r>
    </w:p>
    <w:p w14:paraId="55A76ECB" w14:textId="61A118A2" w:rsidR="008B3A00" w:rsidRPr="00760590" w:rsidRDefault="008B3A00" w:rsidP="009C31AA">
      <w:pPr>
        <w:jc w:val="both"/>
        <w:rPr>
          <w:rFonts w:cs="Arial"/>
        </w:rPr>
      </w:pPr>
      <w:r w:rsidRPr="00760590">
        <w:rPr>
          <w:rFonts w:cs="Arial"/>
        </w:rPr>
        <w:t xml:space="preserve">This brief compares a new paid leave microsimulation </w:t>
      </w:r>
      <w:r w:rsidR="0093750D" w:rsidRPr="00760590">
        <w:rPr>
          <w:rFonts w:cs="Arial"/>
        </w:rPr>
        <w:t xml:space="preserve">model </w:t>
      </w:r>
      <w:r w:rsidRPr="00760590">
        <w:rPr>
          <w:rFonts w:cs="Arial"/>
        </w:rPr>
        <w:t xml:space="preserve">funded by </w:t>
      </w:r>
      <w:r w:rsidR="008923E6" w:rsidRPr="00760590">
        <w:rPr>
          <w:rFonts w:cs="Arial"/>
        </w:rPr>
        <w:t xml:space="preserve">the US </w:t>
      </w:r>
      <w:r w:rsidRPr="00760590">
        <w:rPr>
          <w:rFonts w:cs="Arial"/>
        </w:rPr>
        <w:t>D</w:t>
      </w:r>
      <w:r w:rsidR="008923E6" w:rsidRPr="00760590">
        <w:rPr>
          <w:rFonts w:cs="Arial"/>
        </w:rPr>
        <w:t>epartment of Labor</w:t>
      </w:r>
      <w:r w:rsidR="00673154" w:rsidRPr="00760590">
        <w:rPr>
          <w:rFonts w:cs="Arial"/>
        </w:rPr>
        <w:t xml:space="preserve"> (DOL)</w:t>
      </w:r>
      <w:r w:rsidR="008923E6" w:rsidRPr="00760590">
        <w:rPr>
          <w:rFonts w:cs="Arial"/>
        </w:rPr>
        <w:t xml:space="preserve"> </w:t>
      </w:r>
      <w:r w:rsidRPr="00760590">
        <w:rPr>
          <w:rFonts w:cs="Arial"/>
        </w:rPr>
        <w:t>to an older version of the model</w:t>
      </w:r>
      <w:r w:rsidR="0093750D" w:rsidRPr="00760590">
        <w:rPr>
          <w:rFonts w:cs="Arial"/>
        </w:rPr>
        <w:t xml:space="preserve">. Both models are also compared </w:t>
      </w:r>
      <w:r w:rsidRPr="00760590">
        <w:rPr>
          <w:rFonts w:cs="Arial"/>
        </w:rPr>
        <w:t xml:space="preserve">to </w:t>
      </w:r>
      <w:r w:rsidR="0093750D" w:rsidRPr="00760590">
        <w:rPr>
          <w:rFonts w:cs="Arial"/>
        </w:rPr>
        <w:t>actual</w:t>
      </w:r>
      <w:r w:rsidRPr="00760590">
        <w:rPr>
          <w:rFonts w:cs="Arial"/>
        </w:rPr>
        <w:t xml:space="preserve"> historical paid leave program statistics. Th</w:t>
      </w:r>
      <w:r w:rsidR="0093750D" w:rsidRPr="00760590">
        <w:rPr>
          <w:rFonts w:cs="Arial"/>
        </w:rPr>
        <w:t>e purpose of this exercise</w:t>
      </w:r>
      <w:r w:rsidRPr="00760590">
        <w:rPr>
          <w:rFonts w:cs="Arial"/>
        </w:rPr>
        <w:t xml:space="preserve"> is to benchmark the newer model’s performance</w:t>
      </w:r>
      <w:r w:rsidR="008923E6" w:rsidRPr="00760590">
        <w:rPr>
          <w:rFonts w:cs="Arial"/>
        </w:rPr>
        <w:t xml:space="preserve"> at modeling state paid leave programs</w:t>
      </w:r>
      <w:r w:rsidR="009C31AA">
        <w:rPr>
          <w:rFonts w:cs="Arial"/>
        </w:rPr>
        <w:t>, and demonstrate to users of the model the consistency of the model results with both the older model and real world data.</w:t>
      </w:r>
      <w:r w:rsidR="007410B2">
        <w:rPr>
          <w:rFonts w:cs="Arial"/>
        </w:rPr>
        <w:t xml:space="preserve"> We demonstrate that by and large the model produces estimates consistent with both </w:t>
      </w:r>
      <w:r w:rsidR="004F0F5C">
        <w:rPr>
          <w:rFonts w:cs="Arial"/>
        </w:rPr>
        <w:t xml:space="preserve">the original model </w:t>
      </w:r>
      <w:r w:rsidR="00845F82">
        <w:rPr>
          <w:rFonts w:cs="Arial"/>
        </w:rPr>
        <w:t xml:space="preserve">and real-world </w:t>
      </w:r>
      <w:r w:rsidR="007410B2">
        <w:rPr>
          <w:rFonts w:cs="Arial"/>
        </w:rPr>
        <w:t>benchmarks.</w:t>
      </w:r>
    </w:p>
    <w:p w14:paraId="6ED420F8" w14:textId="7CAD63FE" w:rsidR="00BC42F8" w:rsidRPr="00760590" w:rsidRDefault="005501F3" w:rsidP="00985DAB">
      <w:pPr>
        <w:pStyle w:val="Heading1"/>
        <w:rPr>
          <w:rFonts w:cs="Arial"/>
        </w:rPr>
      </w:pPr>
      <w:r>
        <w:rPr>
          <w:rFonts w:cs="Arial"/>
        </w:rPr>
        <w:t>1.</w:t>
      </w:r>
      <w:r>
        <w:rPr>
          <w:rFonts w:cs="Arial"/>
        </w:rPr>
        <w:tab/>
      </w:r>
      <w:r w:rsidR="00BC42F8" w:rsidRPr="00760590">
        <w:rPr>
          <w:rFonts w:cs="Arial"/>
        </w:rPr>
        <w:t>Project Overview</w:t>
      </w:r>
    </w:p>
    <w:p w14:paraId="5B01ACC6" w14:textId="5FEA2DEE" w:rsidR="003857C7" w:rsidRPr="00760590" w:rsidRDefault="003857C7" w:rsidP="003857C7">
      <w:pPr>
        <w:autoSpaceDE w:val="0"/>
        <w:autoSpaceDN w:val="0"/>
        <w:adjustRightInd w:val="0"/>
        <w:spacing w:after="0" w:line="240" w:lineRule="auto"/>
        <w:jc w:val="both"/>
        <w:rPr>
          <w:rFonts w:cs="Arial"/>
        </w:rPr>
      </w:pPr>
      <w:r w:rsidRPr="00760590">
        <w:rPr>
          <w:rFonts w:cs="Arial"/>
        </w:rPr>
        <w:t>Access to and use of paid and unpaid leave are critical to an individual’s financial security and quality of life (Winston, 2017). The United States remains an outlier when it comes to paid leave. Nearly every other developed country provides paid maternity leave, and most advanced industrial countries offer extended paid medical and parental leaves. In the US, there is no federal requirement for paid leave or sick days, which leaves many individuals, especially low-income workers, facing difficult tradeoffs. In 2016, only 14 percent of all US workers have access to paid family leave through their employers, and 68 percent have paid sick leave (B</w:t>
      </w:r>
      <w:r w:rsidR="00222B92">
        <w:rPr>
          <w:rFonts w:cs="Arial"/>
        </w:rPr>
        <w:t xml:space="preserve">ureau of </w:t>
      </w:r>
      <w:r w:rsidRPr="00760590">
        <w:rPr>
          <w:rFonts w:cs="Arial"/>
        </w:rPr>
        <w:t>L</w:t>
      </w:r>
      <w:r w:rsidR="00222B92">
        <w:rPr>
          <w:rFonts w:cs="Arial"/>
        </w:rPr>
        <w:t xml:space="preserve">abor </w:t>
      </w:r>
      <w:r w:rsidRPr="00760590">
        <w:rPr>
          <w:rFonts w:cs="Arial"/>
        </w:rPr>
        <w:t>S</w:t>
      </w:r>
      <w:r w:rsidR="00222B92">
        <w:rPr>
          <w:rFonts w:cs="Arial"/>
        </w:rPr>
        <w:t>tatistic</w:t>
      </w:r>
      <w:r w:rsidR="00636CC4">
        <w:rPr>
          <w:rFonts w:cs="Arial"/>
        </w:rPr>
        <w:t>s</w:t>
      </w:r>
      <w:r w:rsidRPr="00760590">
        <w:rPr>
          <w:rFonts w:cs="Arial"/>
        </w:rPr>
        <w:t xml:space="preserve">, 2016). </w:t>
      </w:r>
    </w:p>
    <w:p w14:paraId="6A4E0A4F" w14:textId="77777777" w:rsidR="003857C7" w:rsidRPr="00760590" w:rsidRDefault="003857C7" w:rsidP="003857C7">
      <w:pPr>
        <w:autoSpaceDE w:val="0"/>
        <w:autoSpaceDN w:val="0"/>
        <w:adjustRightInd w:val="0"/>
        <w:spacing w:after="0" w:line="240" w:lineRule="auto"/>
        <w:jc w:val="both"/>
        <w:rPr>
          <w:rFonts w:cs="Arial"/>
        </w:rPr>
      </w:pPr>
    </w:p>
    <w:p w14:paraId="7FBA8228" w14:textId="1A97F822" w:rsidR="00C12C8F" w:rsidRPr="00760590" w:rsidRDefault="003857C7" w:rsidP="00C12C8F">
      <w:pPr>
        <w:autoSpaceDE w:val="0"/>
        <w:autoSpaceDN w:val="0"/>
        <w:adjustRightInd w:val="0"/>
        <w:spacing w:after="0" w:line="240" w:lineRule="auto"/>
        <w:jc w:val="both"/>
        <w:rPr>
          <w:rFonts w:cs="Arial"/>
        </w:rPr>
      </w:pPr>
      <w:r w:rsidRPr="00760590">
        <w:rPr>
          <w:rFonts w:cs="Arial"/>
        </w:rPr>
        <w:t>However, in recent years, paid family and medical leave programs have received considerable support from both sides of the political aisle. Some states and municipalities have moved forward on paid family leave. California enacted paid family leave legislation in 2002, New Jersey in 2008, Rhode Island in 2013, New York in 2016 (effective January 2018), District of Columbia in 2017 (effective July 2020), and Washington in 2017 (effective January 2020). Several states and municipalities using government funds have examined the feasibility of instituting paid leave polices in their constituency. However</w:t>
      </w:r>
      <w:r w:rsidR="00C12C8F" w:rsidRPr="00760590">
        <w:rPr>
          <w:rFonts w:cs="Arial"/>
        </w:rPr>
        <w:t>,</w:t>
      </w:r>
      <w:r w:rsidRPr="00760590">
        <w:rPr>
          <w:rFonts w:cs="Arial"/>
        </w:rPr>
        <w:t xml:space="preserve"> the sophistication and reliability of these methods are inconsistent. In order to support different state’s quantitative evaluation of proposed paid leave policy,</w:t>
      </w:r>
      <w:r w:rsidR="00E85ED7" w:rsidRPr="00760590">
        <w:rPr>
          <w:rFonts w:cs="Arial"/>
        </w:rPr>
        <w:t xml:space="preserve"> </w:t>
      </w:r>
      <w:r w:rsidR="00673154" w:rsidRPr="00760590">
        <w:rPr>
          <w:rFonts w:cs="Arial"/>
        </w:rPr>
        <w:t>DOL</w:t>
      </w:r>
      <w:r w:rsidR="00C12C8F" w:rsidRPr="00760590">
        <w:rPr>
          <w:rFonts w:cs="Arial"/>
        </w:rPr>
        <w:t xml:space="preserve"> funded the </w:t>
      </w:r>
      <w:r w:rsidR="00CE5316">
        <w:rPr>
          <w:rFonts w:cs="Arial"/>
        </w:rPr>
        <w:t xml:space="preserve">development </w:t>
      </w:r>
      <w:bookmarkStart w:id="0" w:name="_GoBack"/>
      <w:bookmarkEnd w:id="0"/>
      <w:r w:rsidR="00C12C8F" w:rsidRPr="00760590">
        <w:rPr>
          <w:rFonts w:cs="Arial"/>
        </w:rPr>
        <w:t xml:space="preserve">of a microsimulation model built by </w:t>
      </w:r>
      <w:r w:rsidR="000B1F5A">
        <w:rPr>
          <w:rFonts w:cs="Arial"/>
        </w:rPr>
        <w:t>Randy Albelda</w:t>
      </w:r>
      <w:r w:rsidR="00C12C8F" w:rsidRPr="00760590">
        <w:rPr>
          <w:rFonts w:cs="Arial"/>
        </w:rPr>
        <w:t xml:space="preserve"> and Alan Clayton-Matthews (the ACM model)</w:t>
      </w:r>
      <w:r w:rsidR="000B1F5A">
        <w:rPr>
          <w:rFonts w:cs="Arial"/>
        </w:rPr>
        <w:t xml:space="preserve"> in partnership with </w:t>
      </w:r>
      <w:r w:rsidR="000B1F5A" w:rsidRPr="00760590">
        <w:rPr>
          <w:rFonts w:cs="Arial"/>
        </w:rPr>
        <w:t>the Institute for Women’s Policy Research (IWPR)</w:t>
      </w:r>
      <w:r w:rsidR="00C12C8F" w:rsidRPr="00760590">
        <w:rPr>
          <w:rFonts w:cs="Arial"/>
        </w:rPr>
        <w:t xml:space="preserve">. This model offered a rigorous way for any state or municipality to test different scenarios of paid-leave programs and to estimate the implications on costs in benefits paid out. </w:t>
      </w:r>
    </w:p>
    <w:p w14:paraId="3A55EB41" w14:textId="74A26ED7" w:rsidR="00C12C8F" w:rsidRPr="00760590" w:rsidRDefault="00C12C8F" w:rsidP="00C12C8F">
      <w:pPr>
        <w:autoSpaceDE w:val="0"/>
        <w:autoSpaceDN w:val="0"/>
        <w:adjustRightInd w:val="0"/>
        <w:spacing w:after="0" w:line="240" w:lineRule="auto"/>
        <w:jc w:val="both"/>
        <w:rPr>
          <w:rFonts w:cs="Arial"/>
        </w:rPr>
      </w:pPr>
    </w:p>
    <w:p w14:paraId="68FFB7F3" w14:textId="288C6EF7" w:rsidR="00D94C3F" w:rsidRPr="00760590" w:rsidRDefault="00A0764C" w:rsidP="00D94C3F">
      <w:pPr>
        <w:autoSpaceDE w:val="0"/>
        <w:autoSpaceDN w:val="0"/>
        <w:adjustRightInd w:val="0"/>
        <w:spacing w:after="0" w:line="240" w:lineRule="auto"/>
        <w:jc w:val="both"/>
        <w:rPr>
          <w:rFonts w:cs="Arial"/>
        </w:rPr>
      </w:pPr>
      <w:r>
        <w:rPr>
          <w:rFonts w:cs="Arial"/>
        </w:rPr>
        <w:t>T</w:t>
      </w:r>
      <w:r w:rsidR="00C12C8F" w:rsidRPr="00760590">
        <w:rPr>
          <w:rFonts w:cs="Arial"/>
        </w:rPr>
        <w:t>he ACM model was built in proprietary programming languages and requires advanced programming</w:t>
      </w:r>
      <w:r w:rsidR="003F079D">
        <w:rPr>
          <w:rFonts w:cs="Arial"/>
        </w:rPr>
        <w:t xml:space="preserve"> skills</w:t>
      </w:r>
      <w:r w:rsidR="00C12C8F" w:rsidRPr="00760590">
        <w:rPr>
          <w:rFonts w:cs="Arial"/>
        </w:rPr>
        <w:t xml:space="preserve"> to </w:t>
      </w:r>
      <w:r w:rsidR="003F079D">
        <w:rPr>
          <w:rFonts w:cs="Arial"/>
        </w:rPr>
        <w:t xml:space="preserve">understand and </w:t>
      </w:r>
      <w:r w:rsidR="00C12C8F" w:rsidRPr="00760590">
        <w:rPr>
          <w:rFonts w:cs="Arial"/>
        </w:rPr>
        <w:t>use. To make the model more accessible to a wider audience, DOL contracted with IMPAQ International and IWPR to create a new version of the model</w:t>
      </w:r>
      <w:r w:rsidR="00BF3788" w:rsidRPr="00760590">
        <w:rPr>
          <w:rFonts w:cs="Arial"/>
        </w:rPr>
        <w:t xml:space="preserve"> (</w:t>
      </w:r>
      <w:r w:rsidR="005133AF">
        <w:rPr>
          <w:rFonts w:cs="Arial"/>
        </w:rPr>
        <w:t>for referential convenience, we will use the term “</w:t>
      </w:r>
      <w:r w:rsidR="00BF3788" w:rsidRPr="00760590">
        <w:rPr>
          <w:rFonts w:cs="Arial"/>
        </w:rPr>
        <w:t>the IMPAQ model</w:t>
      </w:r>
      <w:r w:rsidR="005133AF">
        <w:rPr>
          <w:rFonts w:cs="Arial"/>
        </w:rPr>
        <w:t>” in the remainder of the brief</w:t>
      </w:r>
      <w:r w:rsidR="00C6650B" w:rsidRPr="00760590">
        <w:rPr>
          <w:rFonts w:cs="Arial"/>
        </w:rPr>
        <w:t>)</w:t>
      </w:r>
      <w:r w:rsidR="00C12C8F" w:rsidRPr="00760590">
        <w:rPr>
          <w:rFonts w:cs="Arial"/>
        </w:rPr>
        <w:t>. The</w:t>
      </w:r>
      <w:r w:rsidR="00BF3788" w:rsidRPr="00760590">
        <w:rPr>
          <w:rFonts w:cs="Arial"/>
        </w:rPr>
        <w:t xml:space="preserve"> underlying</w:t>
      </w:r>
      <w:r w:rsidR="00C12C8F" w:rsidRPr="00760590">
        <w:rPr>
          <w:rFonts w:cs="Arial"/>
        </w:rPr>
        <w:t xml:space="preserve"> purpose of this model was similar</w:t>
      </w:r>
      <w:r w:rsidR="00BF3788" w:rsidRPr="00760590">
        <w:rPr>
          <w:rFonts w:cs="Arial"/>
        </w:rPr>
        <w:t>; to still be a rigorous model of leave taking behavior that policymakers could use to quantitatively evaluate proposed leave policy. However, th</w:t>
      </w:r>
      <w:r w:rsidR="00C6650B" w:rsidRPr="00760590">
        <w:rPr>
          <w:rFonts w:cs="Arial"/>
        </w:rPr>
        <w:t xml:space="preserve">e IMPAQ model </w:t>
      </w:r>
      <w:r w:rsidR="00D94C3F" w:rsidRPr="00760590">
        <w:rPr>
          <w:rFonts w:cs="Arial"/>
        </w:rPr>
        <w:t>is built in open-source programming languages</w:t>
      </w:r>
      <w:r w:rsidR="00070B3F" w:rsidRPr="00760590">
        <w:rPr>
          <w:rFonts w:cs="Arial"/>
        </w:rPr>
        <w:t>,</w:t>
      </w:r>
      <w:r w:rsidR="00A40C43" w:rsidRPr="00760590">
        <w:rPr>
          <w:rFonts w:cs="Arial"/>
        </w:rPr>
        <w:t xml:space="preserve"> makes several changes to the model output structure, and has </w:t>
      </w:r>
      <w:r w:rsidR="00070B3F" w:rsidRPr="00760590">
        <w:rPr>
          <w:rFonts w:cs="Arial"/>
        </w:rPr>
        <w:lastRenderedPageBreak/>
        <w:t>an accessible graphic user interface</w:t>
      </w:r>
      <w:r w:rsidR="00A40C43" w:rsidRPr="00760590">
        <w:rPr>
          <w:rFonts w:cs="Arial"/>
        </w:rPr>
        <w:t xml:space="preserve">. These changes make the IMPAQ model </w:t>
      </w:r>
      <w:r w:rsidR="00D94C3F" w:rsidRPr="00760590">
        <w:rPr>
          <w:rFonts w:cs="Arial"/>
        </w:rPr>
        <w:t>more accessible</w:t>
      </w:r>
      <w:r w:rsidR="001B15C0" w:rsidRPr="00760590">
        <w:rPr>
          <w:rFonts w:cs="Arial"/>
        </w:rPr>
        <w:t xml:space="preserve">, customizable, </w:t>
      </w:r>
      <w:r w:rsidR="00D94C3F" w:rsidRPr="00760590">
        <w:rPr>
          <w:rFonts w:cs="Arial"/>
        </w:rPr>
        <w:t xml:space="preserve">and usable to a broader audience. </w:t>
      </w:r>
    </w:p>
    <w:p w14:paraId="6BB94BF4" w14:textId="77777777" w:rsidR="00A804BD" w:rsidRPr="00760590" w:rsidRDefault="00A804BD" w:rsidP="00D94C3F">
      <w:pPr>
        <w:autoSpaceDE w:val="0"/>
        <w:autoSpaceDN w:val="0"/>
        <w:adjustRightInd w:val="0"/>
        <w:spacing w:after="0" w:line="240" w:lineRule="auto"/>
        <w:jc w:val="both"/>
        <w:rPr>
          <w:rFonts w:cs="Arial"/>
        </w:rPr>
      </w:pPr>
    </w:p>
    <w:p w14:paraId="3E244BE5" w14:textId="01228245" w:rsidR="00E76066" w:rsidRPr="00760590" w:rsidRDefault="00A804BD" w:rsidP="00E76066">
      <w:pPr>
        <w:autoSpaceDE w:val="0"/>
        <w:autoSpaceDN w:val="0"/>
        <w:adjustRightInd w:val="0"/>
        <w:spacing w:after="0" w:line="240" w:lineRule="auto"/>
        <w:jc w:val="both"/>
        <w:rPr>
          <w:rFonts w:cs="Arial"/>
        </w:rPr>
      </w:pPr>
      <w:r w:rsidRPr="00760590">
        <w:rPr>
          <w:rFonts w:cs="Arial"/>
        </w:rPr>
        <w:t>This brief</w:t>
      </w:r>
      <w:r w:rsidR="00D94C3F" w:rsidRPr="00760590">
        <w:rPr>
          <w:rFonts w:cs="Arial"/>
        </w:rPr>
        <w:t xml:space="preserve"> provide</w:t>
      </w:r>
      <w:r w:rsidRPr="00760590">
        <w:rPr>
          <w:rFonts w:cs="Arial"/>
        </w:rPr>
        <w:t>s</w:t>
      </w:r>
      <w:r w:rsidR="00D94C3F" w:rsidRPr="00760590">
        <w:rPr>
          <w:rFonts w:cs="Arial"/>
        </w:rPr>
        <w:t xml:space="preserve"> a benchmark comparison between the two models against real-world leave program statistics to demonstrate the reliability of both the original and new versions at modeling real-world leave taking.</w:t>
      </w:r>
      <w:r w:rsidRPr="00760590">
        <w:rPr>
          <w:rFonts w:cs="Arial"/>
        </w:rPr>
        <w:t xml:space="preserve"> </w:t>
      </w:r>
      <w:r w:rsidR="00B70368" w:rsidRPr="00760590">
        <w:rPr>
          <w:rFonts w:cs="Arial"/>
        </w:rPr>
        <w:t xml:space="preserve">The IMPAQ model is not a pure replication of the ACM model. While similar in </w:t>
      </w:r>
      <w:r w:rsidRPr="00760590">
        <w:rPr>
          <w:rFonts w:cs="Arial"/>
        </w:rPr>
        <w:t>many ways</w:t>
      </w:r>
      <w:r w:rsidR="00B70368" w:rsidRPr="00760590">
        <w:rPr>
          <w:rFonts w:cs="Arial"/>
        </w:rPr>
        <w:t xml:space="preserve">, the IMPAQ development team has made several changes for ease of use and generalizability of the model. While the intent is to keep </w:t>
      </w:r>
      <w:r w:rsidRPr="00760590">
        <w:rPr>
          <w:rFonts w:cs="Arial"/>
        </w:rPr>
        <w:t>model output</w:t>
      </w:r>
      <w:r w:rsidR="00B70368" w:rsidRPr="00760590">
        <w:rPr>
          <w:rFonts w:cs="Arial"/>
        </w:rPr>
        <w:t xml:space="preserve"> estimates close to </w:t>
      </w:r>
      <w:r w:rsidRPr="00760590">
        <w:rPr>
          <w:rFonts w:cs="Arial"/>
        </w:rPr>
        <w:t xml:space="preserve">both </w:t>
      </w:r>
      <w:r w:rsidR="00B70368" w:rsidRPr="00760590">
        <w:rPr>
          <w:rFonts w:cs="Arial"/>
        </w:rPr>
        <w:t xml:space="preserve">ACM </w:t>
      </w:r>
      <w:r w:rsidRPr="00760590">
        <w:rPr>
          <w:rFonts w:cs="Arial"/>
        </w:rPr>
        <w:t xml:space="preserve">model </w:t>
      </w:r>
      <w:r w:rsidR="00B70368" w:rsidRPr="00760590">
        <w:rPr>
          <w:rFonts w:cs="Arial"/>
        </w:rPr>
        <w:t xml:space="preserve">estimates and empirically observed leave taking data, these adjustments have slight impacts on program estimates.  </w:t>
      </w:r>
      <w:r w:rsidRPr="00760590">
        <w:rPr>
          <w:rFonts w:cs="Arial"/>
        </w:rPr>
        <w:t xml:space="preserve">By conducting these comparisons, we </w:t>
      </w:r>
      <w:r w:rsidR="00B70368" w:rsidRPr="00760590">
        <w:rPr>
          <w:rFonts w:cs="Arial"/>
        </w:rPr>
        <w:t xml:space="preserve">show the </w:t>
      </w:r>
      <w:r w:rsidRPr="00760590">
        <w:rPr>
          <w:rFonts w:cs="Arial"/>
        </w:rPr>
        <w:t xml:space="preserve">extent to which the </w:t>
      </w:r>
      <w:r w:rsidR="00B70368" w:rsidRPr="00760590">
        <w:rPr>
          <w:rFonts w:cs="Arial"/>
        </w:rPr>
        <w:t>ACM and IMPAQ model estimates differ</w:t>
      </w:r>
      <w:r w:rsidRPr="00760590">
        <w:rPr>
          <w:rFonts w:cs="Arial"/>
        </w:rPr>
        <w:t xml:space="preserve">. We also compare </w:t>
      </w:r>
      <w:r w:rsidR="00B70368" w:rsidRPr="00760590">
        <w:rPr>
          <w:rFonts w:cs="Arial"/>
        </w:rPr>
        <w:t xml:space="preserve">how both models compare to real-world program statistics. We then discuss the differences in results and how differences in the model structure could explain them. </w:t>
      </w:r>
      <w:r w:rsidR="00B70368" w:rsidRPr="00760590">
        <w:rPr>
          <w:rFonts w:cs="Arial"/>
        </w:rPr>
        <w:tab/>
        <w:t xml:space="preserve"> </w:t>
      </w:r>
    </w:p>
    <w:p w14:paraId="23EC4EE2" w14:textId="77777777" w:rsidR="00293164" w:rsidRPr="00760590" w:rsidRDefault="00293164" w:rsidP="00E76066">
      <w:pPr>
        <w:autoSpaceDE w:val="0"/>
        <w:autoSpaceDN w:val="0"/>
        <w:adjustRightInd w:val="0"/>
        <w:spacing w:after="0" w:line="240" w:lineRule="auto"/>
        <w:jc w:val="both"/>
        <w:rPr>
          <w:rFonts w:cs="Arial"/>
        </w:rPr>
      </w:pPr>
    </w:p>
    <w:p w14:paraId="6BE1E02A" w14:textId="4CD1BFB1" w:rsidR="00E710C2" w:rsidRPr="00760590" w:rsidRDefault="00B70368" w:rsidP="00E76066">
      <w:pPr>
        <w:jc w:val="both"/>
        <w:rPr>
          <w:rFonts w:cs="Arial"/>
        </w:rPr>
      </w:pPr>
      <w:r w:rsidRPr="00760590">
        <w:rPr>
          <w:rFonts w:cs="Arial"/>
        </w:rPr>
        <w:t xml:space="preserve">We </w:t>
      </w:r>
      <w:r w:rsidR="00A804BD" w:rsidRPr="00760590">
        <w:rPr>
          <w:rFonts w:cs="Arial"/>
        </w:rPr>
        <w:t xml:space="preserve">benchmark both models against </w:t>
      </w:r>
      <w:r w:rsidRPr="00760590">
        <w:rPr>
          <w:rFonts w:cs="Arial"/>
        </w:rPr>
        <w:t>actual statistics reported by three states with leave programs with appreciable historical data to observe: California, New Jersey, and Rhode Island. Corresponding with the timeframe of the 2012-2016 ACS 5-year survey data set use</w:t>
      </w:r>
      <w:r w:rsidR="00A804BD" w:rsidRPr="00760590">
        <w:rPr>
          <w:rFonts w:cs="Arial"/>
        </w:rPr>
        <w:t>d</w:t>
      </w:r>
      <w:r w:rsidRPr="00760590">
        <w:rPr>
          <w:rFonts w:cs="Arial"/>
        </w:rPr>
        <w:t xml:space="preserve"> in the simulation model</w:t>
      </w:r>
      <w:r w:rsidR="00A804BD" w:rsidRPr="00760590">
        <w:rPr>
          <w:rFonts w:cs="Arial"/>
        </w:rPr>
        <w:t>s</w:t>
      </w:r>
      <w:r w:rsidRPr="00760590">
        <w:rPr>
          <w:rFonts w:cs="Arial"/>
        </w:rPr>
        <w:t xml:space="preserve">, we generally compare the </w:t>
      </w:r>
      <w:r w:rsidR="00E76066" w:rsidRPr="00760590">
        <w:rPr>
          <w:rFonts w:cs="Arial"/>
        </w:rPr>
        <w:t>5-</w:t>
      </w:r>
      <w:r w:rsidRPr="00760590">
        <w:rPr>
          <w:rFonts w:cs="Arial"/>
        </w:rPr>
        <w:t>year averages of these states from 2012-2016. Rhode Island has only been active from 2014-2016, and so averages from only those years are used for Rhode Island.</w:t>
      </w:r>
    </w:p>
    <w:p w14:paraId="5379EB98" w14:textId="596BB0C7" w:rsidR="00BC42F8" w:rsidRPr="00760590" w:rsidRDefault="005501F3" w:rsidP="00E76066">
      <w:pPr>
        <w:pStyle w:val="Heading1"/>
        <w:rPr>
          <w:rFonts w:cs="Arial"/>
        </w:rPr>
      </w:pPr>
      <w:r>
        <w:rPr>
          <w:rFonts w:cs="Arial"/>
        </w:rPr>
        <w:t>2.</w:t>
      </w:r>
      <w:r>
        <w:rPr>
          <w:rFonts w:cs="Arial"/>
        </w:rPr>
        <w:tab/>
      </w:r>
      <w:r w:rsidR="00BC42F8" w:rsidRPr="00760590">
        <w:rPr>
          <w:rFonts w:cs="Arial"/>
        </w:rPr>
        <w:t>Methodology</w:t>
      </w:r>
    </w:p>
    <w:p w14:paraId="015D1ECE" w14:textId="4B3F6035" w:rsidR="003857C7" w:rsidRPr="00760590" w:rsidRDefault="00293164" w:rsidP="003857C7">
      <w:pPr>
        <w:jc w:val="both"/>
        <w:rPr>
          <w:rFonts w:cs="Arial"/>
        </w:rPr>
      </w:pPr>
      <w:r w:rsidRPr="00760590">
        <w:rPr>
          <w:rFonts w:cs="Arial"/>
        </w:rPr>
        <w:t>To compare the two models and actual statistics, w</w:t>
      </w:r>
      <w:r w:rsidR="003857C7" w:rsidRPr="00760590">
        <w:rPr>
          <w:rFonts w:cs="Arial"/>
        </w:rPr>
        <w:t xml:space="preserve">e perform </w:t>
      </w:r>
      <w:r w:rsidR="007C33A8" w:rsidRPr="00760590">
        <w:rPr>
          <w:rFonts w:cs="Arial"/>
        </w:rPr>
        <w:t xml:space="preserve">two </w:t>
      </w:r>
      <w:r w:rsidR="003857C7" w:rsidRPr="00760590">
        <w:rPr>
          <w:rFonts w:cs="Arial"/>
        </w:rPr>
        <w:t xml:space="preserve">different types of </w:t>
      </w:r>
      <w:r w:rsidRPr="00760590">
        <w:rPr>
          <w:rFonts w:cs="Arial"/>
        </w:rPr>
        <w:t>comparisons:</w:t>
      </w:r>
    </w:p>
    <w:p w14:paraId="6C736E45" w14:textId="6242984C" w:rsidR="003857C7" w:rsidRPr="00760590" w:rsidRDefault="003857C7" w:rsidP="003857C7">
      <w:pPr>
        <w:jc w:val="both"/>
        <w:rPr>
          <w:rFonts w:cs="Arial"/>
        </w:rPr>
      </w:pPr>
      <w:r w:rsidRPr="00760590">
        <w:rPr>
          <w:rFonts w:cs="Arial"/>
          <w:b/>
          <w:i/>
        </w:rPr>
        <w:t>Comparing simulated and published program costs.</w:t>
      </w:r>
      <w:r w:rsidRPr="00760590">
        <w:rPr>
          <w:rFonts w:cs="Arial"/>
        </w:rPr>
        <w:t xml:space="preserve"> The ability to closely predict total program cost</w:t>
      </w:r>
      <w:r w:rsidR="0086636B" w:rsidRPr="00760590">
        <w:rPr>
          <w:rFonts w:cs="Arial"/>
        </w:rPr>
        <w:t xml:space="preserve"> in benefit outlays</w:t>
      </w:r>
      <w:r w:rsidRPr="00760590">
        <w:rPr>
          <w:rFonts w:cs="Arial"/>
        </w:rPr>
        <w:t xml:space="preserve"> </w:t>
      </w:r>
      <w:r w:rsidR="00EC287C" w:rsidRPr="00760590">
        <w:rPr>
          <w:rFonts w:cs="Arial"/>
        </w:rPr>
        <w:t>has been one of the primary uses of the original ACM model; it is natural that we test the IMPAQ model’s ability to replicate these results</w:t>
      </w:r>
      <w:r w:rsidRPr="00760590">
        <w:rPr>
          <w:rFonts w:cs="Arial"/>
        </w:rPr>
        <w:t>. There are three states with sufficient historical data on benefit outlays to perform this test on: California, New Jersey, and Rhode Island. For each state, we specified the model parameters so that they can approximate the eligibility rules and benefit payout schedules as closely as possible</w:t>
      </w:r>
      <w:r w:rsidR="007C33A8" w:rsidRPr="00760590">
        <w:rPr>
          <w:rFonts w:cs="Arial"/>
        </w:rPr>
        <w:t xml:space="preserve"> to the actual rules of the programs</w:t>
      </w:r>
      <w:r w:rsidRPr="00760590">
        <w:rPr>
          <w:rFonts w:cs="Arial"/>
        </w:rPr>
        <w:t>. Upon completion of simulation under a given simulation method for a given state, we compute the weighted sum of benefits received by each ACS worker in that state, with weight being the popul</w:t>
      </w:r>
      <w:r w:rsidR="00A0764C">
        <w:rPr>
          <w:rFonts w:cs="Arial"/>
        </w:rPr>
        <w:t xml:space="preserve">ation represented by the worker. </w:t>
      </w:r>
      <w:r w:rsidRPr="00760590">
        <w:rPr>
          <w:rFonts w:cs="Arial"/>
        </w:rPr>
        <w:t>This weighted sum is our simulated total program cost and is then compared against the published program outlays of the same state.</w:t>
      </w:r>
    </w:p>
    <w:p w14:paraId="235A3811" w14:textId="459B1D6C" w:rsidR="003857C7" w:rsidRPr="00760590" w:rsidRDefault="003857C7" w:rsidP="003857C7">
      <w:pPr>
        <w:jc w:val="both"/>
        <w:rPr>
          <w:rFonts w:cs="Arial"/>
        </w:rPr>
      </w:pPr>
      <w:r w:rsidRPr="00760590">
        <w:rPr>
          <w:rFonts w:cs="Arial"/>
          <w:b/>
          <w:i/>
        </w:rPr>
        <w:t>Comparing simulated and observed population</w:t>
      </w:r>
      <w:r w:rsidR="00293164" w:rsidRPr="00760590">
        <w:rPr>
          <w:rFonts w:cs="Arial"/>
          <w:b/>
          <w:i/>
        </w:rPr>
        <w:t>-</w:t>
      </w:r>
      <w:r w:rsidRPr="00760590">
        <w:rPr>
          <w:rFonts w:cs="Arial"/>
          <w:b/>
          <w:i/>
        </w:rPr>
        <w:t>level statistics.</w:t>
      </w:r>
      <w:r w:rsidRPr="00760590">
        <w:rPr>
          <w:rFonts w:cs="Arial"/>
        </w:rPr>
        <w:t xml:space="preserve"> We recognize that the robustness of a microsimulation model cannot be fully verified if we can only confirm that the model can produce good estimates for the final program cost. In addition, we need to validate the model’s capability to approximate the real-world mechanisms by examining a series of key intermediate outputs. In our case, we consider the following intermediate outputs at the population level:</w:t>
      </w:r>
    </w:p>
    <w:p w14:paraId="2E25D459" w14:textId="46CC98A0" w:rsidR="00B1730C" w:rsidRPr="00760590" w:rsidRDefault="00B1730C" w:rsidP="00B1730C">
      <w:pPr>
        <w:pStyle w:val="ListParagraph"/>
        <w:numPr>
          <w:ilvl w:val="0"/>
          <w:numId w:val="2"/>
        </w:numPr>
        <w:spacing w:after="0" w:line="240" w:lineRule="auto"/>
        <w:jc w:val="both"/>
        <w:rPr>
          <w:rFonts w:cs="Arial"/>
        </w:rPr>
      </w:pPr>
      <w:r w:rsidRPr="00760590">
        <w:rPr>
          <w:rFonts w:cs="Arial"/>
        </w:rPr>
        <w:lastRenderedPageBreak/>
        <w:t>Total number of workers eligible for the program</w:t>
      </w:r>
    </w:p>
    <w:p w14:paraId="5725B1E0" w14:textId="47325B63" w:rsidR="003857C7" w:rsidRPr="00760590" w:rsidRDefault="003857C7" w:rsidP="003857C7">
      <w:pPr>
        <w:pStyle w:val="ListParagraph"/>
        <w:numPr>
          <w:ilvl w:val="0"/>
          <w:numId w:val="2"/>
        </w:numPr>
        <w:spacing w:after="0" w:line="240" w:lineRule="auto"/>
        <w:jc w:val="both"/>
        <w:rPr>
          <w:rFonts w:cs="Arial"/>
        </w:rPr>
      </w:pPr>
      <w:r w:rsidRPr="00760590">
        <w:rPr>
          <w:rFonts w:cs="Arial"/>
        </w:rPr>
        <w:t>Total number of leave takers</w:t>
      </w:r>
      <w:r w:rsidR="00B1730C" w:rsidRPr="00760590">
        <w:rPr>
          <w:rFonts w:cs="Arial"/>
        </w:rPr>
        <w:t xml:space="preserve"> receiving benefits</w:t>
      </w:r>
    </w:p>
    <w:p w14:paraId="71E8B9A2" w14:textId="20045ACD" w:rsidR="000F53EA" w:rsidRPr="00760590" w:rsidRDefault="000F53EA" w:rsidP="003857C7">
      <w:pPr>
        <w:pStyle w:val="ListParagraph"/>
        <w:numPr>
          <w:ilvl w:val="0"/>
          <w:numId w:val="2"/>
        </w:numPr>
        <w:spacing w:after="0" w:line="240" w:lineRule="auto"/>
        <w:jc w:val="both"/>
        <w:rPr>
          <w:rFonts w:cs="Arial"/>
        </w:rPr>
      </w:pPr>
      <w:r w:rsidRPr="00760590">
        <w:rPr>
          <w:rFonts w:cs="Arial"/>
        </w:rPr>
        <w:t>Average lengths of leaves where takers receive benefits</w:t>
      </w:r>
    </w:p>
    <w:p w14:paraId="664FC22F" w14:textId="77777777" w:rsidR="003857C7" w:rsidRPr="00760590" w:rsidRDefault="003857C7" w:rsidP="003857C7">
      <w:pPr>
        <w:pStyle w:val="ListParagraph"/>
        <w:spacing w:after="0" w:line="240" w:lineRule="auto"/>
        <w:jc w:val="both"/>
        <w:rPr>
          <w:rFonts w:cs="Arial"/>
        </w:rPr>
      </w:pPr>
    </w:p>
    <w:p w14:paraId="0637E9BC" w14:textId="77777777" w:rsidR="004A5DB4" w:rsidRDefault="003857C7" w:rsidP="00006DC3">
      <w:pPr>
        <w:jc w:val="both"/>
        <w:rPr>
          <w:rFonts w:cs="Arial"/>
        </w:rPr>
      </w:pPr>
      <w:r w:rsidRPr="00760590">
        <w:rPr>
          <w:rFonts w:cs="Arial"/>
        </w:rPr>
        <w:t xml:space="preserve">All of these population level statistics can be computed directly based on the respective variables observed for each worker in the FMLA data, allowing the comparison with the simulated counterparts for model testing purpose. </w:t>
      </w:r>
    </w:p>
    <w:p w14:paraId="79B80B78" w14:textId="51B5C3BB" w:rsidR="00431FEF" w:rsidRDefault="004A5DB4" w:rsidP="00006DC3">
      <w:pPr>
        <w:jc w:val="both"/>
        <w:rPr>
          <w:rFonts w:cs="Arial"/>
        </w:rPr>
      </w:pPr>
      <w:r>
        <w:rPr>
          <w:rFonts w:cs="Arial"/>
        </w:rPr>
        <w:t xml:space="preserve">Both models were run with parameters selected to mirror each state’s program rules. </w:t>
      </w:r>
      <w:r w:rsidR="008840D0">
        <w:rPr>
          <w:rFonts w:cs="Arial"/>
        </w:rPr>
        <w:t xml:space="preserve">State program benefit and eligibility rules are drawn from a 2016 DC paid leave economic impact report </w:t>
      </w:r>
      <w:r w:rsidR="008840D0" w:rsidRPr="008840D0">
        <w:rPr>
          <w:rFonts w:cs="Arial"/>
        </w:rPr>
        <w:t xml:space="preserve">(DC Council, 2016). </w:t>
      </w:r>
      <w:r>
        <w:t>Other than state-specific rules adjustment, default parameters were used.</w:t>
      </w:r>
      <w:r>
        <w:rPr>
          <w:rFonts w:cs="Arial"/>
        </w:rPr>
        <w:t xml:space="preserve"> The selected parameters for each state are included in an appendix. Full documentation of the model and its parameters are available on request. For testing purposes, numbers generated in this memo are from the R version of the IMPAQ model.</w:t>
      </w:r>
    </w:p>
    <w:p w14:paraId="5B8B1A21" w14:textId="0EC3D321" w:rsidR="004C5318" w:rsidRPr="00760590" w:rsidRDefault="004C5318" w:rsidP="00126CE8">
      <w:pPr>
        <w:jc w:val="both"/>
        <w:rPr>
          <w:rFonts w:cs="Arial"/>
        </w:rPr>
      </w:pPr>
      <w:r>
        <w:rPr>
          <w:rFonts w:cs="Arial"/>
        </w:rPr>
        <w:t>Some of these analyses are broken out by specific leave type. Based on examination of state claims data, t</w:t>
      </w:r>
      <w:r w:rsidR="0000110C">
        <w:rPr>
          <w:rFonts w:cs="Arial"/>
        </w:rPr>
        <w:t>here are six</w:t>
      </w:r>
      <w:r>
        <w:rPr>
          <w:rFonts w:cs="Arial"/>
        </w:rPr>
        <w:t xml:space="preserve"> major leave types that make up the vast majority of all states’</w:t>
      </w:r>
      <w:r w:rsidR="0000110C">
        <w:rPr>
          <w:rFonts w:cs="Arial"/>
        </w:rPr>
        <w:t xml:space="preserve"> participants: (1) o</w:t>
      </w:r>
      <w:r>
        <w:rPr>
          <w:rFonts w:cs="Arial"/>
        </w:rPr>
        <w:t xml:space="preserve">wn sickness leave, (2) maternal disability, (3) new child bonding, (4) care for an ill </w:t>
      </w:r>
      <w:r w:rsidR="00980BA7">
        <w:rPr>
          <w:rFonts w:cs="Arial"/>
        </w:rPr>
        <w:t>spouse</w:t>
      </w:r>
      <w:r>
        <w:rPr>
          <w:rFonts w:cs="Arial"/>
        </w:rPr>
        <w:t xml:space="preserve">, (4) care for an ill parent, and (6) care for an ill child. </w:t>
      </w:r>
      <w:r w:rsidR="000C54B2">
        <w:rPr>
          <w:rFonts w:cs="Arial"/>
        </w:rPr>
        <w:t>In all three states, the first two leave types are paid out by the state temporary disability insurance program. The latter four types are paid out by the state paid family leave program.</w:t>
      </w:r>
    </w:p>
    <w:p w14:paraId="4EED10C8" w14:textId="56791277" w:rsidR="00B9036F" w:rsidRDefault="005501F3" w:rsidP="00126CE8">
      <w:pPr>
        <w:pStyle w:val="Heading1"/>
        <w:jc w:val="both"/>
        <w:rPr>
          <w:rFonts w:cs="Arial"/>
        </w:rPr>
      </w:pPr>
      <w:r>
        <w:rPr>
          <w:rFonts w:cs="Arial"/>
        </w:rPr>
        <w:t>3.</w:t>
      </w:r>
      <w:r>
        <w:rPr>
          <w:rFonts w:cs="Arial"/>
        </w:rPr>
        <w:tab/>
      </w:r>
      <w:r w:rsidR="00B9036F">
        <w:rPr>
          <w:rFonts w:cs="Arial"/>
        </w:rPr>
        <w:t xml:space="preserve">IMPAQ Model versus ACM Model </w:t>
      </w:r>
      <w:r w:rsidR="00B9036F" w:rsidRPr="00760590">
        <w:rPr>
          <w:rFonts w:cs="Arial"/>
        </w:rPr>
        <w:t>Results</w:t>
      </w:r>
    </w:p>
    <w:p w14:paraId="48C04CA1" w14:textId="4E77C97E" w:rsidR="00B9036F" w:rsidRPr="005501F3" w:rsidRDefault="00B9036F" w:rsidP="00126CE8">
      <w:pPr>
        <w:jc w:val="both"/>
        <w:rPr>
          <w:rFonts w:cs="Arial"/>
        </w:rPr>
      </w:pPr>
      <w:r w:rsidRPr="005501F3">
        <w:rPr>
          <w:rFonts w:cs="Arial"/>
        </w:rPr>
        <w:t xml:space="preserve">[To be included in </w:t>
      </w:r>
      <w:r w:rsidR="00F60DC9" w:rsidRPr="005501F3">
        <w:rPr>
          <w:rFonts w:cs="Arial"/>
        </w:rPr>
        <w:t>final</w:t>
      </w:r>
      <w:r w:rsidRPr="005501F3">
        <w:rPr>
          <w:rFonts w:cs="Arial"/>
        </w:rPr>
        <w:t xml:space="preserve"> draft]</w:t>
      </w:r>
    </w:p>
    <w:p w14:paraId="35D26FE8" w14:textId="3AFEE96D" w:rsidR="00431FEF" w:rsidRPr="00760590" w:rsidRDefault="005501F3" w:rsidP="00126CE8">
      <w:pPr>
        <w:pStyle w:val="Heading1"/>
        <w:jc w:val="both"/>
        <w:rPr>
          <w:rFonts w:cs="Arial"/>
        </w:rPr>
      </w:pPr>
      <w:r>
        <w:rPr>
          <w:rFonts w:cs="Arial"/>
        </w:rPr>
        <w:t>4.</w:t>
      </w:r>
      <w:r>
        <w:rPr>
          <w:rFonts w:cs="Arial"/>
        </w:rPr>
        <w:tab/>
      </w:r>
      <w:r w:rsidR="00B9036F">
        <w:rPr>
          <w:rFonts w:cs="Arial"/>
        </w:rPr>
        <w:t>IMPAQ Model versus Actual</w:t>
      </w:r>
      <w:r w:rsidR="007679D9">
        <w:rPr>
          <w:rFonts w:cs="Arial"/>
        </w:rPr>
        <w:t xml:space="preserve"> Data</w:t>
      </w:r>
      <w:r w:rsidR="00B9036F">
        <w:rPr>
          <w:rFonts w:cs="Arial"/>
        </w:rPr>
        <w:t xml:space="preserve"> </w:t>
      </w:r>
      <w:r w:rsidR="00293164" w:rsidRPr="00760590">
        <w:rPr>
          <w:rFonts w:cs="Arial"/>
        </w:rPr>
        <w:t>Results</w:t>
      </w:r>
    </w:p>
    <w:p w14:paraId="1E4FC142" w14:textId="086F8E94" w:rsidR="007C13DD" w:rsidRPr="00760590" w:rsidRDefault="00F15D60" w:rsidP="00126CE8">
      <w:pPr>
        <w:jc w:val="both"/>
        <w:rPr>
          <w:rFonts w:cs="Arial"/>
        </w:rPr>
      </w:pPr>
      <w:r w:rsidRPr="00760590">
        <w:rPr>
          <w:rFonts w:cs="Arial"/>
        </w:rPr>
        <w:t xml:space="preserve">In this section, we discuss the </w:t>
      </w:r>
      <w:r w:rsidR="0070312E">
        <w:rPr>
          <w:rFonts w:cs="Arial"/>
        </w:rPr>
        <w:t xml:space="preserve">IMPAQ simulation </w:t>
      </w:r>
      <w:r w:rsidRPr="00760590">
        <w:rPr>
          <w:rFonts w:cs="Arial"/>
        </w:rPr>
        <w:t xml:space="preserve">results </w:t>
      </w:r>
      <w:r w:rsidR="00B9036F">
        <w:rPr>
          <w:rFonts w:cs="Arial"/>
        </w:rPr>
        <w:t xml:space="preserve">with respect to the historical data from actual programs in </w:t>
      </w:r>
      <w:r w:rsidR="000B1F5A">
        <w:rPr>
          <w:rFonts w:cs="Arial"/>
        </w:rPr>
        <w:t>California, New Jersey, and Rhode Island</w:t>
      </w:r>
      <w:r w:rsidRPr="00760590">
        <w:rPr>
          <w:rFonts w:cs="Arial"/>
        </w:rPr>
        <w:t xml:space="preserve">. All </w:t>
      </w:r>
      <w:r w:rsidR="000B1F5A">
        <w:rPr>
          <w:rFonts w:cs="Arial"/>
        </w:rPr>
        <w:t xml:space="preserve">model </w:t>
      </w:r>
      <w:r w:rsidRPr="00760590">
        <w:rPr>
          <w:rFonts w:cs="Arial"/>
        </w:rPr>
        <w:t>statistics are reported with the sampling standard error derived from the ACS replicate weights procedure described by the Census Bureau (Census Bureau, 2014).</w:t>
      </w:r>
      <w:r w:rsidR="006F13AA">
        <w:rPr>
          <w:rFonts w:cs="Arial"/>
        </w:rPr>
        <w:t xml:space="preserve"> </w:t>
      </w:r>
    </w:p>
    <w:p w14:paraId="59500B6F" w14:textId="05D9B299" w:rsidR="0086636B" w:rsidRDefault="005501F3" w:rsidP="00126CE8">
      <w:pPr>
        <w:pStyle w:val="Heading2"/>
        <w:jc w:val="both"/>
        <w:rPr>
          <w:rFonts w:cs="Arial"/>
        </w:rPr>
      </w:pPr>
      <w:r>
        <w:rPr>
          <w:rFonts w:cs="Arial"/>
        </w:rPr>
        <w:t>4.1</w:t>
      </w:r>
      <w:r>
        <w:rPr>
          <w:rFonts w:cs="Arial"/>
        </w:rPr>
        <w:tab/>
      </w:r>
      <w:r w:rsidR="0086636B" w:rsidRPr="00760590">
        <w:rPr>
          <w:rFonts w:cs="Arial"/>
        </w:rPr>
        <w:t xml:space="preserve">Total Program Benefit Outlays </w:t>
      </w:r>
    </w:p>
    <w:p w14:paraId="4F218D99" w14:textId="7EB3D311" w:rsidR="004F1424" w:rsidRPr="00E35CD9" w:rsidRDefault="00801EFD" w:rsidP="00126CE8">
      <w:pPr>
        <w:jc w:val="both"/>
      </w:pPr>
      <w:r>
        <w:t xml:space="preserve">Exhibit 1 compares the IMPAQ model’s simulated annual benefit outlays with </w:t>
      </w:r>
      <w:r w:rsidR="0070312E">
        <w:t>the actual state reported outlays averaged from 2012-2016.</w:t>
      </w:r>
      <w:r w:rsidR="00B70B94">
        <w:t xml:space="preserve"> The actual numbers are obtained from </w:t>
      </w:r>
      <w:r w:rsidR="004F1424">
        <w:t xml:space="preserve">reports published on </w:t>
      </w:r>
      <w:r w:rsidR="00B70B94">
        <w:t>their respective state websites</w:t>
      </w:r>
      <w:r w:rsidR="004F1424">
        <w:t>.</w:t>
      </w:r>
      <w:r w:rsidR="004F1424">
        <w:rPr>
          <w:rStyle w:val="FootnoteReference"/>
        </w:rPr>
        <w:footnoteReference w:id="1"/>
      </w:r>
      <w:r w:rsidR="004A5DB4">
        <w:t xml:space="preserve"> For all three states, the IMPAQ </w:t>
      </w:r>
      <w:r w:rsidR="004A5DB4">
        <w:lastRenderedPageBreak/>
        <w:t xml:space="preserve">model slightly underestimated total benefits outlaid by about 10%. </w:t>
      </w:r>
      <w:r w:rsidR="003264E9">
        <w:t>As explored further in the next few subsections, there are a number of contributing factors for this</w:t>
      </w:r>
      <w:r w:rsidR="00B10952">
        <w:t xml:space="preserve"> in terms of discrepancies in estimated eligible workers, participation in the program, and length of participation. </w:t>
      </w:r>
      <w:r w:rsidR="003264E9">
        <w:t>These factors vary on a state-by-state basis.</w:t>
      </w:r>
    </w:p>
    <w:p w14:paraId="70FE47E8" w14:textId="542CA0CC" w:rsidR="00E40ABE" w:rsidRPr="00760590" w:rsidRDefault="00E40ABE" w:rsidP="00E40ABE">
      <w:pPr>
        <w:spacing w:after="0"/>
        <w:jc w:val="center"/>
        <w:rPr>
          <w:rFonts w:cs="Arial"/>
          <w:b/>
        </w:rPr>
      </w:pPr>
      <w:r w:rsidRPr="00760590">
        <w:rPr>
          <w:rFonts w:cs="Arial"/>
          <w:b/>
        </w:rPr>
        <w:t>Exhibit 1. Simulated vs. Actual Benefits Outlayed</w:t>
      </w:r>
    </w:p>
    <w:p w14:paraId="703AF6DE" w14:textId="66479FEA" w:rsidR="00E40ABE" w:rsidRPr="00760590" w:rsidRDefault="00E51A70" w:rsidP="0086636B">
      <w:pPr>
        <w:rPr>
          <w:rFonts w:cs="Arial"/>
        </w:rPr>
      </w:pPr>
      <w:r w:rsidRPr="00E51A70">
        <w:rPr>
          <w:rFonts w:cs="Arial"/>
          <w:noProof/>
        </w:rPr>
        <w:drawing>
          <wp:inline distT="0" distB="0" distL="0" distR="0" wp14:anchorId="0BDB8F3B" wp14:editId="744A54FE">
            <wp:extent cx="5943600" cy="3667125"/>
            <wp:effectExtent l="0" t="0" r="0" b="9525"/>
            <wp:docPr id="17" name="Picture 17" descr="C:\Users\lpatterson\AnacondaProjects\microsim_R\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patterson\AnacondaProjects\microsim_R\exhibits\IB1_benefit_outla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34B1EDE" w14:textId="3C03617C" w:rsidR="0086636B" w:rsidRPr="00760590" w:rsidRDefault="005501F3" w:rsidP="00126CE8">
      <w:pPr>
        <w:pStyle w:val="Heading2"/>
        <w:jc w:val="both"/>
        <w:rPr>
          <w:rFonts w:cs="Arial"/>
        </w:rPr>
      </w:pPr>
      <w:r>
        <w:rPr>
          <w:rFonts w:cs="Arial"/>
        </w:rPr>
        <w:t>4.2</w:t>
      </w:r>
      <w:r>
        <w:rPr>
          <w:rFonts w:cs="Arial"/>
        </w:rPr>
        <w:tab/>
      </w:r>
      <w:r w:rsidR="0086636B" w:rsidRPr="00760590">
        <w:rPr>
          <w:rFonts w:cs="Arial"/>
        </w:rPr>
        <w:t>Total Number of Eligible Workers</w:t>
      </w:r>
    </w:p>
    <w:p w14:paraId="5CC9B4AE" w14:textId="22D07BE4" w:rsidR="00773476" w:rsidRDefault="00F90909" w:rsidP="00126CE8">
      <w:pPr>
        <w:jc w:val="both"/>
        <w:rPr>
          <w:rFonts w:cs="Arial"/>
        </w:rPr>
      </w:pPr>
      <w:r>
        <w:rPr>
          <w:rFonts w:cs="Arial"/>
        </w:rPr>
        <w:t xml:space="preserve">Exhibit 2 compares the number of eligible workers for the program. </w:t>
      </w:r>
      <w:r w:rsidR="00773476">
        <w:rPr>
          <w:rFonts w:cs="Arial"/>
        </w:rPr>
        <w:t xml:space="preserve">This more aptly thought of as a benchmark comparison to </w:t>
      </w:r>
      <w:r w:rsidR="008840D0">
        <w:rPr>
          <w:rFonts w:cs="Arial"/>
        </w:rPr>
        <w:t xml:space="preserve">ACS estimates rather than a model benchmark, as no simulation actually occurs to calculate this number. Eligibility is determined solely through original ACS variables for class of employment and earnings (the main criteria </w:t>
      </w:r>
      <w:r w:rsidR="005D5DFC">
        <w:rPr>
          <w:rFonts w:cs="Arial"/>
        </w:rPr>
        <w:t>for eligibility in these three programs)</w:t>
      </w:r>
      <w:r w:rsidR="008840D0">
        <w:rPr>
          <w:rFonts w:cs="Arial"/>
        </w:rPr>
        <w:t>.</w:t>
      </w:r>
    </w:p>
    <w:p w14:paraId="16A04814" w14:textId="28218C2E" w:rsidR="0086636B" w:rsidRDefault="0034397B" w:rsidP="00126CE8">
      <w:pPr>
        <w:jc w:val="both"/>
        <w:rPr>
          <w:rFonts w:cs="Arial"/>
        </w:rPr>
      </w:pPr>
      <w:r>
        <w:rPr>
          <w:rFonts w:cs="Arial"/>
        </w:rPr>
        <w:t>The IMPAQ model substantially underestimated the number of eligible workers in California; 12.7 million versus</w:t>
      </w:r>
      <w:r w:rsidR="00F90909">
        <w:rPr>
          <w:rFonts w:cs="Arial"/>
        </w:rPr>
        <w:t xml:space="preserve"> 17.2 million workers</w:t>
      </w:r>
      <w:r>
        <w:rPr>
          <w:rFonts w:cs="Arial"/>
        </w:rPr>
        <w:t>.</w:t>
      </w:r>
      <w:r w:rsidR="005D5DFC">
        <w:rPr>
          <w:rFonts w:cs="Arial"/>
        </w:rPr>
        <w:t xml:space="preserve"> </w:t>
      </w:r>
      <w:r w:rsidR="008A5E8D">
        <w:rPr>
          <w:rFonts w:cs="Arial"/>
        </w:rPr>
        <w:t>The ACS indicates there are approximately 17 million individuals working in California alone. From ACS, about 3 million are excluded from eligibility due to self-employment</w:t>
      </w:r>
      <w:r w:rsidR="00A0764C">
        <w:rPr>
          <w:rFonts w:cs="Arial"/>
        </w:rPr>
        <w:t xml:space="preserve"> or public employment in the government. Th</w:t>
      </w:r>
      <w:r w:rsidR="008A5E8D">
        <w:rPr>
          <w:rFonts w:cs="Arial"/>
        </w:rPr>
        <w:t>e remaining 1.5 million are excluded due to failure to meet earnings requirements.</w:t>
      </w:r>
      <w:r>
        <w:rPr>
          <w:rFonts w:cs="Arial"/>
        </w:rPr>
        <w:t xml:space="preserve"> </w:t>
      </w:r>
      <w:r w:rsidR="008A5E8D">
        <w:rPr>
          <w:rFonts w:cs="Arial"/>
        </w:rPr>
        <w:t xml:space="preserve">The earnings requirements are subject to some error, as while earnings can only be observed in annual aggregate in the ACS, California’s earnings requirements </w:t>
      </w:r>
      <w:r w:rsidR="008A5E8D">
        <w:rPr>
          <w:rFonts w:cs="Arial"/>
        </w:rPr>
        <w:lastRenderedPageBreak/>
        <w:t xml:space="preserve">are based on quarterly earnings. The discrepancy in employment eligibility will require further investigation; the actual California eligibility criteria and the reported criteria in the DC Council report are discrepant. </w:t>
      </w:r>
      <w:r>
        <w:rPr>
          <w:rFonts w:cs="Arial"/>
        </w:rPr>
        <w:t>Despite this</w:t>
      </w:r>
      <w:r w:rsidR="00F90909">
        <w:rPr>
          <w:rFonts w:cs="Arial"/>
        </w:rPr>
        <w:t xml:space="preserve">, we see the model producing accurate program participation numbers </w:t>
      </w:r>
      <w:r w:rsidR="00773476">
        <w:rPr>
          <w:rFonts w:cs="Arial"/>
        </w:rPr>
        <w:t xml:space="preserve">in Exhibit 3 </w:t>
      </w:r>
      <w:r w:rsidR="00F90909">
        <w:rPr>
          <w:rFonts w:cs="Arial"/>
        </w:rPr>
        <w:t>which partially alleviates this concern.</w:t>
      </w:r>
      <w:r w:rsidR="00773476">
        <w:rPr>
          <w:rFonts w:cs="Arial"/>
        </w:rPr>
        <w:t xml:space="preserve"> </w:t>
      </w:r>
    </w:p>
    <w:p w14:paraId="5C9E5CDF" w14:textId="39127606" w:rsidR="00773476" w:rsidRDefault="00773476" w:rsidP="00126CE8">
      <w:pPr>
        <w:jc w:val="both"/>
        <w:rPr>
          <w:rFonts w:cs="Arial"/>
        </w:rPr>
      </w:pPr>
      <w:r>
        <w:rPr>
          <w:rFonts w:cs="Arial"/>
        </w:rPr>
        <w:t xml:space="preserve">The model comes very close to simulating the actual number of New Jersey eligible workers. </w:t>
      </w:r>
      <w:r w:rsidR="00A7187B">
        <w:rPr>
          <w:rFonts w:cs="Arial"/>
        </w:rPr>
        <w:t>T</w:t>
      </w:r>
      <w:r>
        <w:rPr>
          <w:rFonts w:cs="Arial"/>
        </w:rPr>
        <w:t>here is a nuance to</w:t>
      </w:r>
      <w:r w:rsidR="00A7187B">
        <w:rPr>
          <w:rFonts w:cs="Arial"/>
        </w:rPr>
        <w:t xml:space="preserve"> eligibility in</w:t>
      </w:r>
      <w:r>
        <w:rPr>
          <w:rFonts w:cs="Arial"/>
        </w:rPr>
        <w:t xml:space="preserve"> New Jersey; the displayed </w:t>
      </w:r>
      <w:r w:rsidRPr="00773476">
        <w:rPr>
          <w:rFonts w:cs="Arial"/>
        </w:rPr>
        <w:t xml:space="preserve">number is for </w:t>
      </w:r>
      <w:r>
        <w:rPr>
          <w:rFonts w:cs="Arial"/>
        </w:rPr>
        <w:t xml:space="preserve">eligibility for </w:t>
      </w:r>
      <w:r w:rsidRPr="00773476">
        <w:rPr>
          <w:rFonts w:cs="Arial"/>
        </w:rPr>
        <w:t>Medical Leave coverage (maternal disability and own illness</w:t>
      </w:r>
      <w:r>
        <w:rPr>
          <w:rFonts w:cs="Arial"/>
        </w:rPr>
        <w:t xml:space="preserve"> leaves</w:t>
      </w:r>
      <w:r w:rsidRPr="00773476">
        <w:rPr>
          <w:rFonts w:cs="Arial"/>
        </w:rPr>
        <w:t>), which has a lower number of eligible workers due to an opt-out option for employers with private insurance. Eligibility for Family Leave (ill relative and child bonding) is 30% higher at 3.83 million.</w:t>
      </w:r>
      <w:r>
        <w:rPr>
          <w:rFonts w:cs="Arial"/>
        </w:rPr>
        <w:t xml:space="preserve"> The eligibility differential is handled by a separate set of user-specified eligibility parameters in the model.</w:t>
      </w:r>
      <w:r w:rsidR="00B70B94">
        <w:rPr>
          <w:rFonts w:cs="Arial"/>
        </w:rPr>
        <w:t xml:space="preserve"> The Rhode Island simulation also produces numbers very close to actual eligibility numbers.</w:t>
      </w:r>
    </w:p>
    <w:p w14:paraId="737A8834" w14:textId="79577A6F" w:rsidR="00557064" w:rsidRPr="00760590" w:rsidRDefault="00557064" w:rsidP="00557064">
      <w:pPr>
        <w:spacing w:after="0"/>
        <w:jc w:val="center"/>
        <w:rPr>
          <w:rFonts w:cs="Arial"/>
          <w:b/>
        </w:rPr>
      </w:pPr>
      <w:r w:rsidRPr="00760590">
        <w:rPr>
          <w:rFonts w:cs="Arial"/>
          <w:b/>
        </w:rPr>
        <w:t>Exhibit 2. Simulated vs. Actual Eligible Workers</w:t>
      </w:r>
    </w:p>
    <w:p w14:paraId="28161D9B" w14:textId="52666392" w:rsidR="00557064" w:rsidRDefault="00E51A70" w:rsidP="0086636B">
      <w:pPr>
        <w:rPr>
          <w:rFonts w:cs="Arial"/>
        </w:rPr>
      </w:pPr>
      <w:r w:rsidRPr="00E51A70">
        <w:rPr>
          <w:rFonts w:cs="Arial"/>
          <w:noProof/>
        </w:rPr>
        <w:drawing>
          <wp:inline distT="0" distB="0" distL="0" distR="0" wp14:anchorId="0E9085A5" wp14:editId="0A71FF93">
            <wp:extent cx="5943600" cy="3667125"/>
            <wp:effectExtent l="0" t="0" r="0" b="9525"/>
            <wp:docPr id="18" name="Picture 18" descr="C:\Users\lpatterson\AnacondaProjects\microsim_R\exhibits\IB2_eligible_wo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patterson\AnacondaProjects\microsim_R\exhibits\IB2_eligible_work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3D06C895" w14:textId="7FBEA418" w:rsidR="00E51A70" w:rsidRPr="009C31AA" w:rsidRDefault="00E51A70" w:rsidP="0086636B">
      <w:pPr>
        <w:rPr>
          <w:rFonts w:cs="Arial"/>
          <w:sz w:val="20"/>
        </w:rPr>
      </w:pPr>
      <w:r w:rsidRPr="009C31AA">
        <w:rPr>
          <w:rFonts w:cs="Arial"/>
          <w:sz w:val="20"/>
        </w:rPr>
        <w:t>Note:</w:t>
      </w:r>
      <w:r w:rsidR="004F0463" w:rsidRPr="009C31AA">
        <w:rPr>
          <w:rFonts w:cs="Arial"/>
          <w:sz w:val="20"/>
        </w:rPr>
        <w:t xml:space="preserve"> </w:t>
      </w:r>
      <w:r w:rsidR="008A5E8D">
        <w:rPr>
          <w:rFonts w:cs="Arial"/>
          <w:sz w:val="20"/>
        </w:rPr>
        <w:t>Actual n</w:t>
      </w:r>
      <w:r w:rsidR="004F0463" w:rsidRPr="009C31AA">
        <w:rPr>
          <w:rFonts w:cs="Arial"/>
          <w:sz w:val="20"/>
        </w:rPr>
        <w:t xml:space="preserve">umbers are estimated 2015 eligible population (DC Council, 2016). </w:t>
      </w:r>
    </w:p>
    <w:p w14:paraId="15A78939" w14:textId="77777777" w:rsidR="00B70B94" w:rsidRDefault="005501F3" w:rsidP="00126CE8">
      <w:pPr>
        <w:pStyle w:val="Heading2"/>
        <w:jc w:val="both"/>
        <w:rPr>
          <w:rFonts w:cs="Arial"/>
        </w:rPr>
      </w:pPr>
      <w:r>
        <w:rPr>
          <w:rFonts w:cs="Arial"/>
        </w:rPr>
        <w:t>4.3</w:t>
      </w:r>
      <w:r>
        <w:rPr>
          <w:rFonts w:cs="Arial"/>
        </w:rPr>
        <w:tab/>
      </w:r>
      <w:r w:rsidR="0086636B" w:rsidRPr="00760590">
        <w:rPr>
          <w:rFonts w:cs="Arial"/>
        </w:rPr>
        <w:t>Total Number of Leave Takers</w:t>
      </w:r>
    </w:p>
    <w:p w14:paraId="14ED80D6" w14:textId="28F5F647" w:rsidR="0086636B" w:rsidRDefault="00B70B94" w:rsidP="00126CE8">
      <w:pPr>
        <w:jc w:val="both"/>
      </w:pPr>
      <w:r>
        <w:t>This section discusses the total number of individuals that actually take leave and claim benefits for each leave type. The actual numbers are derived from</w:t>
      </w:r>
      <w:r w:rsidR="0086636B" w:rsidRPr="00760590">
        <w:t xml:space="preserve"> </w:t>
      </w:r>
      <w:r w:rsidR="004F1424">
        <w:t>claims reporting found in the same state reports as the overall program benefit outlays mentioned previously.</w:t>
      </w:r>
    </w:p>
    <w:p w14:paraId="7EF5CAD8" w14:textId="5719538F" w:rsidR="004F1424" w:rsidRPr="00760590" w:rsidRDefault="004F1424" w:rsidP="00126CE8">
      <w:pPr>
        <w:jc w:val="both"/>
      </w:pPr>
      <w:r>
        <w:t xml:space="preserve">Exhibit 3 presents the results for California for each of the six leave types. The IMPAQ model </w:t>
      </w:r>
      <w:r w:rsidR="00985A73">
        <w:t xml:space="preserve">gets close to the overall number of participants (1.10 million participants simulated </w:t>
      </w:r>
      <w:r w:rsidR="00985A73">
        <w:lastRenderedPageBreak/>
        <w:t>versus 1.01 million actual). However the distribution of leave types is different; the simulated model tends to overstate ill relative and maternal disability leave taking while understating own leave taking.</w:t>
      </w:r>
    </w:p>
    <w:p w14:paraId="744C06FC" w14:textId="77777777" w:rsidR="00A7187B" w:rsidRDefault="00A7187B" w:rsidP="002D0AFA">
      <w:pPr>
        <w:spacing w:after="0"/>
        <w:jc w:val="center"/>
        <w:rPr>
          <w:rFonts w:cs="Arial"/>
          <w:b/>
        </w:rPr>
      </w:pPr>
    </w:p>
    <w:p w14:paraId="1CF5C319" w14:textId="5A867BE6" w:rsidR="002D0AFA" w:rsidRPr="00760590" w:rsidRDefault="002D0AFA" w:rsidP="002D0AFA">
      <w:pPr>
        <w:spacing w:after="0"/>
        <w:jc w:val="center"/>
        <w:rPr>
          <w:rFonts w:cs="Arial"/>
          <w:b/>
        </w:rPr>
      </w:pPr>
      <w:r w:rsidRPr="00760590">
        <w:rPr>
          <w:rFonts w:cs="Arial"/>
          <w:b/>
        </w:rPr>
        <w:t>Exhibit 3. Simulated vs. Actual Participating Leave Takers in California</w:t>
      </w:r>
    </w:p>
    <w:p w14:paraId="05C751A9" w14:textId="48983DFF" w:rsidR="00985A73" w:rsidRDefault="00C510CB" w:rsidP="00985A73">
      <w:pPr>
        <w:spacing w:after="0"/>
        <w:jc w:val="center"/>
        <w:rPr>
          <w:rFonts w:cs="Arial"/>
          <w:b/>
        </w:rPr>
      </w:pPr>
      <w:r w:rsidRPr="00C510CB">
        <w:rPr>
          <w:rFonts w:cs="Arial"/>
          <w:b/>
          <w:noProof/>
        </w:rPr>
        <w:drawing>
          <wp:inline distT="0" distB="0" distL="0" distR="0" wp14:anchorId="1B0389BC" wp14:editId="4AF42B2C">
            <wp:extent cx="5943600" cy="3667125"/>
            <wp:effectExtent l="0" t="0" r="0" b="9525"/>
            <wp:docPr id="19" name="Picture 19" descr="C:\Users\lpatterson\AnacondaProjects\microsim_R\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patterson\AnacondaProjects\microsim_R\exhibits\IB3_CA_Leave_Taker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1E625379" w14:textId="0ED3F3D1" w:rsidR="00985A73" w:rsidRPr="00985A73" w:rsidRDefault="00985A73" w:rsidP="00126CE8">
      <w:pPr>
        <w:jc w:val="both"/>
      </w:pPr>
      <w:r>
        <w:t>Exhibit 4 shows participant numbers in New Jersey. The model gets very close to New Jersey in both overall participation (about 125,000 participants simulated compared to 124,000 actual participants), and the distribution of leave types within the participant population.</w:t>
      </w:r>
    </w:p>
    <w:p w14:paraId="33340DF7" w14:textId="77777777" w:rsidR="00675D2A" w:rsidRDefault="00675D2A">
      <w:pPr>
        <w:rPr>
          <w:rFonts w:cs="Arial"/>
          <w:b/>
        </w:rPr>
      </w:pPr>
      <w:r>
        <w:rPr>
          <w:rFonts w:cs="Arial"/>
          <w:b/>
        </w:rPr>
        <w:br w:type="page"/>
      </w:r>
    </w:p>
    <w:p w14:paraId="19389395" w14:textId="7D0E9341" w:rsidR="002D0AFA" w:rsidRPr="00760590" w:rsidRDefault="002D0AFA" w:rsidP="002D0AFA">
      <w:pPr>
        <w:spacing w:after="0"/>
        <w:jc w:val="center"/>
        <w:rPr>
          <w:rFonts w:cs="Arial"/>
          <w:b/>
        </w:rPr>
      </w:pPr>
      <w:r w:rsidRPr="00760590">
        <w:rPr>
          <w:rFonts w:cs="Arial"/>
          <w:b/>
        </w:rPr>
        <w:lastRenderedPageBreak/>
        <w:t>Exhibit 4. Simulated vs. Actual Participating Leave Takers in New Jersey</w:t>
      </w:r>
    </w:p>
    <w:p w14:paraId="719917F2" w14:textId="773ACA16" w:rsidR="002D0AFA" w:rsidRPr="00760590" w:rsidRDefault="00C510CB" w:rsidP="002D0AFA">
      <w:pPr>
        <w:spacing w:after="0"/>
        <w:jc w:val="center"/>
        <w:rPr>
          <w:rFonts w:cs="Arial"/>
          <w:b/>
        </w:rPr>
      </w:pPr>
      <w:r w:rsidRPr="00C510CB">
        <w:rPr>
          <w:rFonts w:cs="Arial"/>
          <w:b/>
          <w:noProof/>
        </w:rPr>
        <w:drawing>
          <wp:inline distT="0" distB="0" distL="0" distR="0" wp14:anchorId="0E211C07" wp14:editId="6042DAD1">
            <wp:extent cx="5943600" cy="3667125"/>
            <wp:effectExtent l="0" t="0" r="0" b="9525"/>
            <wp:docPr id="22" name="Picture 22" descr="C:\Users\lpatterson\AnacondaProjects\microsim_R\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patterson\AnacondaProjects\microsim_R\exhibits\IB5_NJ_Leave_Take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35D979F2" w14:textId="337FA0D4" w:rsidR="008720EC" w:rsidRDefault="00985A73" w:rsidP="00126CE8">
      <w:pPr>
        <w:jc w:val="both"/>
      </w:pPr>
      <w:r>
        <w:t xml:space="preserve">Exhibit 5 shows the participation results for Rhode Island. The model slightly understates the number of participants in the Rhode Island program; the simulation produced </w:t>
      </w:r>
      <w:r w:rsidR="00906B91">
        <w:t>about 38,400 participants compared to 44,900 participants in the actual program. By leave type, the model simulated similar numbers except for own illness and child bonding leaves. The underestimations in these two leave types explain the overall difference in leave program participation.</w:t>
      </w:r>
      <w:r w:rsidR="00675D2A">
        <w:t xml:space="preserve"> This is a likely explanation for why the model understated the overall benefit outlays for the Rhode Island program.</w:t>
      </w:r>
      <w:r w:rsidR="008720EC">
        <w:br w:type="page"/>
      </w:r>
    </w:p>
    <w:p w14:paraId="63F94EE8" w14:textId="612A7BBA" w:rsidR="002D0AFA" w:rsidRPr="00760590" w:rsidRDefault="002D0AFA" w:rsidP="002D0AFA">
      <w:pPr>
        <w:spacing w:after="0"/>
        <w:jc w:val="center"/>
        <w:rPr>
          <w:rFonts w:cs="Arial"/>
          <w:b/>
        </w:rPr>
      </w:pPr>
      <w:r w:rsidRPr="00760590">
        <w:rPr>
          <w:rFonts w:cs="Arial"/>
          <w:b/>
        </w:rPr>
        <w:lastRenderedPageBreak/>
        <w:t>Exhibit 5. Simulated vs. Actual Participating Leave Takers in Rhode Island</w:t>
      </w:r>
    </w:p>
    <w:p w14:paraId="74B32306" w14:textId="17996094" w:rsidR="00575516" w:rsidRPr="00675D2A" w:rsidRDefault="00C510CB" w:rsidP="00675D2A">
      <w:pPr>
        <w:spacing w:after="0"/>
        <w:jc w:val="center"/>
        <w:rPr>
          <w:rFonts w:cs="Arial"/>
          <w:b/>
        </w:rPr>
      </w:pPr>
      <w:r w:rsidRPr="00C510CB">
        <w:rPr>
          <w:rFonts w:cs="Arial"/>
          <w:b/>
          <w:noProof/>
        </w:rPr>
        <w:drawing>
          <wp:inline distT="0" distB="0" distL="0" distR="0" wp14:anchorId="4952D258" wp14:editId="3D563B7C">
            <wp:extent cx="5943600" cy="3667125"/>
            <wp:effectExtent l="0" t="0" r="0" b="9525"/>
            <wp:docPr id="21" name="Picture 21" descr="C:\Users\lpatterson\AnacondaProjects\microsim_R\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patterson\AnacondaProjects\microsim_R\exhibits\IB7_RI_Leave_Tak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7D3E252" w14:textId="3B86C0A6" w:rsidR="0086636B" w:rsidRDefault="005501F3" w:rsidP="0086636B">
      <w:pPr>
        <w:pStyle w:val="Heading2"/>
        <w:rPr>
          <w:rFonts w:cs="Arial"/>
        </w:rPr>
      </w:pPr>
      <w:r>
        <w:rPr>
          <w:rFonts w:cs="Arial"/>
        </w:rPr>
        <w:t>4.4</w:t>
      </w:r>
      <w:r>
        <w:rPr>
          <w:rFonts w:cs="Arial"/>
        </w:rPr>
        <w:tab/>
      </w:r>
      <w:r w:rsidR="0086636B" w:rsidRPr="00760590">
        <w:rPr>
          <w:rFonts w:cs="Arial"/>
        </w:rPr>
        <w:t xml:space="preserve">Average Length of Leaves </w:t>
      </w:r>
    </w:p>
    <w:p w14:paraId="3B99629E" w14:textId="1E89A7A7" w:rsidR="004A5DB4" w:rsidRPr="004A5DB4" w:rsidRDefault="004A5DB4" w:rsidP="00126CE8">
      <w:pPr>
        <w:jc w:val="both"/>
      </w:pPr>
      <w:r>
        <w:t>Of the three states, only New Jersey reported weeks of participation</w:t>
      </w:r>
      <w:r w:rsidR="003264E9">
        <w:t xml:space="preserve"> in sufficient detail to compare the model to. </w:t>
      </w:r>
      <w:r w:rsidR="00667F27">
        <w:t>For New Jersey</w:t>
      </w:r>
      <w:r w:rsidR="000C54B2">
        <w:t xml:space="preserve">, the model </w:t>
      </w:r>
      <w:r w:rsidR="00E35CD9">
        <w:t xml:space="preserve">simulated </w:t>
      </w:r>
      <w:r w:rsidR="000C54B2">
        <w:t>substantially short</w:t>
      </w:r>
      <w:r w:rsidR="00E35CD9">
        <w:t>er</w:t>
      </w:r>
      <w:r w:rsidR="000C54B2">
        <w:t xml:space="preserve"> participation</w:t>
      </w:r>
      <w:r w:rsidR="00C65214">
        <w:t xml:space="preserve"> for all leave types</w:t>
      </w:r>
      <w:r w:rsidR="000C54B2">
        <w:t xml:space="preserve">. </w:t>
      </w:r>
      <w:r w:rsidR="00E35CD9">
        <w:t xml:space="preserve">This could be one factor as to why </w:t>
      </w:r>
      <w:r w:rsidR="00675D2A">
        <w:t xml:space="preserve">the overall estimate of New Jersey’s program cost fell short of actual numbers despite </w:t>
      </w:r>
      <w:r w:rsidR="00126CE8">
        <w:t>accurately modeling the number of eligible workers and program participants.</w:t>
      </w:r>
    </w:p>
    <w:p w14:paraId="7AF14651" w14:textId="77777777" w:rsidR="00675D2A" w:rsidRDefault="00675D2A" w:rsidP="002D0AFA">
      <w:pPr>
        <w:spacing w:after="0"/>
        <w:jc w:val="center"/>
        <w:rPr>
          <w:rFonts w:cs="Arial"/>
          <w:b/>
        </w:rPr>
      </w:pPr>
    </w:p>
    <w:p w14:paraId="4DF4D899" w14:textId="77777777" w:rsidR="00675D2A" w:rsidRDefault="00675D2A">
      <w:pPr>
        <w:rPr>
          <w:rFonts w:cs="Arial"/>
          <w:b/>
        </w:rPr>
      </w:pPr>
      <w:r>
        <w:rPr>
          <w:rFonts w:cs="Arial"/>
          <w:b/>
        </w:rPr>
        <w:br w:type="page"/>
      </w:r>
    </w:p>
    <w:p w14:paraId="68243BDC" w14:textId="59EF574C" w:rsidR="002D0AFA" w:rsidRPr="00760590" w:rsidRDefault="002D0AFA" w:rsidP="002D0AFA">
      <w:pPr>
        <w:spacing w:after="0"/>
        <w:jc w:val="center"/>
        <w:rPr>
          <w:rFonts w:cs="Arial"/>
          <w:b/>
        </w:rPr>
      </w:pPr>
      <w:r w:rsidRPr="00760590">
        <w:rPr>
          <w:rFonts w:cs="Arial"/>
          <w:b/>
        </w:rPr>
        <w:lastRenderedPageBreak/>
        <w:t xml:space="preserve">Exhibit </w:t>
      </w:r>
      <w:r w:rsidR="00760590" w:rsidRPr="00760590">
        <w:rPr>
          <w:rFonts w:cs="Arial"/>
          <w:b/>
        </w:rPr>
        <w:t>6</w:t>
      </w:r>
      <w:r w:rsidRPr="00760590">
        <w:rPr>
          <w:rFonts w:cs="Arial"/>
          <w:b/>
        </w:rPr>
        <w:t xml:space="preserve">. </w:t>
      </w:r>
      <w:r w:rsidR="00857561" w:rsidRPr="00760590">
        <w:rPr>
          <w:rFonts w:cs="Arial"/>
          <w:b/>
        </w:rPr>
        <w:t>New Jersey</w:t>
      </w:r>
      <w:r w:rsidR="00857561">
        <w:rPr>
          <w:rFonts w:cs="Arial"/>
          <w:b/>
        </w:rPr>
        <w:t xml:space="preserve"> </w:t>
      </w:r>
      <w:r w:rsidRPr="00760590">
        <w:rPr>
          <w:rFonts w:cs="Arial"/>
          <w:b/>
        </w:rPr>
        <w:t xml:space="preserve">Simulated vs. Actual </w:t>
      </w:r>
      <w:r w:rsidR="004A5DB4">
        <w:rPr>
          <w:rFonts w:cs="Arial"/>
          <w:b/>
        </w:rPr>
        <w:t xml:space="preserve">Mean Participation </w:t>
      </w:r>
      <w:r w:rsidR="00857561">
        <w:rPr>
          <w:rFonts w:cs="Arial"/>
          <w:b/>
        </w:rPr>
        <w:t xml:space="preserve">Length </w:t>
      </w:r>
      <w:r w:rsidR="008720EC">
        <w:rPr>
          <w:rFonts w:cs="Arial"/>
          <w:b/>
        </w:rPr>
        <w:t>(in Weeks)</w:t>
      </w:r>
    </w:p>
    <w:p w14:paraId="389AB1F0" w14:textId="087F9C27" w:rsidR="0086636B" w:rsidRDefault="00C510CB" w:rsidP="008720EC">
      <w:pPr>
        <w:jc w:val="center"/>
        <w:rPr>
          <w:rFonts w:cs="Arial"/>
        </w:rPr>
      </w:pPr>
      <w:r w:rsidRPr="00C510CB">
        <w:rPr>
          <w:rFonts w:cs="Arial"/>
          <w:noProof/>
        </w:rPr>
        <w:drawing>
          <wp:inline distT="0" distB="0" distL="0" distR="0" wp14:anchorId="5C723A3B" wp14:editId="72BC3280">
            <wp:extent cx="5943600" cy="3667125"/>
            <wp:effectExtent l="0" t="0" r="0" b="9525"/>
            <wp:docPr id="20" name="Picture 20" descr="C:\Users\lpatterson\AnacondaProjects\microsim_R\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patterson\AnacondaProjects\microsim_R\exhibits\IB6_NJ_Leave_Lengt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7DFA6812" w14:textId="5B1DED1D" w:rsidR="00575516" w:rsidRPr="00BA0524" w:rsidRDefault="00575516" w:rsidP="00575516">
      <w:pPr>
        <w:rPr>
          <w:rFonts w:cs="Arial"/>
          <w:sz w:val="20"/>
        </w:rPr>
      </w:pPr>
      <w:r w:rsidRPr="00BA0524">
        <w:rPr>
          <w:rFonts w:cs="Arial"/>
          <w:sz w:val="20"/>
        </w:rPr>
        <w:t xml:space="preserve">Note: </w:t>
      </w:r>
      <w:r w:rsidR="00862953" w:rsidRPr="00BA0524">
        <w:rPr>
          <w:rFonts w:cs="Arial"/>
          <w:sz w:val="20"/>
        </w:rPr>
        <w:t xml:space="preserve">Actual </w:t>
      </w:r>
      <w:r w:rsidR="00A36CC1" w:rsidRPr="00BA0524">
        <w:rPr>
          <w:rFonts w:cs="Arial"/>
          <w:sz w:val="20"/>
        </w:rPr>
        <w:t>l</w:t>
      </w:r>
      <w:r w:rsidRPr="00BA0524">
        <w:rPr>
          <w:rFonts w:cs="Arial"/>
          <w:sz w:val="20"/>
        </w:rPr>
        <w:t>ength of leave statistics not available for California and Rhode Island</w:t>
      </w:r>
    </w:p>
    <w:p w14:paraId="432BD70E" w14:textId="3EDF5121" w:rsidR="003152A5" w:rsidRPr="00760590" w:rsidRDefault="005501F3" w:rsidP="002D0AFA">
      <w:pPr>
        <w:pStyle w:val="Heading1"/>
        <w:rPr>
          <w:rFonts w:cs="Arial"/>
        </w:rPr>
      </w:pPr>
      <w:r>
        <w:rPr>
          <w:rFonts w:cs="Arial"/>
        </w:rPr>
        <w:t>5.</w:t>
      </w:r>
      <w:r>
        <w:rPr>
          <w:rFonts w:cs="Arial"/>
        </w:rPr>
        <w:tab/>
      </w:r>
      <w:r w:rsidR="003152A5" w:rsidRPr="00760590">
        <w:rPr>
          <w:rFonts w:cs="Arial"/>
        </w:rPr>
        <w:t>Conclusion</w:t>
      </w:r>
    </w:p>
    <w:p w14:paraId="65A649DA" w14:textId="19FD9A61" w:rsidR="003152A5" w:rsidRDefault="00FD3AFC" w:rsidP="00126CE8">
      <w:pPr>
        <w:jc w:val="both"/>
        <w:rPr>
          <w:rFonts w:cs="Arial"/>
        </w:rPr>
      </w:pPr>
      <w:r>
        <w:rPr>
          <w:rFonts w:cs="Arial"/>
        </w:rPr>
        <w:t>Overall, the IMPAQ model performs reasonably well at replicating the real-world state leave programs</w:t>
      </w:r>
      <w:r w:rsidR="007F45D1">
        <w:rPr>
          <w:rFonts w:cs="Arial"/>
        </w:rPr>
        <w:t xml:space="preserve"> and participation</w:t>
      </w:r>
      <w:r>
        <w:rPr>
          <w:rFonts w:cs="Arial"/>
        </w:rPr>
        <w:t>.</w:t>
      </w:r>
      <w:r w:rsidR="00E47925">
        <w:rPr>
          <w:rFonts w:cs="Arial"/>
        </w:rPr>
        <w:t xml:space="preserve"> </w:t>
      </w:r>
      <w:r>
        <w:rPr>
          <w:rFonts w:cs="Arial"/>
        </w:rPr>
        <w:t>However, every state’s program cost is slightly understated by the model. The possible reasons for this varied by state. California’s eligible population was underestimated by the model. In Rhode Island, the model simulated fewer child bonding and own illness leave takers than in reality. In New Jersey, the model simulated shorter participation lengths than actually observed. This suggests that the model’s estimate should be treated as a lower bound for what simulated programs might cost, and a suggested upper bound might be about 10-15% greater than the simulated cost.</w:t>
      </w:r>
    </w:p>
    <w:p w14:paraId="31183978" w14:textId="0A398A95" w:rsidR="00E47925" w:rsidRDefault="00E47925" w:rsidP="00126CE8">
      <w:pPr>
        <w:jc w:val="both"/>
        <w:rPr>
          <w:rFonts w:cs="Arial"/>
        </w:rPr>
      </w:pPr>
      <w:r>
        <w:rPr>
          <w:rFonts w:cs="Arial"/>
        </w:rPr>
        <w:t>The reader should note that these are not the only estimates the IMPAQ model could produce. Other parameter specifications could be altered to correct the variance in simulated and observed statistics. The default settings were selected for this issue brief to demonstrate a baseline of how the model generally follows real-world and ACM model behavior.</w:t>
      </w:r>
    </w:p>
    <w:p w14:paraId="58B5C197" w14:textId="1890E4BB" w:rsidR="009767A3" w:rsidRPr="00FD3AFC" w:rsidRDefault="009767A3" w:rsidP="00126CE8">
      <w:pPr>
        <w:jc w:val="both"/>
        <w:rPr>
          <w:rFonts w:cs="Arial"/>
        </w:rPr>
      </w:pPr>
      <w:r>
        <w:rPr>
          <w:rFonts w:cs="Arial"/>
        </w:rPr>
        <w:t>[Paragraph comparing ACM and IMPAQ results to be inserted in final version]</w:t>
      </w:r>
    </w:p>
    <w:p w14:paraId="376C205D" w14:textId="77777777" w:rsidR="003152A5" w:rsidRPr="00760590" w:rsidRDefault="003152A5">
      <w:pPr>
        <w:rPr>
          <w:rFonts w:cs="Arial"/>
          <w:b/>
        </w:rPr>
      </w:pPr>
      <w:r w:rsidRPr="00760590">
        <w:rPr>
          <w:rFonts w:cs="Arial"/>
          <w:b/>
        </w:rPr>
        <w:br w:type="page"/>
      </w:r>
    </w:p>
    <w:p w14:paraId="17D398BF" w14:textId="77777777" w:rsidR="007E39A1" w:rsidRPr="00760590" w:rsidRDefault="007E39A1" w:rsidP="002D0AFA">
      <w:pPr>
        <w:pStyle w:val="Heading1"/>
        <w:rPr>
          <w:rFonts w:cs="Arial"/>
        </w:rPr>
      </w:pPr>
      <w:r w:rsidRPr="00760590">
        <w:rPr>
          <w:rFonts w:cs="Arial"/>
        </w:rPr>
        <w:lastRenderedPageBreak/>
        <w:t>Bibliography</w:t>
      </w:r>
    </w:p>
    <w:p w14:paraId="35B98ED6" w14:textId="008C27B8" w:rsidR="007E39A1" w:rsidRPr="00E51A70" w:rsidRDefault="007E39A1" w:rsidP="0017525B">
      <w:pPr>
        <w:autoSpaceDE w:val="0"/>
        <w:autoSpaceDN w:val="0"/>
        <w:adjustRightInd w:val="0"/>
        <w:spacing w:line="240" w:lineRule="auto"/>
        <w:rPr>
          <w:rFonts w:cs="Arial"/>
          <w:color w:val="000000"/>
          <w:sz w:val="20"/>
          <w:szCs w:val="20"/>
        </w:rPr>
      </w:pPr>
      <w:r w:rsidRPr="00E51A70">
        <w:rPr>
          <w:rFonts w:cs="Arial"/>
          <w:color w:val="000000"/>
          <w:sz w:val="20"/>
          <w:szCs w:val="20"/>
        </w:rPr>
        <w:t>Winston, P. (2017). Exploring the Relationship between Paid Family Leave and the Well-being of Low-Income</w:t>
      </w:r>
      <w:r w:rsidR="0017525B">
        <w:rPr>
          <w:rFonts w:cs="Arial"/>
          <w:color w:val="000000"/>
          <w:sz w:val="20"/>
          <w:szCs w:val="20"/>
        </w:rPr>
        <w:t xml:space="preserve"> </w:t>
      </w:r>
      <w:r w:rsidRPr="00E51A70">
        <w:rPr>
          <w:rFonts w:cs="Arial"/>
          <w:color w:val="000000"/>
          <w:sz w:val="20"/>
          <w:szCs w:val="20"/>
        </w:rPr>
        <w:t>Families: Lessons from California. Washington, DC: U.S. Department of Health and Human Services, Office of the</w:t>
      </w:r>
      <w:r w:rsidR="0017525B">
        <w:rPr>
          <w:rFonts w:cs="Arial"/>
          <w:color w:val="000000"/>
          <w:sz w:val="20"/>
          <w:szCs w:val="20"/>
        </w:rPr>
        <w:t xml:space="preserve"> </w:t>
      </w:r>
      <w:r w:rsidRPr="00E51A70">
        <w:rPr>
          <w:rFonts w:cs="Arial"/>
          <w:color w:val="000000"/>
          <w:sz w:val="20"/>
          <w:szCs w:val="20"/>
        </w:rPr>
        <w:t>Assistant Secretary for Planning and Evaluation, Office of Human Services Policy.</w:t>
      </w:r>
    </w:p>
    <w:p w14:paraId="2AA96629" w14:textId="77777777" w:rsidR="007E39A1" w:rsidRPr="00E51A70" w:rsidRDefault="007E39A1" w:rsidP="0017525B">
      <w:pPr>
        <w:autoSpaceDE w:val="0"/>
        <w:autoSpaceDN w:val="0"/>
        <w:adjustRightInd w:val="0"/>
        <w:spacing w:line="240" w:lineRule="auto"/>
        <w:rPr>
          <w:rFonts w:cs="Arial"/>
          <w:color w:val="000000"/>
          <w:sz w:val="20"/>
          <w:szCs w:val="20"/>
        </w:rPr>
      </w:pPr>
      <w:r w:rsidRPr="00E51A70">
        <w:rPr>
          <w:rFonts w:cs="Arial"/>
          <w:color w:val="000000"/>
          <w:sz w:val="20"/>
          <w:szCs w:val="20"/>
        </w:rPr>
        <w:t xml:space="preserve">Bureau of Labor Statistics (2016). Table 32. Leave benefits: Access, Civilian Workers, National Compensation Survey, March 2016. Retrieved from </w:t>
      </w:r>
      <w:r w:rsidRPr="00E51A70">
        <w:rPr>
          <w:rFonts w:cs="Arial"/>
          <w:color w:val="0000FF"/>
          <w:sz w:val="20"/>
          <w:szCs w:val="20"/>
        </w:rPr>
        <w:t>https://www.bls.gov/ncs/ebs/benefits/2016/ownership/civilian/table32a.htm</w:t>
      </w:r>
      <w:r w:rsidRPr="00E51A70">
        <w:rPr>
          <w:rFonts w:cs="Arial"/>
          <w:color w:val="000000"/>
          <w:sz w:val="20"/>
          <w:szCs w:val="20"/>
        </w:rPr>
        <w:t>.</w:t>
      </w:r>
    </w:p>
    <w:p w14:paraId="3FC0F222" w14:textId="3E7F2D07" w:rsidR="007E39A1" w:rsidRPr="00E51A70" w:rsidRDefault="009343BA" w:rsidP="00463D42">
      <w:pPr>
        <w:rPr>
          <w:rStyle w:val="Hyperlink"/>
          <w:rFonts w:cs="Arial"/>
          <w:sz w:val="20"/>
          <w:szCs w:val="20"/>
        </w:rPr>
      </w:pPr>
      <w:r w:rsidRPr="00E51A70">
        <w:rPr>
          <w:rFonts w:cs="Arial"/>
          <w:sz w:val="20"/>
          <w:szCs w:val="20"/>
        </w:rPr>
        <w:t xml:space="preserve">Census Bureau (2014). American Community Survey Design and Methodology. Chapter 12: Variance Estimation. Retrieved from </w:t>
      </w:r>
      <w:hyperlink r:id="rId14" w:history="1">
        <w:r w:rsidRPr="00E51A70">
          <w:rPr>
            <w:rStyle w:val="Hyperlink"/>
            <w:rFonts w:cs="Arial"/>
            <w:sz w:val="20"/>
            <w:szCs w:val="20"/>
          </w:rPr>
          <w:t>https://www2.census.gov/programs-surveys/acs/methodology/design_and_methodology/acs_design_methodology_report_2014.pdf</w:t>
        </w:r>
      </w:hyperlink>
    </w:p>
    <w:p w14:paraId="2EBBB2BB" w14:textId="096E13F9" w:rsidR="00E51A70" w:rsidRPr="0017525B" w:rsidRDefault="00E51A70" w:rsidP="00E51A70">
      <w:pPr>
        <w:pStyle w:val="Heading1"/>
        <w:rPr>
          <w:rFonts w:eastAsiaTheme="minorHAnsi" w:cs="Arial"/>
          <w:b w:val="0"/>
          <w:color w:val="000000"/>
          <w:sz w:val="20"/>
          <w:szCs w:val="20"/>
        </w:rPr>
      </w:pPr>
      <w:r w:rsidRPr="0017525B">
        <w:rPr>
          <w:rFonts w:eastAsiaTheme="minorHAnsi" w:cs="Arial"/>
          <w:b w:val="0"/>
          <w:color w:val="000000"/>
          <w:sz w:val="20"/>
          <w:szCs w:val="20"/>
        </w:rPr>
        <w:t xml:space="preserve">Office of the Budget Director, Council of the District of Columbia (2016). Economic and Policy Impact Statement: Universal Paid Leave Amendment Act of 2016. (B21-415). Retrieved from </w:t>
      </w:r>
      <w:hyperlink r:id="rId15" w:history="1">
        <w:r w:rsidRPr="0017525B">
          <w:rPr>
            <w:rStyle w:val="Hyperlink"/>
            <w:rFonts w:eastAsiaTheme="minorHAnsi" w:cs="Arial"/>
            <w:b w:val="0"/>
            <w:sz w:val="20"/>
            <w:szCs w:val="20"/>
          </w:rPr>
          <w:t>http://lims.dccouncil.us/Download/34613/B21-0415-Economic-and-Policy-Impact-Statement-UPLAA3.pdf</w:t>
        </w:r>
      </w:hyperlink>
    </w:p>
    <w:p w14:paraId="06B7DBB6" w14:textId="6A8FEE73" w:rsidR="00614252" w:rsidRPr="00760590" w:rsidRDefault="00614252" w:rsidP="002D0AFA">
      <w:pPr>
        <w:pStyle w:val="Heading1"/>
        <w:rPr>
          <w:rFonts w:cs="Arial"/>
        </w:rPr>
      </w:pPr>
      <w:r w:rsidRPr="00760590">
        <w:rPr>
          <w:rFonts w:cs="Arial"/>
        </w:rPr>
        <w:t xml:space="preserve">Appendix </w:t>
      </w:r>
    </w:p>
    <w:p w14:paraId="53A9B58A" w14:textId="245E9F81" w:rsidR="00614252" w:rsidRPr="00760590" w:rsidRDefault="00614252" w:rsidP="00614252">
      <w:pPr>
        <w:rPr>
          <w:rFonts w:cs="Arial"/>
          <w:b/>
        </w:rPr>
      </w:pPr>
      <w:r w:rsidRPr="00760590">
        <w:rPr>
          <w:rFonts w:cs="Arial"/>
          <w:b/>
        </w:rPr>
        <w:t xml:space="preserve">ACM </w:t>
      </w:r>
      <w:r w:rsidR="0017525B">
        <w:rPr>
          <w:rFonts w:cs="Arial"/>
          <w:b/>
        </w:rPr>
        <w:t xml:space="preserve">Model </w:t>
      </w:r>
      <w:r w:rsidRPr="00760590">
        <w:rPr>
          <w:rFonts w:cs="Arial"/>
          <w:b/>
        </w:rPr>
        <w:t>Parameters</w:t>
      </w:r>
      <w:r w:rsidR="002D0AFA" w:rsidRPr="00760590">
        <w:rPr>
          <w:rFonts w:cs="Arial"/>
          <w:b/>
        </w:rPr>
        <w:t xml:space="preserve"> Used</w:t>
      </w:r>
    </w:p>
    <w:tbl>
      <w:tblPr>
        <w:tblW w:w="9022" w:type="dxa"/>
        <w:tblLook w:val="04A0" w:firstRow="1" w:lastRow="0" w:firstColumn="1" w:lastColumn="0" w:noHBand="0" w:noVBand="1"/>
      </w:tblPr>
      <w:tblGrid>
        <w:gridCol w:w="2706"/>
        <w:gridCol w:w="2098"/>
        <w:gridCol w:w="2109"/>
        <w:gridCol w:w="2109"/>
      </w:tblGrid>
      <w:tr w:rsidR="00614252" w:rsidRPr="00760590" w14:paraId="6BF1BD45"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5B9BD5" w:fill="5B9BD5"/>
            <w:noWrap/>
            <w:vAlign w:val="bottom"/>
            <w:hideMark/>
          </w:tcPr>
          <w:p w14:paraId="30A65988" w14:textId="77777777" w:rsidR="00614252" w:rsidRPr="00760590" w:rsidRDefault="00614252" w:rsidP="0098532A">
            <w:pPr>
              <w:spacing w:after="0" w:line="240" w:lineRule="auto"/>
              <w:rPr>
                <w:rFonts w:eastAsia="Times New Roman" w:cs="Arial"/>
                <w:b/>
                <w:bCs/>
                <w:color w:val="FFFFFF"/>
                <w:sz w:val="20"/>
              </w:rPr>
            </w:pPr>
            <w:r w:rsidRPr="00760590">
              <w:rPr>
                <w:rFonts w:eastAsia="Times New Roman" w:cs="Arial"/>
                <w:b/>
                <w:bCs/>
                <w:color w:val="FFFFFF"/>
                <w:sz w:val="20"/>
              </w:rPr>
              <w:t>Parameter</w:t>
            </w:r>
          </w:p>
        </w:tc>
        <w:tc>
          <w:tcPr>
            <w:tcW w:w="2144" w:type="dxa"/>
            <w:tcBorders>
              <w:top w:val="single" w:sz="4" w:space="0" w:color="9BC2E6"/>
              <w:left w:val="nil"/>
              <w:bottom w:val="single" w:sz="4" w:space="0" w:color="9BC2E6"/>
              <w:right w:val="nil"/>
            </w:tcBorders>
            <w:shd w:val="clear" w:color="5B9BD5" w:fill="5B9BD5"/>
            <w:vAlign w:val="bottom"/>
            <w:hideMark/>
          </w:tcPr>
          <w:p w14:paraId="78C58D8B" w14:textId="77777777" w:rsidR="00614252" w:rsidRPr="00760590" w:rsidRDefault="00614252" w:rsidP="0098532A">
            <w:pPr>
              <w:spacing w:after="0" w:line="240" w:lineRule="auto"/>
              <w:rPr>
                <w:rFonts w:eastAsia="Times New Roman" w:cs="Arial"/>
                <w:b/>
                <w:bCs/>
                <w:color w:val="FFFFFF"/>
                <w:sz w:val="20"/>
              </w:rPr>
            </w:pPr>
            <w:r w:rsidRPr="00760590">
              <w:rPr>
                <w:rFonts w:eastAsia="Times New Roman" w:cs="Arial"/>
                <w:b/>
                <w:bCs/>
                <w:color w:val="FFFFFF"/>
                <w:sz w:val="20"/>
              </w:rPr>
              <w:t>CA</w:t>
            </w:r>
          </w:p>
        </w:tc>
        <w:tc>
          <w:tcPr>
            <w:tcW w:w="2144" w:type="dxa"/>
            <w:tcBorders>
              <w:top w:val="single" w:sz="4" w:space="0" w:color="9BC2E6"/>
              <w:left w:val="nil"/>
              <w:bottom w:val="single" w:sz="4" w:space="0" w:color="9BC2E6"/>
              <w:right w:val="nil"/>
            </w:tcBorders>
            <w:shd w:val="clear" w:color="5B9BD5" w:fill="5B9BD5"/>
            <w:vAlign w:val="bottom"/>
            <w:hideMark/>
          </w:tcPr>
          <w:p w14:paraId="4DD41737" w14:textId="77777777" w:rsidR="00614252" w:rsidRPr="00760590" w:rsidRDefault="00614252" w:rsidP="0098532A">
            <w:pPr>
              <w:spacing w:after="0" w:line="240" w:lineRule="auto"/>
              <w:rPr>
                <w:rFonts w:eastAsia="Times New Roman" w:cs="Arial"/>
                <w:b/>
                <w:bCs/>
                <w:color w:val="FFFFFF"/>
                <w:sz w:val="20"/>
              </w:rPr>
            </w:pPr>
            <w:r w:rsidRPr="00760590">
              <w:rPr>
                <w:rFonts w:eastAsia="Times New Roman" w:cs="Arial"/>
                <w:b/>
                <w:bCs/>
                <w:color w:val="FFFFFF"/>
                <w:sz w:val="20"/>
              </w:rPr>
              <w:t>NJ</w:t>
            </w:r>
          </w:p>
        </w:tc>
        <w:tc>
          <w:tcPr>
            <w:tcW w:w="2144" w:type="dxa"/>
            <w:tcBorders>
              <w:top w:val="single" w:sz="4" w:space="0" w:color="9BC2E6"/>
              <w:left w:val="nil"/>
              <w:bottom w:val="single" w:sz="4" w:space="0" w:color="9BC2E6"/>
              <w:right w:val="single" w:sz="4" w:space="0" w:color="9BC2E6"/>
            </w:tcBorders>
            <w:shd w:val="clear" w:color="5B9BD5" w:fill="5B9BD5"/>
            <w:vAlign w:val="bottom"/>
            <w:hideMark/>
          </w:tcPr>
          <w:p w14:paraId="5C8B6D6C" w14:textId="77777777" w:rsidR="00614252" w:rsidRPr="00760590" w:rsidRDefault="00614252" w:rsidP="0098532A">
            <w:pPr>
              <w:spacing w:after="0" w:line="240" w:lineRule="auto"/>
              <w:rPr>
                <w:rFonts w:eastAsia="Times New Roman" w:cs="Arial"/>
                <w:b/>
                <w:bCs/>
                <w:color w:val="FFFFFF"/>
                <w:sz w:val="20"/>
              </w:rPr>
            </w:pPr>
            <w:r w:rsidRPr="00760590">
              <w:rPr>
                <w:rFonts w:eastAsia="Times New Roman" w:cs="Arial"/>
                <w:b/>
                <w:bCs/>
                <w:color w:val="FFFFFF"/>
                <w:sz w:val="20"/>
              </w:rPr>
              <w:t>RI</w:t>
            </w:r>
          </w:p>
        </w:tc>
      </w:tr>
      <w:tr w:rsidR="00614252" w:rsidRPr="00760590" w14:paraId="674C23D5"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33F6F5A1"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DEPENDENTALLOWANCE</w:t>
            </w:r>
          </w:p>
        </w:tc>
        <w:tc>
          <w:tcPr>
            <w:tcW w:w="2144" w:type="dxa"/>
            <w:tcBorders>
              <w:top w:val="single" w:sz="4" w:space="0" w:color="9BC2E6"/>
              <w:left w:val="nil"/>
              <w:bottom w:val="single" w:sz="4" w:space="0" w:color="9BC2E6"/>
              <w:right w:val="nil"/>
            </w:tcBorders>
            <w:shd w:val="clear" w:color="DDEBF7" w:fill="DDEBF7"/>
            <w:vAlign w:val="bottom"/>
            <w:hideMark/>
          </w:tcPr>
          <w:p w14:paraId="2439FB2E"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10</w:t>
            </w:r>
          </w:p>
        </w:tc>
        <w:tc>
          <w:tcPr>
            <w:tcW w:w="2144" w:type="dxa"/>
            <w:tcBorders>
              <w:top w:val="single" w:sz="4" w:space="0" w:color="9BC2E6"/>
              <w:left w:val="nil"/>
              <w:bottom w:val="single" w:sz="4" w:space="0" w:color="9BC2E6"/>
              <w:right w:val="nil"/>
            </w:tcBorders>
            <w:shd w:val="clear" w:color="DDEBF7" w:fill="DDEBF7"/>
            <w:vAlign w:val="bottom"/>
            <w:hideMark/>
          </w:tcPr>
          <w:p w14:paraId="5F65D772"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10</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6107120B"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10</w:t>
            </w:r>
          </w:p>
        </w:tc>
      </w:tr>
      <w:tr w:rsidR="00614252" w:rsidRPr="00760590" w14:paraId="7E0AE8A7"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14:paraId="6F079B89"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ELIGIBILITYRULES</w:t>
            </w:r>
          </w:p>
        </w:tc>
        <w:tc>
          <w:tcPr>
            <w:tcW w:w="2144" w:type="dxa"/>
            <w:tcBorders>
              <w:top w:val="single" w:sz="4" w:space="0" w:color="9BC2E6"/>
              <w:left w:val="nil"/>
              <w:bottom w:val="single" w:sz="4" w:space="0" w:color="9BC2E6"/>
              <w:right w:val="nil"/>
            </w:tcBorders>
            <w:shd w:val="clear" w:color="auto" w:fill="auto"/>
            <w:vAlign w:val="bottom"/>
            <w:hideMark/>
          </w:tcPr>
          <w:p w14:paraId="11E6CBF6"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a_earnings=300</w:t>
            </w:r>
          </w:p>
        </w:tc>
        <w:tc>
          <w:tcPr>
            <w:tcW w:w="2144" w:type="dxa"/>
            <w:tcBorders>
              <w:top w:val="single" w:sz="4" w:space="0" w:color="9BC2E6"/>
              <w:left w:val="nil"/>
              <w:bottom w:val="single" w:sz="4" w:space="0" w:color="9BC2E6"/>
              <w:right w:val="nil"/>
            </w:tcBorders>
            <w:shd w:val="clear" w:color="auto" w:fill="auto"/>
            <w:vAlign w:val="bottom"/>
            <w:hideMark/>
          </w:tcPr>
          <w:p w14:paraId="5E2B5323"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a_earnings=8400</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14:paraId="3F215D73"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a_earnings=3840</w:t>
            </w:r>
          </w:p>
        </w:tc>
      </w:tr>
      <w:tr w:rsidR="00614252" w:rsidRPr="00760590" w14:paraId="5BD31ABD"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038C53BF"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EXTENDLEAVES</w:t>
            </w:r>
          </w:p>
        </w:tc>
        <w:tc>
          <w:tcPr>
            <w:tcW w:w="2144" w:type="dxa"/>
            <w:tcBorders>
              <w:top w:val="single" w:sz="4" w:space="0" w:color="9BC2E6"/>
              <w:left w:val="nil"/>
              <w:bottom w:val="single" w:sz="4" w:space="0" w:color="9BC2E6"/>
              <w:right w:val="nil"/>
            </w:tcBorders>
            <w:shd w:val="clear" w:color="DDEBF7" w:fill="DDEBF7"/>
            <w:vAlign w:val="bottom"/>
            <w:hideMark/>
          </w:tcPr>
          <w:p w14:paraId="39756A47" w14:textId="2F031380" w:rsidR="00614252" w:rsidRPr="00760590" w:rsidRDefault="00126CE8" w:rsidP="0098532A">
            <w:pPr>
              <w:spacing w:after="0" w:line="240" w:lineRule="auto"/>
              <w:rPr>
                <w:rFonts w:eastAsia="Times New Roman" w:cs="Arial"/>
                <w:color w:val="000000"/>
                <w:sz w:val="20"/>
              </w:rPr>
            </w:pPr>
            <w:r w:rsidRPr="00760590">
              <w:rPr>
                <w:rFonts w:eastAsia="Times New Roman" w:cs="Arial"/>
                <w:color w:val="000000"/>
                <w:sz w:val="20"/>
              </w:rPr>
              <w:t>Y</w:t>
            </w:r>
            <w:r w:rsidR="00614252" w:rsidRPr="00760590">
              <w:rPr>
                <w:rFonts w:eastAsia="Times New Roman" w:cs="Arial"/>
                <w:color w:val="000000"/>
                <w:sz w:val="20"/>
              </w:rPr>
              <w:t>es</w:t>
            </w:r>
          </w:p>
        </w:tc>
        <w:tc>
          <w:tcPr>
            <w:tcW w:w="2144" w:type="dxa"/>
            <w:tcBorders>
              <w:top w:val="single" w:sz="4" w:space="0" w:color="9BC2E6"/>
              <w:left w:val="nil"/>
              <w:bottom w:val="single" w:sz="4" w:space="0" w:color="9BC2E6"/>
              <w:right w:val="nil"/>
            </w:tcBorders>
            <w:shd w:val="clear" w:color="DDEBF7" w:fill="DDEBF7"/>
            <w:vAlign w:val="bottom"/>
            <w:hideMark/>
          </w:tcPr>
          <w:p w14:paraId="687AFFDB"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Yes</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51B65B22"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yes</w:t>
            </w:r>
          </w:p>
        </w:tc>
      </w:tr>
      <w:tr w:rsidR="00614252" w:rsidRPr="00760590" w14:paraId="051C0A57"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14:paraId="4CB5BA5F"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GOVERNMENT</w:t>
            </w:r>
          </w:p>
        </w:tc>
        <w:tc>
          <w:tcPr>
            <w:tcW w:w="2144" w:type="dxa"/>
            <w:tcBorders>
              <w:top w:val="single" w:sz="4" w:space="0" w:color="9BC2E6"/>
              <w:left w:val="nil"/>
              <w:bottom w:val="single" w:sz="4" w:space="0" w:color="9BC2E6"/>
              <w:right w:val="nil"/>
            </w:tcBorders>
            <w:shd w:val="clear" w:color="auto" w:fill="auto"/>
            <w:vAlign w:val="bottom"/>
            <w:hideMark/>
          </w:tcPr>
          <w:p w14:paraId="72BBB60F"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No</w:t>
            </w:r>
          </w:p>
        </w:tc>
        <w:tc>
          <w:tcPr>
            <w:tcW w:w="2144" w:type="dxa"/>
            <w:tcBorders>
              <w:top w:val="single" w:sz="4" w:space="0" w:color="9BC2E6"/>
              <w:left w:val="nil"/>
              <w:bottom w:val="single" w:sz="4" w:space="0" w:color="9BC2E6"/>
              <w:right w:val="nil"/>
            </w:tcBorders>
            <w:shd w:val="clear" w:color="auto" w:fill="auto"/>
            <w:vAlign w:val="bottom"/>
            <w:hideMark/>
          </w:tcPr>
          <w:p w14:paraId="26445EB4"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No</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14:paraId="27F1DF9B"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no</w:t>
            </w:r>
          </w:p>
        </w:tc>
      </w:tr>
      <w:tr w:rsidR="00614252" w:rsidRPr="00760590" w14:paraId="3EE57A0E" w14:textId="77777777" w:rsidTr="0098532A">
        <w:trPr>
          <w:trHeight w:val="70"/>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1FC55498"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MAXWEEKS</w:t>
            </w:r>
          </w:p>
        </w:tc>
        <w:tc>
          <w:tcPr>
            <w:tcW w:w="2144" w:type="dxa"/>
            <w:tcBorders>
              <w:top w:val="single" w:sz="4" w:space="0" w:color="9BC2E6"/>
              <w:left w:val="nil"/>
              <w:bottom w:val="single" w:sz="4" w:space="0" w:color="9BC2E6"/>
              <w:right w:val="nil"/>
            </w:tcBorders>
            <w:shd w:val="clear" w:color="DDEBF7" w:fill="DDEBF7"/>
            <w:vAlign w:val="bottom"/>
            <w:hideMark/>
          </w:tcPr>
          <w:p w14:paraId="704B0C67"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OH=52, MD=52, NC=6, IC=6, IS=6, IP=6</w:t>
            </w:r>
          </w:p>
        </w:tc>
        <w:tc>
          <w:tcPr>
            <w:tcW w:w="2144" w:type="dxa"/>
            <w:tcBorders>
              <w:top w:val="single" w:sz="4" w:space="0" w:color="9BC2E6"/>
              <w:left w:val="nil"/>
              <w:bottom w:val="single" w:sz="4" w:space="0" w:color="9BC2E6"/>
              <w:right w:val="nil"/>
            </w:tcBorders>
            <w:shd w:val="clear" w:color="DDEBF7" w:fill="DDEBF7"/>
            <w:vAlign w:val="bottom"/>
            <w:hideMark/>
          </w:tcPr>
          <w:p w14:paraId="0A27CCAC"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OH=26, MD=26, NC=6, IC=6, IS=6, IP=6</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33E3A2B3"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OH=30, MD=30, NC=4, IC=4, IS=4, IP=4</w:t>
            </w:r>
          </w:p>
        </w:tc>
      </w:tr>
      <w:tr w:rsidR="00614252" w:rsidRPr="00760590" w14:paraId="537D0766"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14:paraId="04883A70"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REPLACEMENTRATIO</w:t>
            </w:r>
          </w:p>
        </w:tc>
        <w:tc>
          <w:tcPr>
            <w:tcW w:w="2144" w:type="dxa"/>
            <w:tcBorders>
              <w:top w:val="single" w:sz="4" w:space="0" w:color="9BC2E6"/>
              <w:left w:val="nil"/>
              <w:bottom w:val="single" w:sz="4" w:space="0" w:color="9BC2E6"/>
              <w:right w:val="nil"/>
            </w:tcBorders>
            <w:shd w:val="clear" w:color="auto" w:fill="auto"/>
            <w:vAlign w:val="bottom"/>
            <w:hideMark/>
          </w:tcPr>
          <w:p w14:paraId="79369BDF"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0.55</w:t>
            </w:r>
          </w:p>
        </w:tc>
        <w:tc>
          <w:tcPr>
            <w:tcW w:w="2144" w:type="dxa"/>
            <w:tcBorders>
              <w:top w:val="single" w:sz="4" w:space="0" w:color="9BC2E6"/>
              <w:left w:val="nil"/>
              <w:bottom w:val="single" w:sz="4" w:space="0" w:color="9BC2E6"/>
              <w:right w:val="nil"/>
            </w:tcBorders>
            <w:shd w:val="clear" w:color="auto" w:fill="auto"/>
            <w:vAlign w:val="bottom"/>
            <w:hideMark/>
          </w:tcPr>
          <w:p w14:paraId="3F06BB43"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0.66</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14:paraId="004ADFEC"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0.6</w:t>
            </w:r>
          </w:p>
        </w:tc>
      </w:tr>
      <w:tr w:rsidR="00614252" w:rsidRPr="00760590" w14:paraId="6F2D9CB5"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7E91A367"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STATEOFWORK</w:t>
            </w:r>
          </w:p>
        </w:tc>
        <w:tc>
          <w:tcPr>
            <w:tcW w:w="2144" w:type="dxa"/>
            <w:tcBorders>
              <w:top w:val="single" w:sz="4" w:space="0" w:color="9BC2E6"/>
              <w:left w:val="nil"/>
              <w:bottom w:val="single" w:sz="4" w:space="0" w:color="9BC2E6"/>
              <w:right w:val="nil"/>
            </w:tcBorders>
            <w:shd w:val="clear" w:color="DDEBF7" w:fill="DDEBF7"/>
            <w:vAlign w:val="bottom"/>
            <w:hideMark/>
          </w:tcPr>
          <w:p w14:paraId="34369C5B"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CA</w:t>
            </w:r>
          </w:p>
        </w:tc>
        <w:tc>
          <w:tcPr>
            <w:tcW w:w="2144" w:type="dxa"/>
            <w:tcBorders>
              <w:top w:val="single" w:sz="4" w:space="0" w:color="9BC2E6"/>
              <w:left w:val="nil"/>
              <w:bottom w:val="single" w:sz="4" w:space="0" w:color="9BC2E6"/>
              <w:right w:val="nil"/>
            </w:tcBorders>
            <w:shd w:val="clear" w:color="DDEBF7" w:fill="DDEBF7"/>
            <w:vAlign w:val="bottom"/>
            <w:hideMark/>
          </w:tcPr>
          <w:p w14:paraId="2E19254D"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NJ</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15B8D770"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RI</w:t>
            </w:r>
          </w:p>
        </w:tc>
      </w:tr>
      <w:tr w:rsidR="00614252" w:rsidRPr="00760590" w14:paraId="1BAF15F7" w14:textId="77777777" w:rsidTr="002D0AF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14:paraId="43E1AE5C"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TAKEUPRATES</w:t>
            </w:r>
          </w:p>
        </w:tc>
        <w:tc>
          <w:tcPr>
            <w:tcW w:w="2144" w:type="dxa"/>
            <w:tcBorders>
              <w:top w:val="single" w:sz="4" w:space="0" w:color="9BC2E6"/>
              <w:left w:val="nil"/>
              <w:bottom w:val="single" w:sz="4" w:space="0" w:color="9BC2E6"/>
              <w:right w:val="nil"/>
            </w:tcBorders>
            <w:shd w:val="clear" w:color="auto" w:fill="auto"/>
            <w:vAlign w:val="bottom"/>
          </w:tcPr>
          <w:p w14:paraId="43EADAC2" w14:textId="3AE4217A" w:rsidR="00614252" w:rsidRPr="00760590" w:rsidRDefault="00614252" w:rsidP="0098532A">
            <w:pPr>
              <w:spacing w:after="0" w:line="240" w:lineRule="auto"/>
              <w:rPr>
                <w:rFonts w:eastAsia="Times New Roman" w:cs="Arial"/>
                <w:color w:val="000000"/>
                <w:sz w:val="20"/>
              </w:rPr>
            </w:pPr>
          </w:p>
        </w:tc>
        <w:tc>
          <w:tcPr>
            <w:tcW w:w="2144" w:type="dxa"/>
            <w:tcBorders>
              <w:top w:val="single" w:sz="4" w:space="0" w:color="9BC2E6"/>
              <w:left w:val="nil"/>
              <w:bottom w:val="single" w:sz="4" w:space="0" w:color="9BC2E6"/>
              <w:right w:val="nil"/>
            </w:tcBorders>
            <w:shd w:val="clear" w:color="auto" w:fill="auto"/>
            <w:vAlign w:val="bottom"/>
          </w:tcPr>
          <w:p w14:paraId="23D72E6D" w14:textId="5C40BECA" w:rsidR="00614252" w:rsidRPr="00760590" w:rsidRDefault="00614252" w:rsidP="0098532A">
            <w:pPr>
              <w:spacing w:after="0" w:line="240" w:lineRule="auto"/>
              <w:rPr>
                <w:rFonts w:eastAsia="Times New Roman" w:cs="Arial"/>
                <w:color w:val="000000"/>
                <w:sz w:val="20"/>
              </w:rPr>
            </w:pPr>
          </w:p>
        </w:tc>
        <w:tc>
          <w:tcPr>
            <w:tcW w:w="2144" w:type="dxa"/>
            <w:tcBorders>
              <w:top w:val="single" w:sz="4" w:space="0" w:color="9BC2E6"/>
              <w:left w:val="nil"/>
              <w:bottom w:val="single" w:sz="4" w:space="0" w:color="9BC2E6"/>
              <w:right w:val="single" w:sz="4" w:space="0" w:color="9BC2E6"/>
            </w:tcBorders>
            <w:shd w:val="clear" w:color="auto" w:fill="auto"/>
            <w:vAlign w:val="bottom"/>
          </w:tcPr>
          <w:p w14:paraId="111CDF4C" w14:textId="508D6AA3" w:rsidR="00614252" w:rsidRPr="00760590" w:rsidRDefault="00614252" w:rsidP="0098532A">
            <w:pPr>
              <w:spacing w:after="0" w:line="240" w:lineRule="auto"/>
              <w:rPr>
                <w:rFonts w:eastAsia="Times New Roman" w:cs="Arial"/>
                <w:color w:val="000000"/>
                <w:sz w:val="20"/>
              </w:rPr>
            </w:pPr>
          </w:p>
        </w:tc>
      </w:tr>
      <w:tr w:rsidR="00614252" w:rsidRPr="00760590" w14:paraId="589AE384"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26EA76C7"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WAITINGPERIOD</w:t>
            </w:r>
          </w:p>
        </w:tc>
        <w:tc>
          <w:tcPr>
            <w:tcW w:w="2144" w:type="dxa"/>
            <w:tcBorders>
              <w:top w:val="single" w:sz="4" w:space="0" w:color="9BC2E6"/>
              <w:left w:val="nil"/>
              <w:bottom w:val="single" w:sz="4" w:space="0" w:color="9BC2E6"/>
              <w:right w:val="nil"/>
            </w:tcBorders>
            <w:shd w:val="clear" w:color="DDEBF7" w:fill="DDEBF7"/>
            <w:vAlign w:val="bottom"/>
            <w:hideMark/>
          </w:tcPr>
          <w:p w14:paraId="0BDB862A"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1</w:t>
            </w:r>
          </w:p>
        </w:tc>
        <w:tc>
          <w:tcPr>
            <w:tcW w:w="2144" w:type="dxa"/>
            <w:tcBorders>
              <w:top w:val="single" w:sz="4" w:space="0" w:color="9BC2E6"/>
              <w:left w:val="nil"/>
              <w:bottom w:val="single" w:sz="4" w:space="0" w:color="9BC2E6"/>
              <w:right w:val="nil"/>
            </w:tcBorders>
            <w:shd w:val="clear" w:color="DDEBF7" w:fill="DDEBF7"/>
            <w:vAlign w:val="bottom"/>
            <w:hideMark/>
          </w:tcPr>
          <w:p w14:paraId="7FB6B2E0"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1</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1EF92F5E" w14:textId="77777777" w:rsidR="00614252" w:rsidRPr="00760590" w:rsidRDefault="00614252" w:rsidP="0098532A">
            <w:pPr>
              <w:spacing w:after="0" w:line="240" w:lineRule="auto"/>
              <w:rPr>
                <w:rFonts w:eastAsia="Times New Roman" w:cs="Arial"/>
                <w:color w:val="000000"/>
                <w:sz w:val="20"/>
              </w:rPr>
            </w:pPr>
            <w:r w:rsidRPr="00760590">
              <w:rPr>
                <w:rFonts w:eastAsia="Times New Roman" w:cs="Arial"/>
                <w:color w:val="000000"/>
                <w:sz w:val="20"/>
              </w:rPr>
              <w:t>1</w:t>
            </w:r>
          </w:p>
        </w:tc>
      </w:tr>
    </w:tbl>
    <w:p w14:paraId="49172BE6" w14:textId="77777777" w:rsidR="00614252" w:rsidRPr="00760590" w:rsidRDefault="00614252" w:rsidP="00614252">
      <w:pPr>
        <w:rPr>
          <w:rFonts w:cs="Arial"/>
        </w:rPr>
      </w:pPr>
    </w:p>
    <w:p w14:paraId="18FBF471" w14:textId="13413A86" w:rsidR="00614252" w:rsidRPr="00760590" w:rsidRDefault="00614252" w:rsidP="00614252">
      <w:pPr>
        <w:rPr>
          <w:rFonts w:cs="Arial"/>
          <w:b/>
        </w:rPr>
      </w:pPr>
      <w:r w:rsidRPr="00760590">
        <w:rPr>
          <w:rFonts w:cs="Arial"/>
          <w:b/>
        </w:rPr>
        <w:t xml:space="preserve">IMPAQ </w:t>
      </w:r>
      <w:r w:rsidR="0017525B">
        <w:rPr>
          <w:rFonts w:cs="Arial"/>
          <w:b/>
        </w:rPr>
        <w:t xml:space="preserve">Model </w:t>
      </w:r>
      <w:r w:rsidRPr="00760590">
        <w:rPr>
          <w:rFonts w:cs="Arial"/>
          <w:b/>
        </w:rPr>
        <w:t>Parameters</w:t>
      </w:r>
      <w:r w:rsidR="002D0AFA" w:rsidRPr="00760590">
        <w:rPr>
          <w:rFonts w:cs="Arial"/>
          <w:b/>
        </w:rPr>
        <w:t xml:space="preserve"> Used</w:t>
      </w:r>
    </w:p>
    <w:tbl>
      <w:tblPr>
        <w:tblW w:w="6452" w:type="dxa"/>
        <w:tblLook w:val="04A0" w:firstRow="1" w:lastRow="0" w:firstColumn="1" w:lastColumn="0" w:noHBand="0" w:noVBand="1"/>
      </w:tblPr>
      <w:tblGrid>
        <w:gridCol w:w="2193"/>
        <w:gridCol w:w="1329"/>
        <w:gridCol w:w="1395"/>
        <w:gridCol w:w="1535"/>
      </w:tblGrid>
      <w:tr w:rsidR="00614252" w:rsidRPr="00760590" w14:paraId="525BCB75" w14:textId="77777777" w:rsidTr="00463D42">
        <w:trPr>
          <w:trHeight w:val="244"/>
          <w:tblHeader/>
        </w:trPr>
        <w:tc>
          <w:tcPr>
            <w:tcW w:w="2193" w:type="dxa"/>
            <w:tcBorders>
              <w:top w:val="single" w:sz="4" w:space="0" w:color="9BC2E6"/>
              <w:left w:val="single" w:sz="4" w:space="0" w:color="9BC2E6"/>
              <w:bottom w:val="single" w:sz="4" w:space="0" w:color="9BC2E6"/>
              <w:right w:val="nil"/>
            </w:tcBorders>
            <w:shd w:val="clear" w:color="5B9BD5" w:fill="5B9BD5"/>
            <w:noWrap/>
            <w:vAlign w:val="bottom"/>
            <w:hideMark/>
          </w:tcPr>
          <w:p w14:paraId="14DD5D62" w14:textId="77777777" w:rsidR="00614252" w:rsidRPr="00760590" w:rsidRDefault="00614252" w:rsidP="0098532A">
            <w:pPr>
              <w:spacing w:after="0" w:line="240" w:lineRule="auto"/>
              <w:rPr>
                <w:rFonts w:eastAsia="Times New Roman" w:cs="Arial"/>
                <w:b/>
                <w:bCs/>
                <w:color w:val="FFFFFF"/>
                <w:sz w:val="20"/>
                <w:szCs w:val="20"/>
              </w:rPr>
            </w:pPr>
            <w:r w:rsidRPr="00760590">
              <w:rPr>
                <w:rFonts w:eastAsia="Times New Roman" w:cs="Arial"/>
                <w:b/>
                <w:bCs/>
                <w:color w:val="FFFFFF"/>
                <w:sz w:val="20"/>
                <w:szCs w:val="20"/>
              </w:rPr>
              <w:t>Parameter</w:t>
            </w:r>
          </w:p>
        </w:tc>
        <w:tc>
          <w:tcPr>
            <w:tcW w:w="1329" w:type="dxa"/>
            <w:tcBorders>
              <w:top w:val="single" w:sz="4" w:space="0" w:color="9BC2E6"/>
              <w:left w:val="nil"/>
              <w:bottom w:val="single" w:sz="4" w:space="0" w:color="9BC2E6"/>
              <w:right w:val="nil"/>
            </w:tcBorders>
            <w:shd w:val="clear" w:color="5B9BD5" w:fill="5B9BD5"/>
            <w:noWrap/>
            <w:vAlign w:val="bottom"/>
            <w:hideMark/>
          </w:tcPr>
          <w:p w14:paraId="0B543346" w14:textId="77777777" w:rsidR="00614252" w:rsidRPr="00760590" w:rsidRDefault="00614252" w:rsidP="0098532A">
            <w:pPr>
              <w:spacing w:after="0" w:line="240" w:lineRule="auto"/>
              <w:rPr>
                <w:rFonts w:eastAsia="Times New Roman" w:cs="Arial"/>
                <w:b/>
                <w:bCs/>
                <w:color w:val="FFFFFF"/>
                <w:sz w:val="20"/>
                <w:szCs w:val="20"/>
              </w:rPr>
            </w:pPr>
            <w:r w:rsidRPr="00760590">
              <w:rPr>
                <w:rFonts w:eastAsia="Times New Roman" w:cs="Arial"/>
                <w:b/>
                <w:bCs/>
                <w:color w:val="FFFFFF"/>
                <w:sz w:val="20"/>
                <w:szCs w:val="20"/>
              </w:rPr>
              <w:t>California</w:t>
            </w:r>
          </w:p>
        </w:tc>
        <w:tc>
          <w:tcPr>
            <w:tcW w:w="1395" w:type="dxa"/>
            <w:tcBorders>
              <w:top w:val="single" w:sz="4" w:space="0" w:color="9BC2E6"/>
              <w:left w:val="nil"/>
              <w:bottom w:val="single" w:sz="4" w:space="0" w:color="9BC2E6"/>
              <w:right w:val="nil"/>
            </w:tcBorders>
            <w:shd w:val="clear" w:color="5B9BD5" w:fill="5B9BD5"/>
            <w:noWrap/>
            <w:vAlign w:val="bottom"/>
            <w:hideMark/>
          </w:tcPr>
          <w:p w14:paraId="383FC086" w14:textId="77777777" w:rsidR="00614252" w:rsidRPr="00760590" w:rsidRDefault="00614252" w:rsidP="0098532A">
            <w:pPr>
              <w:spacing w:after="0" w:line="240" w:lineRule="auto"/>
              <w:rPr>
                <w:rFonts w:eastAsia="Times New Roman" w:cs="Arial"/>
                <w:b/>
                <w:bCs/>
                <w:color w:val="FFFFFF"/>
                <w:sz w:val="20"/>
                <w:szCs w:val="20"/>
              </w:rPr>
            </w:pPr>
            <w:r w:rsidRPr="00760590">
              <w:rPr>
                <w:rFonts w:eastAsia="Times New Roman" w:cs="Arial"/>
                <w:b/>
                <w:bCs/>
                <w:color w:val="FFFFFF"/>
                <w:sz w:val="20"/>
                <w:szCs w:val="20"/>
              </w:rPr>
              <w:t>New Jersey</w:t>
            </w:r>
          </w:p>
        </w:tc>
        <w:tc>
          <w:tcPr>
            <w:tcW w:w="1535" w:type="dxa"/>
            <w:tcBorders>
              <w:top w:val="single" w:sz="4" w:space="0" w:color="9BC2E6"/>
              <w:left w:val="nil"/>
              <w:bottom w:val="single" w:sz="4" w:space="0" w:color="9BC2E6"/>
              <w:right w:val="single" w:sz="4" w:space="0" w:color="9BC2E6"/>
            </w:tcBorders>
            <w:shd w:val="clear" w:color="5B9BD5" w:fill="5B9BD5"/>
            <w:noWrap/>
            <w:vAlign w:val="bottom"/>
            <w:hideMark/>
          </w:tcPr>
          <w:p w14:paraId="00C9A216" w14:textId="77777777" w:rsidR="00614252" w:rsidRPr="00760590" w:rsidRDefault="00614252" w:rsidP="0098532A">
            <w:pPr>
              <w:spacing w:after="0" w:line="240" w:lineRule="auto"/>
              <w:rPr>
                <w:rFonts w:eastAsia="Times New Roman" w:cs="Arial"/>
                <w:b/>
                <w:bCs/>
                <w:color w:val="FFFFFF"/>
                <w:sz w:val="20"/>
                <w:szCs w:val="20"/>
              </w:rPr>
            </w:pPr>
            <w:r w:rsidRPr="00760590">
              <w:rPr>
                <w:rFonts w:eastAsia="Times New Roman" w:cs="Arial"/>
                <w:b/>
                <w:bCs/>
                <w:color w:val="FFFFFF"/>
                <w:sz w:val="20"/>
                <w:szCs w:val="20"/>
              </w:rPr>
              <w:t>Rhode Island</w:t>
            </w:r>
          </w:p>
        </w:tc>
      </w:tr>
      <w:tr w:rsidR="00614252" w:rsidRPr="00760590" w14:paraId="6D91789D"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26991A74"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ann_hours</w:t>
            </w:r>
          </w:p>
        </w:tc>
        <w:tc>
          <w:tcPr>
            <w:tcW w:w="1329" w:type="dxa"/>
            <w:tcBorders>
              <w:top w:val="single" w:sz="4" w:space="0" w:color="9BC2E6"/>
              <w:left w:val="nil"/>
              <w:bottom w:val="single" w:sz="4" w:space="0" w:color="9BC2E6"/>
              <w:right w:val="nil"/>
            </w:tcBorders>
            <w:shd w:val="clear" w:color="DDEBF7" w:fill="DDEBF7"/>
            <w:noWrap/>
            <w:vAlign w:val="bottom"/>
            <w:hideMark/>
          </w:tcPr>
          <w:p w14:paraId="5A98960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NULL</w:t>
            </w:r>
          </w:p>
        </w:tc>
        <w:tc>
          <w:tcPr>
            <w:tcW w:w="1395" w:type="dxa"/>
            <w:tcBorders>
              <w:top w:val="single" w:sz="4" w:space="0" w:color="9BC2E6"/>
              <w:left w:val="nil"/>
              <w:bottom w:val="single" w:sz="4" w:space="0" w:color="9BC2E6"/>
              <w:right w:val="nil"/>
            </w:tcBorders>
            <w:shd w:val="clear" w:color="DDEBF7" w:fill="DDEBF7"/>
            <w:noWrap/>
            <w:vAlign w:val="bottom"/>
            <w:hideMark/>
          </w:tcPr>
          <w:p w14:paraId="2ABF713E"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0D6818F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NULL</w:t>
            </w:r>
          </w:p>
        </w:tc>
      </w:tr>
      <w:tr w:rsidR="00614252" w:rsidRPr="00760590" w14:paraId="2D03D464"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00CD1F8B"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bene_effect</w:t>
            </w:r>
          </w:p>
        </w:tc>
        <w:tc>
          <w:tcPr>
            <w:tcW w:w="1329" w:type="dxa"/>
            <w:tcBorders>
              <w:top w:val="single" w:sz="4" w:space="0" w:color="9BC2E6"/>
              <w:left w:val="nil"/>
              <w:bottom w:val="single" w:sz="4" w:space="0" w:color="9BC2E6"/>
              <w:right w:val="nil"/>
            </w:tcBorders>
            <w:shd w:val="clear" w:color="auto" w:fill="auto"/>
            <w:noWrap/>
            <w:vAlign w:val="bottom"/>
            <w:hideMark/>
          </w:tcPr>
          <w:p w14:paraId="583FB863"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tcBorders>
              <w:top w:val="single" w:sz="4" w:space="0" w:color="9BC2E6"/>
              <w:left w:val="nil"/>
              <w:bottom w:val="single" w:sz="4" w:space="0" w:color="9BC2E6"/>
              <w:right w:val="nil"/>
            </w:tcBorders>
            <w:shd w:val="clear" w:color="auto" w:fill="auto"/>
            <w:noWrap/>
            <w:vAlign w:val="bottom"/>
            <w:hideMark/>
          </w:tcPr>
          <w:p w14:paraId="1F91A435"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15535F5"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6E6A7C88"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06F7D8BF"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bene_level</w:t>
            </w:r>
          </w:p>
        </w:tc>
        <w:tc>
          <w:tcPr>
            <w:tcW w:w="1329" w:type="dxa"/>
            <w:tcBorders>
              <w:top w:val="single" w:sz="4" w:space="0" w:color="9BC2E6"/>
              <w:left w:val="nil"/>
              <w:bottom w:val="single" w:sz="4" w:space="0" w:color="9BC2E6"/>
              <w:right w:val="nil"/>
            </w:tcBorders>
            <w:shd w:val="clear" w:color="DDEBF7" w:fill="DDEBF7"/>
            <w:noWrap/>
            <w:vAlign w:val="bottom"/>
            <w:hideMark/>
          </w:tcPr>
          <w:p w14:paraId="6D42D7BF"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0.55</w:t>
            </w:r>
          </w:p>
        </w:tc>
        <w:tc>
          <w:tcPr>
            <w:tcW w:w="1395" w:type="dxa"/>
            <w:tcBorders>
              <w:top w:val="single" w:sz="4" w:space="0" w:color="9BC2E6"/>
              <w:left w:val="nil"/>
              <w:bottom w:val="single" w:sz="4" w:space="0" w:color="9BC2E6"/>
              <w:right w:val="nil"/>
            </w:tcBorders>
            <w:shd w:val="clear" w:color="DDEBF7" w:fill="DDEBF7"/>
            <w:noWrap/>
            <w:vAlign w:val="bottom"/>
            <w:hideMark/>
          </w:tcPr>
          <w:p w14:paraId="385BBBB7"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0.66</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323D22BD"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0.6</w:t>
            </w:r>
          </w:p>
        </w:tc>
      </w:tr>
      <w:tr w:rsidR="00614252" w:rsidRPr="00760590" w14:paraId="21EC0727"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06385F6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bond_uptake</w:t>
            </w:r>
          </w:p>
        </w:tc>
        <w:tc>
          <w:tcPr>
            <w:tcW w:w="1329" w:type="dxa"/>
            <w:tcBorders>
              <w:top w:val="single" w:sz="4" w:space="0" w:color="9BC2E6"/>
              <w:left w:val="nil"/>
              <w:bottom w:val="single" w:sz="4" w:space="0" w:color="9BC2E6"/>
              <w:right w:val="nil"/>
            </w:tcBorders>
            <w:shd w:val="clear" w:color="auto" w:fill="auto"/>
            <w:noWrap/>
            <w:vAlign w:val="bottom"/>
          </w:tcPr>
          <w:p w14:paraId="3BAFA3FE" w14:textId="5F0EAEA6" w:rsidR="00614252" w:rsidRPr="00760590" w:rsidRDefault="00BD0D2F" w:rsidP="0098532A">
            <w:pPr>
              <w:spacing w:after="0" w:line="240" w:lineRule="auto"/>
              <w:rPr>
                <w:rFonts w:eastAsia="Times New Roman" w:cs="Arial"/>
                <w:color w:val="000000"/>
                <w:sz w:val="20"/>
                <w:szCs w:val="20"/>
              </w:rPr>
            </w:pPr>
            <w:r>
              <w:rPr>
                <w:rFonts w:eastAsia="Times New Roman" w:cs="Arial"/>
                <w:color w:val="000000"/>
                <w:sz w:val="20"/>
                <w:szCs w:val="20"/>
              </w:rPr>
              <w:t>.02</w:t>
            </w:r>
          </w:p>
        </w:tc>
        <w:tc>
          <w:tcPr>
            <w:tcW w:w="1395" w:type="dxa"/>
            <w:tcBorders>
              <w:top w:val="single" w:sz="4" w:space="0" w:color="9BC2E6"/>
              <w:left w:val="nil"/>
              <w:bottom w:val="single" w:sz="4" w:space="0" w:color="9BC2E6"/>
              <w:right w:val="nil"/>
            </w:tcBorders>
            <w:shd w:val="clear" w:color="auto" w:fill="auto"/>
            <w:noWrap/>
            <w:vAlign w:val="bottom"/>
          </w:tcPr>
          <w:p w14:paraId="5C331100" w14:textId="1770DE8C" w:rsidR="00614252" w:rsidRPr="00760590" w:rsidRDefault="00BD0D2F" w:rsidP="0098532A">
            <w:pPr>
              <w:spacing w:after="0" w:line="240" w:lineRule="auto"/>
              <w:rPr>
                <w:rFonts w:eastAsia="Times New Roman" w:cs="Arial"/>
                <w:color w:val="000000"/>
                <w:sz w:val="20"/>
                <w:szCs w:val="20"/>
              </w:rPr>
            </w:pPr>
            <w:r>
              <w:rPr>
                <w:rFonts w:eastAsia="Times New Roman" w:cs="Arial"/>
                <w:color w:val="000000"/>
                <w:sz w:val="20"/>
                <w:szCs w:val="20"/>
              </w:rPr>
              <w:t>.01</w:t>
            </w:r>
          </w:p>
        </w:tc>
        <w:tc>
          <w:tcPr>
            <w:tcW w:w="1535" w:type="dxa"/>
            <w:tcBorders>
              <w:top w:val="single" w:sz="4" w:space="0" w:color="9BC2E6"/>
              <w:left w:val="nil"/>
              <w:bottom w:val="single" w:sz="4" w:space="0" w:color="9BC2E6"/>
              <w:right w:val="single" w:sz="4" w:space="0" w:color="9BC2E6"/>
            </w:tcBorders>
            <w:shd w:val="clear" w:color="auto" w:fill="auto"/>
            <w:noWrap/>
            <w:vAlign w:val="bottom"/>
          </w:tcPr>
          <w:p w14:paraId="2E202303" w14:textId="7202C2AE" w:rsidR="00614252" w:rsidRPr="00760590" w:rsidRDefault="00BD0D2F" w:rsidP="0098532A">
            <w:pPr>
              <w:spacing w:after="0" w:line="240" w:lineRule="auto"/>
              <w:rPr>
                <w:rFonts w:eastAsia="Times New Roman" w:cs="Arial"/>
                <w:color w:val="000000"/>
                <w:sz w:val="20"/>
                <w:szCs w:val="20"/>
              </w:rPr>
            </w:pPr>
            <w:r>
              <w:rPr>
                <w:rFonts w:eastAsia="Times New Roman" w:cs="Arial"/>
                <w:color w:val="000000"/>
                <w:sz w:val="20"/>
                <w:szCs w:val="20"/>
              </w:rPr>
              <w:t>.01</w:t>
            </w:r>
          </w:p>
        </w:tc>
      </w:tr>
      <w:tr w:rsidR="00614252" w:rsidRPr="00760590" w14:paraId="5AAF9D51"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76DB2D92"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dependent_allow</w:t>
            </w:r>
          </w:p>
        </w:tc>
        <w:tc>
          <w:tcPr>
            <w:tcW w:w="1329" w:type="dxa"/>
            <w:tcBorders>
              <w:top w:val="single" w:sz="4" w:space="0" w:color="9BC2E6"/>
              <w:left w:val="nil"/>
              <w:bottom w:val="single" w:sz="4" w:space="0" w:color="9BC2E6"/>
              <w:right w:val="nil"/>
            </w:tcBorders>
            <w:shd w:val="clear" w:color="DDEBF7" w:fill="DDEBF7"/>
            <w:noWrap/>
            <w:vAlign w:val="bottom"/>
            <w:hideMark/>
          </w:tcPr>
          <w:p w14:paraId="5170220A"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10</w:t>
            </w:r>
          </w:p>
        </w:tc>
        <w:tc>
          <w:tcPr>
            <w:tcW w:w="1395" w:type="dxa"/>
            <w:tcBorders>
              <w:top w:val="single" w:sz="4" w:space="0" w:color="9BC2E6"/>
              <w:left w:val="nil"/>
              <w:bottom w:val="single" w:sz="4" w:space="0" w:color="9BC2E6"/>
              <w:right w:val="nil"/>
            </w:tcBorders>
            <w:shd w:val="clear" w:color="DDEBF7" w:fill="DDEBF7"/>
            <w:noWrap/>
            <w:vAlign w:val="bottom"/>
            <w:hideMark/>
          </w:tcPr>
          <w:p w14:paraId="55D6B7F7"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10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295C72DF"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10</w:t>
            </w:r>
          </w:p>
        </w:tc>
      </w:tr>
      <w:tr w:rsidR="00614252" w:rsidRPr="00760590" w14:paraId="5B1BC4B7"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1E331122"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dual_receiver</w:t>
            </w:r>
          </w:p>
        </w:tc>
        <w:tc>
          <w:tcPr>
            <w:tcW w:w="1329" w:type="dxa"/>
            <w:tcBorders>
              <w:top w:val="single" w:sz="4" w:space="0" w:color="9BC2E6"/>
              <w:left w:val="nil"/>
              <w:bottom w:val="single" w:sz="4" w:space="0" w:color="9BC2E6"/>
              <w:right w:val="nil"/>
            </w:tcBorders>
            <w:shd w:val="clear" w:color="auto" w:fill="auto"/>
            <w:noWrap/>
            <w:vAlign w:val="bottom"/>
            <w:hideMark/>
          </w:tcPr>
          <w:p w14:paraId="2824FDA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c>
          <w:tcPr>
            <w:tcW w:w="1395" w:type="dxa"/>
            <w:tcBorders>
              <w:top w:val="single" w:sz="4" w:space="0" w:color="9BC2E6"/>
              <w:left w:val="nil"/>
              <w:bottom w:val="single" w:sz="4" w:space="0" w:color="9BC2E6"/>
              <w:right w:val="nil"/>
            </w:tcBorders>
            <w:shd w:val="clear" w:color="auto" w:fill="auto"/>
            <w:noWrap/>
            <w:vAlign w:val="bottom"/>
            <w:hideMark/>
          </w:tcPr>
          <w:p w14:paraId="2E22A669"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0256E855"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r>
      <w:tr w:rsidR="00614252" w:rsidRPr="00760590" w14:paraId="18AFC311"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3569765"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Earnings</w:t>
            </w:r>
          </w:p>
        </w:tc>
        <w:tc>
          <w:tcPr>
            <w:tcW w:w="1329" w:type="dxa"/>
            <w:tcBorders>
              <w:top w:val="single" w:sz="4" w:space="0" w:color="9BC2E6"/>
              <w:left w:val="nil"/>
              <w:bottom w:val="single" w:sz="4" w:space="0" w:color="9BC2E6"/>
              <w:right w:val="nil"/>
            </w:tcBorders>
            <w:shd w:val="clear" w:color="DDEBF7" w:fill="DDEBF7"/>
            <w:noWrap/>
            <w:vAlign w:val="bottom"/>
            <w:hideMark/>
          </w:tcPr>
          <w:p w14:paraId="3BFAD249"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300</w:t>
            </w:r>
          </w:p>
        </w:tc>
        <w:tc>
          <w:tcPr>
            <w:tcW w:w="1395" w:type="dxa"/>
            <w:tcBorders>
              <w:top w:val="single" w:sz="4" w:space="0" w:color="9BC2E6"/>
              <w:left w:val="nil"/>
              <w:bottom w:val="single" w:sz="4" w:space="0" w:color="9BC2E6"/>
              <w:right w:val="nil"/>
            </w:tcBorders>
            <w:shd w:val="clear" w:color="DDEBF7" w:fill="DDEBF7"/>
            <w:noWrap/>
            <w:vAlign w:val="bottom"/>
            <w:hideMark/>
          </w:tcPr>
          <w:p w14:paraId="20621722"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8400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6E1E3A4E"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3840</w:t>
            </w:r>
          </w:p>
        </w:tc>
      </w:tr>
      <w:tr w:rsidR="00614252" w:rsidRPr="00760590" w14:paraId="16C9E9D9"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29DB190D"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ext_base_effect</w:t>
            </w:r>
          </w:p>
        </w:tc>
        <w:tc>
          <w:tcPr>
            <w:tcW w:w="1329" w:type="dxa"/>
            <w:tcBorders>
              <w:top w:val="single" w:sz="4" w:space="0" w:color="9BC2E6"/>
              <w:left w:val="nil"/>
              <w:bottom w:val="single" w:sz="4" w:space="0" w:color="9BC2E6"/>
              <w:right w:val="nil"/>
            </w:tcBorders>
            <w:shd w:val="clear" w:color="auto" w:fill="auto"/>
            <w:noWrap/>
            <w:vAlign w:val="bottom"/>
            <w:hideMark/>
          </w:tcPr>
          <w:p w14:paraId="555CD233"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TRUE</w:t>
            </w:r>
          </w:p>
        </w:tc>
        <w:tc>
          <w:tcPr>
            <w:tcW w:w="1395" w:type="dxa"/>
            <w:tcBorders>
              <w:top w:val="single" w:sz="4" w:space="0" w:color="9BC2E6"/>
              <w:left w:val="nil"/>
              <w:bottom w:val="single" w:sz="4" w:space="0" w:color="9BC2E6"/>
              <w:right w:val="nil"/>
            </w:tcBorders>
            <w:shd w:val="clear" w:color="auto" w:fill="auto"/>
            <w:noWrap/>
            <w:vAlign w:val="bottom"/>
            <w:hideMark/>
          </w:tcPr>
          <w:p w14:paraId="64F8DD7F"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TRUE</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A562B5A"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TRUE</w:t>
            </w:r>
          </w:p>
        </w:tc>
      </w:tr>
      <w:tr w:rsidR="00614252" w:rsidRPr="00760590" w14:paraId="54721B6E"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B1CEE9D"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extend_days</w:t>
            </w:r>
          </w:p>
        </w:tc>
        <w:tc>
          <w:tcPr>
            <w:tcW w:w="1329" w:type="dxa"/>
            <w:tcBorders>
              <w:top w:val="single" w:sz="4" w:space="0" w:color="9BC2E6"/>
              <w:left w:val="nil"/>
              <w:bottom w:val="single" w:sz="4" w:space="0" w:color="9BC2E6"/>
              <w:right w:val="nil"/>
            </w:tcBorders>
            <w:shd w:val="clear" w:color="DDEBF7" w:fill="DDEBF7"/>
            <w:noWrap/>
            <w:vAlign w:val="bottom"/>
            <w:hideMark/>
          </w:tcPr>
          <w:p w14:paraId="7FFAF37E"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c>
          <w:tcPr>
            <w:tcW w:w="1395" w:type="dxa"/>
            <w:tcBorders>
              <w:top w:val="single" w:sz="4" w:space="0" w:color="9BC2E6"/>
              <w:left w:val="nil"/>
              <w:bottom w:val="single" w:sz="4" w:space="0" w:color="9BC2E6"/>
              <w:right w:val="nil"/>
            </w:tcBorders>
            <w:shd w:val="clear" w:color="DDEBF7" w:fill="DDEBF7"/>
            <w:noWrap/>
            <w:vAlign w:val="bottom"/>
            <w:hideMark/>
          </w:tcPr>
          <w:p w14:paraId="595C2FA5"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409CA4FC"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r>
      <w:tr w:rsidR="00614252" w:rsidRPr="00760590" w14:paraId="3E97E513"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38933A88"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extend_prob</w:t>
            </w:r>
          </w:p>
        </w:tc>
        <w:tc>
          <w:tcPr>
            <w:tcW w:w="1329" w:type="dxa"/>
            <w:tcBorders>
              <w:top w:val="single" w:sz="4" w:space="0" w:color="9BC2E6"/>
              <w:left w:val="nil"/>
              <w:bottom w:val="single" w:sz="4" w:space="0" w:color="9BC2E6"/>
              <w:right w:val="nil"/>
            </w:tcBorders>
            <w:shd w:val="clear" w:color="auto" w:fill="auto"/>
            <w:noWrap/>
            <w:vAlign w:val="bottom"/>
            <w:hideMark/>
          </w:tcPr>
          <w:p w14:paraId="033938A5"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c>
          <w:tcPr>
            <w:tcW w:w="1395" w:type="dxa"/>
            <w:tcBorders>
              <w:top w:val="single" w:sz="4" w:space="0" w:color="9BC2E6"/>
              <w:left w:val="nil"/>
              <w:bottom w:val="single" w:sz="4" w:space="0" w:color="9BC2E6"/>
              <w:right w:val="nil"/>
            </w:tcBorders>
            <w:shd w:val="clear" w:color="auto" w:fill="auto"/>
            <w:noWrap/>
            <w:vAlign w:val="bottom"/>
            <w:hideMark/>
          </w:tcPr>
          <w:p w14:paraId="453EBF2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1336F669"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r>
      <w:tr w:rsidR="00614252" w:rsidRPr="00760590" w14:paraId="70FFE2EB"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643BD5F4"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extend_prop</w:t>
            </w:r>
          </w:p>
        </w:tc>
        <w:tc>
          <w:tcPr>
            <w:tcW w:w="1329" w:type="dxa"/>
            <w:tcBorders>
              <w:top w:val="single" w:sz="4" w:space="0" w:color="9BC2E6"/>
              <w:left w:val="nil"/>
              <w:bottom w:val="single" w:sz="4" w:space="0" w:color="9BC2E6"/>
              <w:right w:val="nil"/>
            </w:tcBorders>
            <w:shd w:val="clear" w:color="DDEBF7" w:fill="DDEBF7"/>
            <w:noWrap/>
            <w:vAlign w:val="bottom"/>
            <w:hideMark/>
          </w:tcPr>
          <w:p w14:paraId="668BD97D"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c>
          <w:tcPr>
            <w:tcW w:w="1395" w:type="dxa"/>
            <w:tcBorders>
              <w:top w:val="single" w:sz="4" w:space="0" w:color="9BC2E6"/>
              <w:left w:val="nil"/>
              <w:bottom w:val="single" w:sz="4" w:space="0" w:color="9BC2E6"/>
              <w:right w:val="nil"/>
            </w:tcBorders>
            <w:shd w:val="clear" w:color="DDEBF7" w:fill="DDEBF7"/>
            <w:noWrap/>
            <w:vAlign w:val="bottom"/>
            <w:hideMark/>
          </w:tcPr>
          <w:p w14:paraId="1E23872D"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5405790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r>
      <w:tr w:rsidR="00614252" w:rsidRPr="00760590" w14:paraId="54DD0161"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23B13D1F"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fmla_protect</w:t>
            </w:r>
          </w:p>
        </w:tc>
        <w:tc>
          <w:tcPr>
            <w:tcW w:w="1329" w:type="dxa"/>
            <w:tcBorders>
              <w:top w:val="single" w:sz="4" w:space="0" w:color="9BC2E6"/>
              <w:left w:val="nil"/>
              <w:bottom w:val="single" w:sz="4" w:space="0" w:color="9BC2E6"/>
              <w:right w:val="nil"/>
            </w:tcBorders>
            <w:shd w:val="clear" w:color="auto" w:fill="auto"/>
            <w:noWrap/>
            <w:vAlign w:val="bottom"/>
            <w:hideMark/>
          </w:tcPr>
          <w:p w14:paraId="61828987"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tcBorders>
              <w:top w:val="single" w:sz="4" w:space="0" w:color="9BC2E6"/>
              <w:left w:val="nil"/>
              <w:bottom w:val="single" w:sz="4" w:space="0" w:color="9BC2E6"/>
              <w:right w:val="nil"/>
            </w:tcBorders>
            <w:shd w:val="clear" w:color="auto" w:fill="auto"/>
            <w:noWrap/>
            <w:vAlign w:val="bottom"/>
            <w:hideMark/>
          </w:tcPr>
          <w:p w14:paraId="67E2F3E1"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08B2F7E7"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42082F43"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3D8AC36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full_particip_needer</w:t>
            </w:r>
          </w:p>
        </w:tc>
        <w:tc>
          <w:tcPr>
            <w:tcW w:w="1329" w:type="dxa"/>
            <w:tcBorders>
              <w:top w:val="single" w:sz="4" w:space="0" w:color="9BC2E6"/>
              <w:left w:val="nil"/>
              <w:bottom w:val="single" w:sz="4" w:space="0" w:color="9BC2E6"/>
              <w:right w:val="nil"/>
            </w:tcBorders>
            <w:shd w:val="clear" w:color="DDEBF7" w:fill="DDEBF7"/>
            <w:noWrap/>
            <w:vAlign w:val="bottom"/>
            <w:hideMark/>
          </w:tcPr>
          <w:p w14:paraId="0F760B4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tcBorders>
              <w:top w:val="single" w:sz="4" w:space="0" w:color="9BC2E6"/>
              <w:left w:val="nil"/>
              <w:bottom w:val="single" w:sz="4" w:space="0" w:color="9BC2E6"/>
              <w:right w:val="nil"/>
            </w:tcBorders>
            <w:shd w:val="clear" w:color="DDEBF7" w:fill="DDEBF7"/>
            <w:noWrap/>
            <w:vAlign w:val="bottom"/>
            <w:hideMark/>
          </w:tcPr>
          <w:p w14:paraId="3E9A53C4"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418C64EA"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0A8D235D"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4F09F767"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GOVERNMENT</w:t>
            </w:r>
          </w:p>
        </w:tc>
        <w:tc>
          <w:tcPr>
            <w:tcW w:w="1329" w:type="dxa"/>
            <w:tcBorders>
              <w:top w:val="single" w:sz="4" w:space="0" w:color="9BC2E6"/>
              <w:left w:val="nil"/>
              <w:bottom w:val="single" w:sz="4" w:space="0" w:color="9BC2E6"/>
              <w:right w:val="nil"/>
            </w:tcBorders>
            <w:shd w:val="clear" w:color="auto" w:fill="auto"/>
            <w:noWrap/>
            <w:vAlign w:val="bottom"/>
            <w:hideMark/>
          </w:tcPr>
          <w:p w14:paraId="4C6510FF"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tcBorders>
              <w:top w:val="single" w:sz="4" w:space="0" w:color="9BC2E6"/>
              <w:left w:val="nil"/>
              <w:bottom w:val="single" w:sz="4" w:space="0" w:color="9BC2E6"/>
              <w:right w:val="nil"/>
            </w:tcBorders>
            <w:shd w:val="clear" w:color="auto" w:fill="auto"/>
            <w:noWrap/>
            <w:vAlign w:val="bottom"/>
            <w:hideMark/>
          </w:tcPr>
          <w:p w14:paraId="5C49D3A9"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1749F01C"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5BCCC707"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63925B4F"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lastRenderedPageBreak/>
              <w:t>illchild_uptake</w:t>
            </w:r>
          </w:p>
        </w:tc>
        <w:tc>
          <w:tcPr>
            <w:tcW w:w="1329" w:type="dxa"/>
            <w:tcBorders>
              <w:top w:val="single" w:sz="4" w:space="0" w:color="9BC2E6"/>
              <w:left w:val="nil"/>
              <w:bottom w:val="single" w:sz="4" w:space="0" w:color="9BC2E6"/>
              <w:right w:val="nil"/>
            </w:tcBorders>
            <w:shd w:val="clear" w:color="DDEBF7" w:fill="DDEBF7"/>
            <w:noWrap/>
            <w:vAlign w:val="bottom"/>
          </w:tcPr>
          <w:p w14:paraId="00C5CC35" w14:textId="1F016157" w:rsidR="00614252" w:rsidRPr="00760590" w:rsidRDefault="00BD0D2F" w:rsidP="0098532A">
            <w:pPr>
              <w:spacing w:after="0" w:line="240" w:lineRule="auto"/>
              <w:rPr>
                <w:rFonts w:eastAsia="Times New Roman" w:cs="Arial"/>
                <w:color w:val="000000"/>
                <w:sz w:val="20"/>
                <w:szCs w:val="20"/>
              </w:rPr>
            </w:pPr>
            <w:r>
              <w:rPr>
                <w:rFonts w:eastAsia="Times New Roman" w:cs="Arial"/>
                <w:color w:val="000000"/>
                <w:sz w:val="20"/>
                <w:szCs w:val="20"/>
              </w:rPr>
              <w:t>.01</w:t>
            </w:r>
          </w:p>
        </w:tc>
        <w:tc>
          <w:tcPr>
            <w:tcW w:w="1395" w:type="dxa"/>
            <w:tcBorders>
              <w:top w:val="single" w:sz="4" w:space="0" w:color="9BC2E6"/>
              <w:left w:val="nil"/>
              <w:bottom w:val="single" w:sz="4" w:space="0" w:color="9BC2E6"/>
              <w:right w:val="nil"/>
            </w:tcBorders>
            <w:shd w:val="clear" w:color="DDEBF7" w:fill="DDEBF7"/>
            <w:noWrap/>
            <w:vAlign w:val="bottom"/>
          </w:tcPr>
          <w:p w14:paraId="3F37ACF3" w14:textId="09EA0648" w:rsidR="00614252" w:rsidRPr="00760590" w:rsidRDefault="00B47F52" w:rsidP="0098532A">
            <w:pPr>
              <w:spacing w:after="0" w:line="240" w:lineRule="auto"/>
              <w:rPr>
                <w:rFonts w:eastAsia="Times New Roman" w:cs="Arial"/>
                <w:color w:val="000000"/>
                <w:sz w:val="20"/>
                <w:szCs w:val="20"/>
              </w:rPr>
            </w:pPr>
            <w:r>
              <w:rPr>
                <w:rFonts w:eastAsia="Times New Roman" w:cs="Arial"/>
                <w:color w:val="000000"/>
                <w:sz w:val="20"/>
                <w:szCs w:val="20"/>
              </w:rPr>
              <w:t>.001</w:t>
            </w:r>
          </w:p>
        </w:tc>
        <w:tc>
          <w:tcPr>
            <w:tcW w:w="1535" w:type="dxa"/>
            <w:tcBorders>
              <w:top w:val="single" w:sz="4" w:space="0" w:color="9BC2E6"/>
              <w:left w:val="nil"/>
              <w:bottom w:val="single" w:sz="4" w:space="0" w:color="9BC2E6"/>
              <w:right w:val="single" w:sz="4" w:space="0" w:color="9BC2E6"/>
            </w:tcBorders>
            <w:shd w:val="clear" w:color="DDEBF7" w:fill="DDEBF7"/>
            <w:noWrap/>
            <w:vAlign w:val="bottom"/>
          </w:tcPr>
          <w:p w14:paraId="55F2B9BF" w14:textId="3105D810" w:rsidR="00614252" w:rsidRPr="00760590" w:rsidRDefault="00BD0D2F" w:rsidP="0098532A">
            <w:pPr>
              <w:spacing w:after="0" w:line="240" w:lineRule="auto"/>
              <w:rPr>
                <w:rFonts w:eastAsia="Times New Roman" w:cs="Arial"/>
                <w:color w:val="000000"/>
                <w:sz w:val="20"/>
                <w:szCs w:val="20"/>
              </w:rPr>
            </w:pPr>
            <w:r>
              <w:rPr>
                <w:rFonts w:eastAsia="Times New Roman" w:cs="Arial"/>
                <w:color w:val="000000"/>
                <w:sz w:val="20"/>
                <w:szCs w:val="20"/>
              </w:rPr>
              <w:t>.001</w:t>
            </w:r>
          </w:p>
        </w:tc>
      </w:tr>
      <w:tr w:rsidR="00614252" w:rsidRPr="00760590" w14:paraId="6B705ABB"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59FC2DEF"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illparent_uptake</w:t>
            </w:r>
          </w:p>
        </w:tc>
        <w:tc>
          <w:tcPr>
            <w:tcW w:w="1329" w:type="dxa"/>
            <w:tcBorders>
              <w:top w:val="single" w:sz="4" w:space="0" w:color="9BC2E6"/>
              <w:left w:val="nil"/>
              <w:bottom w:val="single" w:sz="4" w:space="0" w:color="9BC2E6"/>
              <w:right w:val="nil"/>
            </w:tcBorders>
            <w:shd w:val="clear" w:color="auto" w:fill="auto"/>
            <w:noWrap/>
            <w:vAlign w:val="bottom"/>
          </w:tcPr>
          <w:p w14:paraId="3A7B1439" w14:textId="53DAD1A1" w:rsidR="00614252" w:rsidRPr="00760590" w:rsidRDefault="00B47F52" w:rsidP="0098532A">
            <w:pPr>
              <w:spacing w:after="0" w:line="240" w:lineRule="auto"/>
              <w:rPr>
                <w:rFonts w:eastAsia="Times New Roman" w:cs="Arial"/>
                <w:color w:val="000000"/>
                <w:sz w:val="20"/>
                <w:szCs w:val="20"/>
              </w:rPr>
            </w:pPr>
            <w:r>
              <w:rPr>
                <w:rFonts w:eastAsia="Times New Roman" w:cs="Arial"/>
                <w:color w:val="000000"/>
                <w:sz w:val="20"/>
                <w:szCs w:val="20"/>
              </w:rPr>
              <w:t>.01</w:t>
            </w:r>
          </w:p>
        </w:tc>
        <w:tc>
          <w:tcPr>
            <w:tcW w:w="1395" w:type="dxa"/>
            <w:tcBorders>
              <w:top w:val="single" w:sz="4" w:space="0" w:color="9BC2E6"/>
              <w:left w:val="nil"/>
              <w:bottom w:val="single" w:sz="4" w:space="0" w:color="9BC2E6"/>
              <w:right w:val="nil"/>
            </w:tcBorders>
            <w:shd w:val="clear" w:color="auto" w:fill="auto"/>
            <w:noWrap/>
            <w:vAlign w:val="bottom"/>
          </w:tcPr>
          <w:p w14:paraId="1EC3A5DA" w14:textId="154E7889" w:rsidR="00614252" w:rsidRPr="00760590" w:rsidRDefault="00B47F52" w:rsidP="0098532A">
            <w:pPr>
              <w:spacing w:after="0" w:line="240" w:lineRule="auto"/>
              <w:rPr>
                <w:rFonts w:eastAsia="Times New Roman" w:cs="Arial"/>
                <w:color w:val="000000"/>
                <w:sz w:val="20"/>
                <w:szCs w:val="20"/>
              </w:rPr>
            </w:pPr>
            <w:r>
              <w:rPr>
                <w:rFonts w:eastAsia="Times New Roman" w:cs="Arial"/>
                <w:color w:val="000000"/>
                <w:sz w:val="20"/>
                <w:szCs w:val="20"/>
              </w:rPr>
              <w:t>.001</w:t>
            </w:r>
          </w:p>
        </w:tc>
        <w:tc>
          <w:tcPr>
            <w:tcW w:w="1535" w:type="dxa"/>
            <w:tcBorders>
              <w:top w:val="single" w:sz="4" w:space="0" w:color="9BC2E6"/>
              <w:left w:val="nil"/>
              <w:bottom w:val="single" w:sz="4" w:space="0" w:color="9BC2E6"/>
              <w:right w:val="single" w:sz="4" w:space="0" w:color="9BC2E6"/>
            </w:tcBorders>
            <w:shd w:val="clear" w:color="auto" w:fill="auto"/>
            <w:noWrap/>
            <w:vAlign w:val="bottom"/>
          </w:tcPr>
          <w:p w14:paraId="52BE5930" w14:textId="0BD52168" w:rsidR="00614252" w:rsidRPr="00760590" w:rsidRDefault="00BD0D2F" w:rsidP="0098532A">
            <w:pPr>
              <w:spacing w:after="0" w:line="240" w:lineRule="auto"/>
              <w:rPr>
                <w:rFonts w:eastAsia="Times New Roman" w:cs="Arial"/>
                <w:color w:val="000000"/>
                <w:sz w:val="20"/>
                <w:szCs w:val="20"/>
              </w:rPr>
            </w:pPr>
            <w:r>
              <w:rPr>
                <w:rFonts w:eastAsia="Times New Roman" w:cs="Arial"/>
                <w:color w:val="000000"/>
                <w:sz w:val="20"/>
                <w:szCs w:val="20"/>
              </w:rPr>
              <w:t>.001</w:t>
            </w:r>
          </w:p>
        </w:tc>
      </w:tr>
      <w:tr w:rsidR="00614252" w:rsidRPr="00760590" w14:paraId="64D1A379"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0559F09"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illspouse_uptake</w:t>
            </w:r>
          </w:p>
        </w:tc>
        <w:tc>
          <w:tcPr>
            <w:tcW w:w="1329" w:type="dxa"/>
            <w:tcBorders>
              <w:top w:val="single" w:sz="4" w:space="0" w:color="9BC2E6"/>
              <w:left w:val="nil"/>
              <w:bottom w:val="single" w:sz="4" w:space="0" w:color="9BC2E6"/>
              <w:right w:val="nil"/>
            </w:tcBorders>
            <w:shd w:val="clear" w:color="DDEBF7" w:fill="DDEBF7"/>
            <w:noWrap/>
            <w:vAlign w:val="bottom"/>
          </w:tcPr>
          <w:p w14:paraId="7FC2F3B5" w14:textId="34E731D4" w:rsidR="00614252" w:rsidRPr="00760590" w:rsidRDefault="00B47F52" w:rsidP="0098532A">
            <w:pPr>
              <w:spacing w:after="0" w:line="240" w:lineRule="auto"/>
              <w:rPr>
                <w:rFonts w:eastAsia="Times New Roman" w:cs="Arial"/>
                <w:color w:val="000000"/>
                <w:sz w:val="20"/>
                <w:szCs w:val="20"/>
              </w:rPr>
            </w:pPr>
            <w:r>
              <w:rPr>
                <w:rFonts w:eastAsia="Times New Roman" w:cs="Arial"/>
                <w:color w:val="000000"/>
                <w:sz w:val="20"/>
                <w:szCs w:val="20"/>
              </w:rPr>
              <w:t>.01</w:t>
            </w:r>
          </w:p>
        </w:tc>
        <w:tc>
          <w:tcPr>
            <w:tcW w:w="1395" w:type="dxa"/>
            <w:tcBorders>
              <w:top w:val="single" w:sz="4" w:space="0" w:color="9BC2E6"/>
              <w:left w:val="nil"/>
              <w:bottom w:val="single" w:sz="4" w:space="0" w:color="9BC2E6"/>
              <w:right w:val="nil"/>
            </w:tcBorders>
            <w:shd w:val="clear" w:color="DDEBF7" w:fill="DDEBF7"/>
            <w:noWrap/>
            <w:vAlign w:val="bottom"/>
          </w:tcPr>
          <w:p w14:paraId="750C65FB" w14:textId="6F40F245" w:rsidR="00614252" w:rsidRPr="00760590" w:rsidRDefault="00B47F52" w:rsidP="0098532A">
            <w:pPr>
              <w:spacing w:after="0" w:line="240" w:lineRule="auto"/>
              <w:rPr>
                <w:rFonts w:eastAsia="Times New Roman" w:cs="Arial"/>
                <w:color w:val="000000"/>
                <w:sz w:val="20"/>
                <w:szCs w:val="20"/>
              </w:rPr>
            </w:pPr>
            <w:r>
              <w:rPr>
                <w:rFonts w:eastAsia="Times New Roman" w:cs="Arial"/>
                <w:color w:val="000000"/>
                <w:sz w:val="20"/>
                <w:szCs w:val="20"/>
              </w:rPr>
              <w:t>.001</w:t>
            </w:r>
          </w:p>
        </w:tc>
        <w:tc>
          <w:tcPr>
            <w:tcW w:w="1535" w:type="dxa"/>
            <w:tcBorders>
              <w:top w:val="single" w:sz="4" w:space="0" w:color="9BC2E6"/>
              <w:left w:val="nil"/>
              <w:bottom w:val="single" w:sz="4" w:space="0" w:color="9BC2E6"/>
              <w:right w:val="single" w:sz="4" w:space="0" w:color="9BC2E6"/>
            </w:tcBorders>
            <w:shd w:val="clear" w:color="DDEBF7" w:fill="DDEBF7"/>
            <w:noWrap/>
            <w:vAlign w:val="bottom"/>
          </w:tcPr>
          <w:p w14:paraId="77B13881" w14:textId="49BC101E" w:rsidR="00614252" w:rsidRPr="00760590" w:rsidRDefault="00B47F52" w:rsidP="00BD0D2F">
            <w:pPr>
              <w:spacing w:after="0" w:line="240" w:lineRule="auto"/>
              <w:rPr>
                <w:rFonts w:eastAsia="Times New Roman" w:cs="Arial"/>
                <w:color w:val="000000"/>
                <w:sz w:val="20"/>
                <w:szCs w:val="20"/>
              </w:rPr>
            </w:pPr>
            <w:r>
              <w:rPr>
                <w:rFonts w:eastAsia="Times New Roman" w:cs="Arial"/>
                <w:color w:val="000000"/>
                <w:sz w:val="20"/>
                <w:szCs w:val="20"/>
              </w:rPr>
              <w:t>.00</w:t>
            </w:r>
            <w:r w:rsidR="00BD0D2F">
              <w:rPr>
                <w:rFonts w:eastAsia="Times New Roman" w:cs="Arial"/>
                <w:color w:val="000000"/>
                <w:sz w:val="20"/>
                <w:szCs w:val="20"/>
              </w:rPr>
              <w:t>2</w:t>
            </w:r>
          </w:p>
        </w:tc>
      </w:tr>
      <w:tr w:rsidR="00E47925" w:rsidRPr="00760590" w14:paraId="749F0D16" w14:textId="77777777" w:rsidTr="00AA0C18">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5979477A" w14:textId="77777777" w:rsidR="00E47925" w:rsidRPr="00760590" w:rsidRDefault="00E47925" w:rsidP="00E47925">
            <w:pPr>
              <w:spacing w:after="0" w:line="240" w:lineRule="auto"/>
              <w:rPr>
                <w:rFonts w:eastAsia="Times New Roman" w:cs="Arial"/>
                <w:color w:val="000000"/>
                <w:sz w:val="20"/>
                <w:szCs w:val="20"/>
              </w:rPr>
            </w:pPr>
            <w:r w:rsidRPr="00760590">
              <w:rPr>
                <w:rFonts w:eastAsia="Times New Roman" w:cs="Arial"/>
                <w:color w:val="000000"/>
                <w:sz w:val="20"/>
                <w:szCs w:val="20"/>
              </w:rPr>
              <w:t>impute_method</w:t>
            </w:r>
          </w:p>
        </w:tc>
        <w:tc>
          <w:tcPr>
            <w:tcW w:w="1329" w:type="dxa"/>
            <w:tcBorders>
              <w:top w:val="single" w:sz="4" w:space="0" w:color="9BC2E6"/>
              <w:left w:val="nil"/>
              <w:bottom w:val="single" w:sz="4" w:space="0" w:color="9BC2E6"/>
              <w:right w:val="nil"/>
            </w:tcBorders>
            <w:shd w:val="clear" w:color="auto" w:fill="auto"/>
            <w:noWrap/>
            <w:hideMark/>
          </w:tcPr>
          <w:p w14:paraId="1CB7EA17" w14:textId="390952FA" w:rsidR="00E47925" w:rsidRPr="00760590" w:rsidRDefault="00E47925" w:rsidP="00E47925">
            <w:pPr>
              <w:spacing w:after="0" w:line="240" w:lineRule="auto"/>
              <w:rPr>
                <w:rFonts w:eastAsia="Times New Roman" w:cs="Arial"/>
                <w:color w:val="000000"/>
                <w:sz w:val="20"/>
                <w:szCs w:val="20"/>
              </w:rPr>
            </w:pPr>
            <w:r w:rsidRPr="00ED2A92">
              <w:rPr>
                <w:rFonts w:eastAsia="Times New Roman" w:cs="Arial"/>
                <w:color w:val="000000"/>
                <w:sz w:val="20"/>
                <w:szCs w:val="20"/>
              </w:rPr>
              <w:t>logit</w:t>
            </w:r>
          </w:p>
        </w:tc>
        <w:tc>
          <w:tcPr>
            <w:tcW w:w="1395" w:type="dxa"/>
            <w:tcBorders>
              <w:top w:val="single" w:sz="4" w:space="0" w:color="9BC2E6"/>
              <w:left w:val="nil"/>
              <w:bottom w:val="single" w:sz="4" w:space="0" w:color="9BC2E6"/>
              <w:right w:val="nil"/>
            </w:tcBorders>
            <w:shd w:val="clear" w:color="auto" w:fill="auto"/>
            <w:noWrap/>
            <w:hideMark/>
          </w:tcPr>
          <w:p w14:paraId="569C34DE" w14:textId="4D8FE6E6" w:rsidR="00E47925" w:rsidRPr="00760590" w:rsidRDefault="00E47925" w:rsidP="00E47925">
            <w:pPr>
              <w:spacing w:after="0" w:line="240" w:lineRule="auto"/>
              <w:rPr>
                <w:rFonts w:eastAsia="Times New Roman" w:cs="Arial"/>
                <w:color w:val="000000"/>
                <w:sz w:val="20"/>
                <w:szCs w:val="20"/>
              </w:rPr>
            </w:pPr>
            <w:r w:rsidRPr="00ED2A92">
              <w:rPr>
                <w:rFonts w:eastAsia="Times New Roman" w:cs="Arial"/>
                <w:color w:val="000000"/>
                <w:sz w:val="20"/>
                <w:szCs w:val="20"/>
              </w:rPr>
              <w:t>logit</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41A5118C" w14:textId="77777777" w:rsidR="00E47925" w:rsidRPr="00760590" w:rsidRDefault="00E47925" w:rsidP="00E47925">
            <w:pPr>
              <w:spacing w:after="0" w:line="240" w:lineRule="auto"/>
              <w:rPr>
                <w:rFonts w:eastAsia="Times New Roman" w:cs="Arial"/>
                <w:color w:val="000000"/>
                <w:sz w:val="20"/>
                <w:szCs w:val="20"/>
              </w:rPr>
            </w:pPr>
            <w:r w:rsidRPr="00760590">
              <w:rPr>
                <w:rFonts w:eastAsia="Times New Roman" w:cs="Arial"/>
                <w:color w:val="000000"/>
                <w:sz w:val="20"/>
                <w:szCs w:val="20"/>
              </w:rPr>
              <w:t>logit</w:t>
            </w:r>
          </w:p>
        </w:tc>
      </w:tr>
      <w:tr w:rsidR="00614252" w:rsidRPr="00760590" w14:paraId="37CA55E8"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14C5EE0B"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matdis_uptake</w:t>
            </w:r>
          </w:p>
        </w:tc>
        <w:tc>
          <w:tcPr>
            <w:tcW w:w="1329" w:type="dxa"/>
            <w:tcBorders>
              <w:top w:val="single" w:sz="4" w:space="0" w:color="9BC2E6"/>
              <w:left w:val="nil"/>
              <w:bottom w:val="single" w:sz="4" w:space="0" w:color="9BC2E6"/>
              <w:right w:val="nil"/>
            </w:tcBorders>
            <w:shd w:val="clear" w:color="DDEBF7" w:fill="DDEBF7"/>
            <w:noWrap/>
            <w:vAlign w:val="bottom"/>
          </w:tcPr>
          <w:p w14:paraId="0849E8F4" w14:textId="02A5383C" w:rsidR="00614252" w:rsidRPr="00760590" w:rsidRDefault="00BD0D2F" w:rsidP="0098532A">
            <w:pPr>
              <w:spacing w:after="0" w:line="240" w:lineRule="auto"/>
              <w:rPr>
                <w:rFonts w:eastAsia="Times New Roman" w:cs="Arial"/>
                <w:color w:val="000000"/>
                <w:sz w:val="20"/>
                <w:szCs w:val="20"/>
              </w:rPr>
            </w:pPr>
            <w:r>
              <w:rPr>
                <w:rFonts w:eastAsia="Times New Roman" w:cs="Arial"/>
                <w:color w:val="000000"/>
                <w:sz w:val="20"/>
                <w:szCs w:val="20"/>
              </w:rPr>
              <w:t>.0</w:t>
            </w:r>
            <w:r w:rsidR="00B47F52">
              <w:rPr>
                <w:rFonts w:eastAsia="Times New Roman" w:cs="Arial"/>
                <w:color w:val="000000"/>
                <w:sz w:val="20"/>
                <w:szCs w:val="20"/>
              </w:rPr>
              <w:t>2</w:t>
            </w:r>
          </w:p>
        </w:tc>
        <w:tc>
          <w:tcPr>
            <w:tcW w:w="1395" w:type="dxa"/>
            <w:tcBorders>
              <w:top w:val="single" w:sz="4" w:space="0" w:color="9BC2E6"/>
              <w:left w:val="nil"/>
              <w:bottom w:val="single" w:sz="4" w:space="0" w:color="9BC2E6"/>
              <w:right w:val="nil"/>
            </w:tcBorders>
            <w:shd w:val="clear" w:color="DDEBF7" w:fill="DDEBF7"/>
            <w:noWrap/>
            <w:vAlign w:val="bottom"/>
          </w:tcPr>
          <w:p w14:paraId="167A7AA9" w14:textId="4A7842B3" w:rsidR="00614252" w:rsidRPr="00760590" w:rsidRDefault="00BD0D2F" w:rsidP="0098532A">
            <w:pPr>
              <w:spacing w:after="0" w:line="240" w:lineRule="auto"/>
              <w:rPr>
                <w:rFonts w:eastAsia="Times New Roman" w:cs="Arial"/>
                <w:color w:val="000000"/>
                <w:sz w:val="20"/>
                <w:szCs w:val="20"/>
              </w:rPr>
            </w:pPr>
            <w:r>
              <w:rPr>
                <w:rFonts w:eastAsia="Times New Roman" w:cs="Arial"/>
                <w:color w:val="000000"/>
                <w:sz w:val="20"/>
                <w:szCs w:val="20"/>
              </w:rPr>
              <w:t>.01</w:t>
            </w:r>
          </w:p>
        </w:tc>
        <w:tc>
          <w:tcPr>
            <w:tcW w:w="1535" w:type="dxa"/>
            <w:tcBorders>
              <w:top w:val="single" w:sz="4" w:space="0" w:color="9BC2E6"/>
              <w:left w:val="nil"/>
              <w:bottom w:val="single" w:sz="4" w:space="0" w:color="9BC2E6"/>
              <w:right w:val="single" w:sz="4" w:space="0" w:color="9BC2E6"/>
            </w:tcBorders>
            <w:shd w:val="clear" w:color="DDEBF7" w:fill="DDEBF7"/>
            <w:noWrap/>
            <w:vAlign w:val="bottom"/>
          </w:tcPr>
          <w:p w14:paraId="73C06AB3" w14:textId="584DD315" w:rsidR="00614252" w:rsidRPr="00760590" w:rsidRDefault="00B47F52" w:rsidP="0098532A">
            <w:pPr>
              <w:spacing w:after="0" w:line="240" w:lineRule="auto"/>
              <w:rPr>
                <w:rFonts w:eastAsia="Times New Roman" w:cs="Arial"/>
                <w:color w:val="000000"/>
                <w:sz w:val="20"/>
                <w:szCs w:val="20"/>
              </w:rPr>
            </w:pPr>
            <w:r>
              <w:rPr>
                <w:rFonts w:eastAsia="Times New Roman" w:cs="Arial"/>
                <w:color w:val="000000"/>
                <w:sz w:val="20"/>
                <w:szCs w:val="20"/>
              </w:rPr>
              <w:t>.2</w:t>
            </w:r>
          </w:p>
        </w:tc>
      </w:tr>
      <w:tr w:rsidR="00614252" w:rsidRPr="00760590" w14:paraId="0EF68AC9"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684E68F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maxlen_bond</w:t>
            </w:r>
          </w:p>
        </w:tc>
        <w:tc>
          <w:tcPr>
            <w:tcW w:w="1329" w:type="dxa"/>
            <w:tcBorders>
              <w:top w:val="single" w:sz="4" w:space="0" w:color="9BC2E6"/>
              <w:left w:val="nil"/>
              <w:bottom w:val="single" w:sz="4" w:space="0" w:color="9BC2E6"/>
              <w:right w:val="nil"/>
            </w:tcBorders>
            <w:shd w:val="clear" w:color="auto" w:fill="auto"/>
            <w:noWrap/>
            <w:vAlign w:val="bottom"/>
            <w:hideMark/>
          </w:tcPr>
          <w:p w14:paraId="231CC037"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30</w:t>
            </w:r>
          </w:p>
        </w:tc>
        <w:tc>
          <w:tcPr>
            <w:tcW w:w="1395" w:type="dxa"/>
            <w:tcBorders>
              <w:top w:val="single" w:sz="4" w:space="0" w:color="9BC2E6"/>
              <w:left w:val="nil"/>
              <w:bottom w:val="single" w:sz="4" w:space="0" w:color="9BC2E6"/>
              <w:right w:val="nil"/>
            </w:tcBorders>
            <w:shd w:val="clear" w:color="auto" w:fill="auto"/>
            <w:noWrap/>
            <w:vAlign w:val="bottom"/>
            <w:hideMark/>
          </w:tcPr>
          <w:p w14:paraId="2106CF94"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1D56333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765D6217"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23370C66"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maxlen_DI</w:t>
            </w:r>
          </w:p>
        </w:tc>
        <w:tc>
          <w:tcPr>
            <w:tcW w:w="1329" w:type="dxa"/>
            <w:tcBorders>
              <w:top w:val="single" w:sz="4" w:space="0" w:color="9BC2E6"/>
              <w:left w:val="nil"/>
              <w:bottom w:val="single" w:sz="4" w:space="0" w:color="9BC2E6"/>
              <w:right w:val="nil"/>
            </w:tcBorders>
            <w:shd w:val="clear" w:color="DDEBF7" w:fill="DDEBF7"/>
            <w:noWrap/>
            <w:vAlign w:val="bottom"/>
            <w:hideMark/>
          </w:tcPr>
          <w:p w14:paraId="11E3748F"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260</w:t>
            </w:r>
          </w:p>
        </w:tc>
        <w:tc>
          <w:tcPr>
            <w:tcW w:w="1395" w:type="dxa"/>
            <w:tcBorders>
              <w:top w:val="single" w:sz="4" w:space="0" w:color="9BC2E6"/>
              <w:left w:val="nil"/>
              <w:bottom w:val="single" w:sz="4" w:space="0" w:color="9BC2E6"/>
              <w:right w:val="nil"/>
            </w:tcBorders>
            <w:shd w:val="clear" w:color="DDEBF7" w:fill="DDEBF7"/>
            <w:noWrap/>
            <w:vAlign w:val="bottom"/>
            <w:hideMark/>
          </w:tcPr>
          <w:p w14:paraId="5DFB3AB5"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0A082AC4"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494AA470"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7788F1BB"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maxlen_illchild</w:t>
            </w:r>
          </w:p>
        </w:tc>
        <w:tc>
          <w:tcPr>
            <w:tcW w:w="1329" w:type="dxa"/>
            <w:tcBorders>
              <w:top w:val="single" w:sz="4" w:space="0" w:color="9BC2E6"/>
              <w:left w:val="nil"/>
              <w:bottom w:val="single" w:sz="4" w:space="0" w:color="9BC2E6"/>
              <w:right w:val="nil"/>
            </w:tcBorders>
            <w:shd w:val="clear" w:color="auto" w:fill="auto"/>
            <w:noWrap/>
            <w:vAlign w:val="bottom"/>
            <w:hideMark/>
          </w:tcPr>
          <w:p w14:paraId="5BAE89FE"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30</w:t>
            </w:r>
          </w:p>
        </w:tc>
        <w:tc>
          <w:tcPr>
            <w:tcW w:w="1395" w:type="dxa"/>
            <w:tcBorders>
              <w:top w:val="single" w:sz="4" w:space="0" w:color="9BC2E6"/>
              <w:left w:val="nil"/>
              <w:bottom w:val="single" w:sz="4" w:space="0" w:color="9BC2E6"/>
              <w:right w:val="nil"/>
            </w:tcBorders>
            <w:shd w:val="clear" w:color="auto" w:fill="auto"/>
            <w:noWrap/>
            <w:vAlign w:val="bottom"/>
            <w:hideMark/>
          </w:tcPr>
          <w:p w14:paraId="51F0C73D"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1D185391"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75EFFF19"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4F933075"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maxlen_illparent</w:t>
            </w:r>
          </w:p>
        </w:tc>
        <w:tc>
          <w:tcPr>
            <w:tcW w:w="1329" w:type="dxa"/>
            <w:tcBorders>
              <w:top w:val="single" w:sz="4" w:space="0" w:color="9BC2E6"/>
              <w:left w:val="nil"/>
              <w:bottom w:val="single" w:sz="4" w:space="0" w:color="9BC2E6"/>
              <w:right w:val="nil"/>
            </w:tcBorders>
            <w:shd w:val="clear" w:color="DDEBF7" w:fill="DDEBF7"/>
            <w:noWrap/>
            <w:vAlign w:val="bottom"/>
            <w:hideMark/>
          </w:tcPr>
          <w:p w14:paraId="5CB6D53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30</w:t>
            </w:r>
          </w:p>
        </w:tc>
        <w:tc>
          <w:tcPr>
            <w:tcW w:w="1395" w:type="dxa"/>
            <w:tcBorders>
              <w:top w:val="single" w:sz="4" w:space="0" w:color="9BC2E6"/>
              <w:left w:val="nil"/>
              <w:bottom w:val="single" w:sz="4" w:space="0" w:color="9BC2E6"/>
              <w:right w:val="nil"/>
            </w:tcBorders>
            <w:shd w:val="clear" w:color="DDEBF7" w:fill="DDEBF7"/>
            <w:noWrap/>
            <w:vAlign w:val="bottom"/>
            <w:hideMark/>
          </w:tcPr>
          <w:p w14:paraId="6D1D86B9"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20C663D1"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33E60D37"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131A487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maxlen_illspouse</w:t>
            </w:r>
          </w:p>
        </w:tc>
        <w:tc>
          <w:tcPr>
            <w:tcW w:w="1329" w:type="dxa"/>
            <w:tcBorders>
              <w:top w:val="single" w:sz="4" w:space="0" w:color="9BC2E6"/>
              <w:left w:val="nil"/>
              <w:bottom w:val="single" w:sz="4" w:space="0" w:color="9BC2E6"/>
              <w:right w:val="nil"/>
            </w:tcBorders>
            <w:shd w:val="clear" w:color="auto" w:fill="auto"/>
            <w:noWrap/>
            <w:vAlign w:val="bottom"/>
            <w:hideMark/>
          </w:tcPr>
          <w:p w14:paraId="7259A8F5"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30</w:t>
            </w:r>
          </w:p>
        </w:tc>
        <w:tc>
          <w:tcPr>
            <w:tcW w:w="1395" w:type="dxa"/>
            <w:tcBorders>
              <w:top w:val="single" w:sz="4" w:space="0" w:color="9BC2E6"/>
              <w:left w:val="nil"/>
              <w:bottom w:val="single" w:sz="4" w:space="0" w:color="9BC2E6"/>
              <w:right w:val="nil"/>
            </w:tcBorders>
            <w:shd w:val="clear" w:color="auto" w:fill="auto"/>
            <w:noWrap/>
            <w:vAlign w:val="bottom"/>
            <w:hideMark/>
          </w:tcPr>
          <w:p w14:paraId="74B3A8A6"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2B59ED01"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7951A91D"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1B95C642"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maxlen_matdis</w:t>
            </w:r>
          </w:p>
        </w:tc>
        <w:tc>
          <w:tcPr>
            <w:tcW w:w="1329" w:type="dxa"/>
            <w:tcBorders>
              <w:top w:val="single" w:sz="4" w:space="0" w:color="9BC2E6"/>
              <w:left w:val="nil"/>
              <w:bottom w:val="single" w:sz="4" w:space="0" w:color="9BC2E6"/>
              <w:right w:val="nil"/>
            </w:tcBorders>
            <w:shd w:val="clear" w:color="DDEBF7" w:fill="DDEBF7"/>
            <w:noWrap/>
            <w:vAlign w:val="bottom"/>
            <w:hideMark/>
          </w:tcPr>
          <w:p w14:paraId="5BE38C32"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260</w:t>
            </w:r>
          </w:p>
        </w:tc>
        <w:tc>
          <w:tcPr>
            <w:tcW w:w="1395" w:type="dxa"/>
            <w:tcBorders>
              <w:top w:val="single" w:sz="4" w:space="0" w:color="9BC2E6"/>
              <w:left w:val="nil"/>
              <w:bottom w:val="single" w:sz="4" w:space="0" w:color="9BC2E6"/>
              <w:right w:val="nil"/>
            </w:tcBorders>
            <w:shd w:val="clear" w:color="DDEBF7" w:fill="DDEBF7"/>
            <w:noWrap/>
            <w:vAlign w:val="bottom"/>
            <w:hideMark/>
          </w:tcPr>
          <w:p w14:paraId="4386392C"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0F4C331D"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3604AC63"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4CD1A59C"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maxlen_own</w:t>
            </w:r>
          </w:p>
        </w:tc>
        <w:tc>
          <w:tcPr>
            <w:tcW w:w="1329" w:type="dxa"/>
            <w:tcBorders>
              <w:top w:val="single" w:sz="4" w:space="0" w:color="9BC2E6"/>
              <w:left w:val="nil"/>
              <w:bottom w:val="single" w:sz="4" w:space="0" w:color="9BC2E6"/>
              <w:right w:val="nil"/>
            </w:tcBorders>
            <w:shd w:val="clear" w:color="auto" w:fill="auto"/>
            <w:noWrap/>
            <w:vAlign w:val="bottom"/>
            <w:hideMark/>
          </w:tcPr>
          <w:p w14:paraId="21CB370D"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260</w:t>
            </w:r>
          </w:p>
        </w:tc>
        <w:tc>
          <w:tcPr>
            <w:tcW w:w="1395" w:type="dxa"/>
            <w:tcBorders>
              <w:top w:val="single" w:sz="4" w:space="0" w:color="9BC2E6"/>
              <w:left w:val="nil"/>
              <w:bottom w:val="single" w:sz="4" w:space="0" w:color="9BC2E6"/>
              <w:right w:val="nil"/>
            </w:tcBorders>
            <w:shd w:val="clear" w:color="auto" w:fill="auto"/>
            <w:noWrap/>
            <w:vAlign w:val="bottom"/>
            <w:hideMark/>
          </w:tcPr>
          <w:p w14:paraId="0C0BBE59"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99220E4"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40F4E6AD"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6C561878"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maxlen_PFL</w:t>
            </w:r>
          </w:p>
        </w:tc>
        <w:tc>
          <w:tcPr>
            <w:tcW w:w="1329" w:type="dxa"/>
            <w:tcBorders>
              <w:top w:val="single" w:sz="4" w:space="0" w:color="9BC2E6"/>
              <w:left w:val="nil"/>
              <w:bottom w:val="single" w:sz="4" w:space="0" w:color="9BC2E6"/>
              <w:right w:val="nil"/>
            </w:tcBorders>
            <w:shd w:val="clear" w:color="DDEBF7" w:fill="DDEBF7"/>
            <w:noWrap/>
            <w:vAlign w:val="bottom"/>
            <w:hideMark/>
          </w:tcPr>
          <w:p w14:paraId="3DF5B0E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30</w:t>
            </w:r>
          </w:p>
        </w:tc>
        <w:tc>
          <w:tcPr>
            <w:tcW w:w="1395" w:type="dxa"/>
            <w:tcBorders>
              <w:top w:val="single" w:sz="4" w:space="0" w:color="9BC2E6"/>
              <w:left w:val="nil"/>
              <w:bottom w:val="single" w:sz="4" w:space="0" w:color="9BC2E6"/>
              <w:right w:val="nil"/>
            </w:tcBorders>
            <w:shd w:val="clear" w:color="DDEBF7" w:fill="DDEBF7"/>
            <w:noWrap/>
            <w:vAlign w:val="bottom"/>
            <w:hideMark/>
          </w:tcPr>
          <w:p w14:paraId="158F4FD4"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35F63250"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3509F59B"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0E425CDB"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maxlen_total</w:t>
            </w:r>
          </w:p>
        </w:tc>
        <w:tc>
          <w:tcPr>
            <w:tcW w:w="1329" w:type="dxa"/>
            <w:tcBorders>
              <w:top w:val="single" w:sz="4" w:space="0" w:color="9BC2E6"/>
              <w:left w:val="nil"/>
              <w:bottom w:val="single" w:sz="4" w:space="0" w:color="9BC2E6"/>
              <w:right w:val="nil"/>
            </w:tcBorders>
            <w:shd w:val="clear" w:color="auto" w:fill="auto"/>
            <w:noWrap/>
            <w:vAlign w:val="bottom"/>
            <w:hideMark/>
          </w:tcPr>
          <w:p w14:paraId="22F10784"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260</w:t>
            </w:r>
          </w:p>
        </w:tc>
        <w:tc>
          <w:tcPr>
            <w:tcW w:w="1395" w:type="dxa"/>
            <w:tcBorders>
              <w:top w:val="single" w:sz="4" w:space="0" w:color="9BC2E6"/>
              <w:left w:val="nil"/>
              <w:bottom w:val="single" w:sz="4" w:space="0" w:color="9BC2E6"/>
              <w:right w:val="nil"/>
            </w:tcBorders>
            <w:shd w:val="clear" w:color="auto" w:fill="auto"/>
            <w:noWrap/>
            <w:vAlign w:val="bottom"/>
            <w:hideMark/>
          </w:tcPr>
          <w:p w14:paraId="13BA1126"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64308923"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22F03E6F"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A2018BE"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minsize</w:t>
            </w:r>
          </w:p>
        </w:tc>
        <w:tc>
          <w:tcPr>
            <w:tcW w:w="1329" w:type="dxa"/>
            <w:tcBorders>
              <w:top w:val="single" w:sz="4" w:space="0" w:color="9BC2E6"/>
              <w:left w:val="nil"/>
              <w:bottom w:val="single" w:sz="4" w:space="0" w:color="9BC2E6"/>
              <w:right w:val="nil"/>
            </w:tcBorders>
            <w:shd w:val="clear" w:color="DDEBF7" w:fill="DDEBF7"/>
            <w:noWrap/>
            <w:vAlign w:val="bottom"/>
            <w:hideMark/>
          </w:tcPr>
          <w:p w14:paraId="1C621E45"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NULL</w:t>
            </w:r>
          </w:p>
        </w:tc>
        <w:tc>
          <w:tcPr>
            <w:tcW w:w="1395" w:type="dxa"/>
            <w:tcBorders>
              <w:top w:val="single" w:sz="4" w:space="0" w:color="9BC2E6"/>
              <w:left w:val="nil"/>
              <w:bottom w:val="single" w:sz="4" w:space="0" w:color="9BC2E6"/>
              <w:right w:val="nil"/>
            </w:tcBorders>
            <w:shd w:val="clear" w:color="DDEBF7" w:fill="DDEBF7"/>
            <w:noWrap/>
            <w:vAlign w:val="bottom"/>
            <w:hideMark/>
          </w:tcPr>
          <w:p w14:paraId="7B301075"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7DF45F12"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NULL</w:t>
            </w:r>
          </w:p>
        </w:tc>
      </w:tr>
      <w:tr w:rsidR="00614252" w:rsidRPr="00760590" w14:paraId="13DD3A34"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7597FCC4"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own_uptake</w:t>
            </w:r>
          </w:p>
        </w:tc>
        <w:tc>
          <w:tcPr>
            <w:tcW w:w="1329" w:type="dxa"/>
            <w:tcBorders>
              <w:top w:val="single" w:sz="4" w:space="0" w:color="9BC2E6"/>
              <w:left w:val="nil"/>
              <w:bottom w:val="single" w:sz="4" w:space="0" w:color="9BC2E6"/>
              <w:right w:val="nil"/>
            </w:tcBorders>
            <w:shd w:val="clear" w:color="auto" w:fill="auto"/>
            <w:noWrap/>
            <w:vAlign w:val="bottom"/>
          </w:tcPr>
          <w:p w14:paraId="62C8E03D" w14:textId="095930C6" w:rsidR="00614252" w:rsidRPr="00760590" w:rsidRDefault="006F13AA" w:rsidP="0098532A">
            <w:pPr>
              <w:spacing w:after="0" w:line="240" w:lineRule="auto"/>
              <w:rPr>
                <w:rFonts w:eastAsia="Times New Roman" w:cs="Arial"/>
                <w:color w:val="000000"/>
                <w:sz w:val="20"/>
                <w:szCs w:val="20"/>
              </w:rPr>
            </w:pPr>
            <w:r>
              <w:rPr>
                <w:rFonts w:eastAsia="Times New Roman" w:cs="Arial"/>
                <w:color w:val="000000"/>
                <w:sz w:val="20"/>
                <w:szCs w:val="20"/>
              </w:rPr>
              <w:t>.04</w:t>
            </w:r>
          </w:p>
        </w:tc>
        <w:tc>
          <w:tcPr>
            <w:tcW w:w="1395" w:type="dxa"/>
            <w:tcBorders>
              <w:top w:val="single" w:sz="4" w:space="0" w:color="9BC2E6"/>
              <w:left w:val="nil"/>
              <w:bottom w:val="single" w:sz="4" w:space="0" w:color="9BC2E6"/>
              <w:right w:val="nil"/>
            </w:tcBorders>
            <w:shd w:val="clear" w:color="auto" w:fill="auto"/>
            <w:noWrap/>
            <w:vAlign w:val="bottom"/>
          </w:tcPr>
          <w:p w14:paraId="4F4F79DF" w14:textId="38458D62" w:rsidR="00614252" w:rsidRPr="00760590" w:rsidRDefault="00B47F52" w:rsidP="0098532A">
            <w:pPr>
              <w:spacing w:after="0" w:line="240" w:lineRule="auto"/>
              <w:rPr>
                <w:rFonts w:eastAsia="Times New Roman" w:cs="Arial"/>
                <w:color w:val="000000"/>
                <w:sz w:val="20"/>
                <w:szCs w:val="20"/>
              </w:rPr>
            </w:pPr>
            <w:r>
              <w:rPr>
                <w:rFonts w:eastAsia="Times New Roman" w:cs="Arial"/>
                <w:color w:val="000000"/>
                <w:sz w:val="20"/>
                <w:szCs w:val="20"/>
              </w:rPr>
              <w:t>.03</w:t>
            </w:r>
          </w:p>
        </w:tc>
        <w:tc>
          <w:tcPr>
            <w:tcW w:w="1535" w:type="dxa"/>
            <w:tcBorders>
              <w:top w:val="single" w:sz="4" w:space="0" w:color="9BC2E6"/>
              <w:left w:val="nil"/>
              <w:bottom w:val="single" w:sz="4" w:space="0" w:color="9BC2E6"/>
              <w:right w:val="single" w:sz="4" w:space="0" w:color="9BC2E6"/>
            </w:tcBorders>
            <w:shd w:val="clear" w:color="auto" w:fill="auto"/>
            <w:noWrap/>
            <w:vAlign w:val="bottom"/>
          </w:tcPr>
          <w:p w14:paraId="37034790" w14:textId="6E5A50AA" w:rsidR="00614252" w:rsidRPr="00760590" w:rsidRDefault="00BD0D2F" w:rsidP="0098532A">
            <w:pPr>
              <w:spacing w:after="0" w:line="240" w:lineRule="auto"/>
              <w:rPr>
                <w:rFonts w:eastAsia="Times New Roman" w:cs="Arial"/>
                <w:color w:val="000000"/>
                <w:sz w:val="20"/>
                <w:szCs w:val="20"/>
              </w:rPr>
            </w:pPr>
            <w:r>
              <w:rPr>
                <w:rFonts w:eastAsia="Times New Roman" w:cs="Arial"/>
                <w:color w:val="000000"/>
                <w:sz w:val="20"/>
                <w:szCs w:val="20"/>
              </w:rPr>
              <w:t>.08</w:t>
            </w:r>
          </w:p>
        </w:tc>
      </w:tr>
      <w:tr w:rsidR="00614252" w:rsidRPr="00760590" w14:paraId="77E2EF1F"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B42CF37"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SELFEMP</w:t>
            </w:r>
          </w:p>
        </w:tc>
        <w:tc>
          <w:tcPr>
            <w:tcW w:w="1329" w:type="dxa"/>
            <w:tcBorders>
              <w:top w:val="single" w:sz="4" w:space="0" w:color="9BC2E6"/>
              <w:left w:val="nil"/>
              <w:bottom w:val="single" w:sz="4" w:space="0" w:color="9BC2E6"/>
              <w:right w:val="nil"/>
            </w:tcBorders>
            <w:shd w:val="clear" w:color="DDEBF7" w:fill="DDEBF7"/>
            <w:noWrap/>
            <w:vAlign w:val="bottom"/>
            <w:hideMark/>
          </w:tcPr>
          <w:p w14:paraId="2D145B9B"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tcBorders>
              <w:top w:val="single" w:sz="4" w:space="0" w:color="9BC2E6"/>
              <w:left w:val="nil"/>
              <w:bottom w:val="single" w:sz="4" w:space="0" w:color="9BC2E6"/>
              <w:right w:val="nil"/>
            </w:tcBorders>
            <w:shd w:val="clear" w:color="DDEBF7" w:fill="DDEBF7"/>
            <w:noWrap/>
            <w:vAlign w:val="bottom"/>
            <w:hideMark/>
          </w:tcPr>
          <w:p w14:paraId="010B0EFF"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204AFD44"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679DB0A7"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57FC604C"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topoff_min_length</w:t>
            </w:r>
          </w:p>
        </w:tc>
        <w:tc>
          <w:tcPr>
            <w:tcW w:w="1329" w:type="dxa"/>
            <w:tcBorders>
              <w:top w:val="single" w:sz="4" w:space="0" w:color="9BC2E6"/>
              <w:left w:val="nil"/>
              <w:bottom w:val="single" w:sz="4" w:space="0" w:color="9BC2E6"/>
              <w:right w:val="nil"/>
            </w:tcBorders>
            <w:shd w:val="clear" w:color="auto" w:fill="auto"/>
            <w:noWrap/>
            <w:vAlign w:val="bottom"/>
            <w:hideMark/>
          </w:tcPr>
          <w:p w14:paraId="080738BA"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c>
          <w:tcPr>
            <w:tcW w:w="1395" w:type="dxa"/>
            <w:tcBorders>
              <w:top w:val="single" w:sz="4" w:space="0" w:color="9BC2E6"/>
              <w:left w:val="nil"/>
              <w:bottom w:val="single" w:sz="4" w:space="0" w:color="9BC2E6"/>
              <w:right w:val="nil"/>
            </w:tcBorders>
            <w:shd w:val="clear" w:color="auto" w:fill="auto"/>
            <w:noWrap/>
            <w:vAlign w:val="bottom"/>
            <w:hideMark/>
          </w:tcPr>
          <w:p w14:paraId="1817E761"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6814235E"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r>
      <w:tr w:rsidR="00614252" w:rsidRPr="00760590" w14:paraId="496F1028"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278ED8E7"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topoff_rate</w:t>
            </w:r>
          </w:p>
        </w:tc>
        <w:tc>
          <w:tcPr>
            <w:tcW w:w="1329" w:type="dxa"/>
            <w:tcBorders>
              <w:top w:val="single" w:sz="4" w:space="0" w:color="9BC2E6"/>
              <w:left w:val="nil"/>
              <w:bottom w:val="single" w:sz="4" w:space="0" w:color="9BC2E6"/>
              <w:right w:val="nil"/>
            </w:tcBorders>
            <w:shd w:val="clear" w:color="DDEBF7" w:fill="DDEBF7"/>
            <w:noWrap/>
            <w:vAlign w:val="bottom"/>
            <w:hideMark/>
          </w:tcPr>
          <w:p w14:paraId="2E23CE6A"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c>
          <w:tcPr>
            <w:tcW w:w="1395" w:type="dxa"/>
            <w:tcBorders>
              <w:top w:val="single" w:sz="4" w:space="0" w:color="9BC2E6"/>
              <w:left w:val="nil"/>
              <w:bottom w:val="single" w:sz="4" w:space="0" w:color="9BC2E6"/>
              <w:right w:val="nil"/>
            </w:tcBorders>
            <w:shd w:val="clear" w:color="DDEBF7" w:fill="DDEBF7"/>
            <w:noWrap/>
            <w:vAlign w:val="bottom"/>
            <w:hideMark/>
          </w:tcPr>
          <w:p w14:paraId="2EB290B3"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1365F4DA"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0</w:t>
            </w:r>
          </w:p>
        </w:tc>
      </w:tr>
      <w:tr w:rsidR="00614252" w:rsidRPr="00760590" w14:paraId="43E6C966"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44CBBAE1"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waiting_period</w:t>
            </w:r>
          </w:p>
        </w:tc>
        <w:tc>
          <w:tcPr>
            <w:tcW w:w="1329" w:type="dxa"/>
            <w:tcBorders>
              <w:top w:val="single" w:sz="4" w:space="0" w:color="9BC2E6"/>
              <w:left w:val="nil"/>
              <w:bottom w:val="single" w:sz="4" w:space="0" w:color="9BC2E6"/>
              <w:right w:val="nil"/>
            </w:tcBorders>
            <w:shd w:val="clear" w:color="auto" w:fill="auto"/>
            <w:noWrap/>
            <w:vAlign w:val="bottom"/>
            <w:hideMark/>
          </w:tcPr>
          <w:p w14:paraId="56CD163D"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5</w:t>
            </w:r>
          </w:p>
        </w:tc>
        <w:tc>
          <w:tcPr>
            <w:tcW w:w="1395" w:type="dxa"/>
            <w:tcBorders>
              <w:top w:val="single" w:sz="4" w:space="0" w:color="9BC2E6"/>
              <w:left w:val="nil"/>
              <w:bottom w:val="single" w:sz="4" w:space="0" w:color="9BC2E6"/>
              <w:right w:val="nil"/>
            </w:tcBorders>
            <w:shd w:val="clear" w:color="auto" w:fill="auto"/>
            <w:noWrap/>
            <w:vAlign w:val="bottom"/>
            <w:hideMark/>
          </w:tcPr>
          <w:p w14:paraId="14DB0D76"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5</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2A01F8A"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5</w:t>
            </w:r>
          </w:p>
        </w:tc>
      </w:tr>
      <w:tr w:rsidR="00614252" w:rsidRPr="00760590" w14:paraId="74EF3C7C"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07C926D9"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week_bene_cap</w:t>
            </w:r>
          </w:p>
        </w:tc>
        <w:tc>
          <w:tcPr>
            <w:tcW w:w="1329" w:type="dxa"/>
            <w:tcBorders>
              <w:top w:val="single" w:sz="4" w:space="0" w:color="9BC2E6"/>
              <w:left w:val="nil"/>
              <w:bottom w:val="single" w:sz="4" w:space="0" w:color="9BC2E6"/>
              <w:right w:val="nil"/>
            </w:tcBorders>
            <w:shd w:val="clear" w:color="DDEBF7" w:fill="DDEBF7"/>
            <w:noWrap/>
            <w:vAlign w:val="bottom"/>
            <w:hideMark/>
          </w:tcPr>
          <w:p w14:paraId="4AE40FAC"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1216</w:t>
            </w:r>
          </w:p>
        </w:tc>
        <w:tc>
          <w:tcPr>
            <w:tcW w:w="1395" w:type="dxa"/>
            <w:tcBorders>
              <w:top w:val="single" w:sz="4" w:space="0" w:color="9BC2E6"/>
              <w:left w:val="nil"/>
              <w:bottom w:val="single" w:sz="4" w:space="0" w:color="9BC2E6"/>
              <w:right w:val="nil"/>
            </w:tcBorders>
            <w:shd w:val="clear" w:color="DDEBF7" w:fill="DDEBF7"/>
            <w:noWrap/>
            <w:vAlign w:val="bottom"/>
            <w:hideMark/>
          </w:tcPr>
          <w:p w14:paraId="2A3A2635"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594</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13D8883D"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795</w:t>
            </w:r>
          </w:p>
        </w:tc>
      </w:tr>
      <w:tr w:rsidR="00614252" w:rsidRPr="00760590" w14:paraId="149898D7"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18F06752"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week_bene_cap_prop</w:t>
            </w:r>
          </w:p>
        </w:tc>
        <w:tc>
          <w:tcPr>
            <w:tcW w:w="1329" w:type="dxa"/>
            <w:tcBorders>
              <w:top w:val="single" w:sz="4" w:space="0" w:color="9BC2E6"/>
              <w:left w:val="nil"/>
              <w:bottom w:val="single" w:sz="4" w:space="0" w:color="9BC2E6"/>
              <w:right w:val="nil"/>
            </w:tcBorders>
            <w:shd w:val="clear" w:color="auto" w:fill="auto"/>
            <w:noWrap/>
            <w:vAlign w:val="bottom"/>
            <w:hideMark/>
          </w:tcPr>
          <w:p w14:paraId="59B87B72"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NULL</w:t>
            </w:r>
          </w:p>
        </w:tc>
        <w:tc>
          <w:tcPr>
            <w:tcW w:w="1395" w:type="dxa"/>
            <w:tcBorders>
              <w:top w:val="single" w:sz="4" w:space="0" w:color="9BC2E6"/>
              <w:left w:val="nil"/>
              <w:bottom w:val="single" w:sz="4" w:space="0" w:color="9BC2E6"/>
              <w:right w:val="nil"/>
            </w:tcBorders>
            <w:shd w:val="clear" w:color="auto" w:fill="auto"/>
            <w:noWrap/>
            <w:vAlign w:val="bottom"/>
            <w:hideMark/>
          </w:tcPr>
          <w:p w14:paraId="1564A945"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51BE8246"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NULL</w:t>
            </w:r>
          </w:p>
        </w:tc>
      </w:tr>
      <w:tr w:rsidR="00614252" w:rsidRPr="00760590" w14:paraId="4B87836F"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tcPr>
          <w:p w14:paraId="3D2C28AD"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week_bene_min</w:t>
            </w:r>
          </w:p>
        </w:tc>
        <w:tc>
          <w:tcPr>
            <w:tcW w:w="1329" w:type="dxa"/>
            <w:tcBorders>
              <w:top w:val="single" w:sz="4" w:space="0" w:color="9BC2E6"/>
              <w:left w:val="nil"/>
              <w:bottom w:val="single" w:sz="4" w:space="0" w:color="9BC2E6"/>
              <w:right w:val="nil"/>
            </w:tcBorders>
            <w:shd w:val="clear" w:color="auto" w:fill="auto"/>
            <w:noWrap/>
            <w:vAlign w:val="bottom"/>
          </w:tcPr>
          <w:p w14:paraId="62215401"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50</w:t>
            </w:r>
          </w:p>
        </w:tc>
        <w:tc>
          <w:tcPr>
            <w:tcW w:w="1395" w:type="dxa"/>
            <w:tcBorders>
              <w:top w:val="single" w:sz="4" w:space="0" w:color="9BC2E6"/>
              <w:left w:val="nil"/>
              <w:bottom w:val="single" w:sz="4" w:space="0" w:color="9BC2E6"/>
              <w:right w:val="nil"/>
            </w:tcBorders>
            <w:shd w:val="clear" w:color="auto" w:fill="auto"/>
            <w:noWrap/>
            <w:vAlign w:val="bottom"/>
          </w:tcPr>
          <w:p w14:paraId="33A09E6E" w14:textId="2BDA6CCD" w:rsidR="00614252" w:rsidRPr="00760590" w:rsidRDefault="00402539" w:rsidP="0098532A">
            <w:pPr>
              <w:spacing w:after="0" w:line="240" w:lineRule="auto"/>
              <w:rPr>
                <w:rFonts w:eastAsia="Times New Roman" w:cs="Arial"/>
                <w:color w:val="000000"/>
                <w:sz w:val="20"/>
                <w:szCs w:val="20"/>
              </w:rPr>
            </w:pPr>
            <w:r>
              <w:rPr>
                <w:rFonts w:eastAsia="Times New Roman" w:cs="Arial"/>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auto" w:fill="auto"/>
            <w:noWrap/>
            <w:vAlign w:val="bottom"/>
          </w:tcPr>
          <w:p w14:paraId="33EAA34D"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89</w:t>
            </w:r>
          </w:p>
        </w:tc>
      </w:tr>
      <w:tr w:rsidR="00614252" w:rsidRPr="00760590" w14:paraId="2C557CC2" w14:textId="77777777" w:rsidTr="00463D42">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28CA1796"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weeks</w:t>
            </w:r>
          </w:p>
        </w:tc>
        <w:tc>
          <w:tcPr>
            <w:tcW w:w="1329" w:type="dxa"/>
            <w:tcBorders>
              <w:top w:val="single" w:sz="4" w:space="0" w:color="9BC2E6"/>
              <w:left w:val="nil"/>
              <w:bottom w:val="single" w:sz="4" w:space="0" w:color="9BC2E6"/>
              <w:right w:val="nil"/>
            </w:tcBorders>
            <w:shd w:val="clear" w:color="DDEBF7" w:fill="DDEBF7"/>
            <w:noWrap/>
            <w:vAlign w:val="bottom"/>
            <w:hideMark/>
          </w:tcPr>
          <w:p w14:paraId="6BF79C4C"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NULL</w:t>
            </w:r>
          </w:p>
        </w:tc>
        <w:tc>
          <w:tcPr>
            <w:tcW w:w="1395" w:type="dxa"/>
            <w:tcBorders>
              <w:top w:val="single" w:sz="4" w:space="0" w:color="9BC2E6"/>
              <w:left w:val="nil"/>
              <w:bottom w:val="single" w:sz="4" w:space="0" w:color="9BC2E6"/>
              <w:right w:val="nil"/>
            </w:tcBorders>
            <w:shd w:val="clear" w:color="DDEBF7" w:fill="DDEBF7"/>
            <w:noWrap/>
            <w:vAlign w:val="bottom"/>
            <w:hideMark/>
          </w:tcPr>
          <w:p w14:paraId="15340267"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074CE763" w14:textId="77777777" w:rsidR="00614252" w:rsidRPr="00760590" w:rsidRDefault="00614252" w:rsidP="0098532A">
            <w:pPr>
              <w:spacing w:after="0" w:line="240" w:lineRule="auto"/>
              <w:rPr>
                <w:rFonts w:eastAsia="Times New Roman" w:cs="Arial"/>
                <w:color w:val="000000"/>
                <w:sz w:val="20"/>
                <w:szCs w:val="20"/>
              </w:rPr>
            </w:pPr>
            <w:r w:rsidRPr="00760590">
              <w:rPr>
                <w:rFonts w:eastAsia="Times New Roman" w:cs="Arial"/>
                <w:color w:val="000000"/>
                <w:sz w:val="20"/>
                <w:szCs w:val="20"/>
              </w:rPr>
              <w:t>NULL</w:t>
            </w:r>
          </w:p>
        </w:tc>
      </w:tr>
    </w:tbl>
    <w:p w14:paraId="669FF65E" w14:textId="77777777" w:rsidR="00614252" w:rsidRPr="00760590" w:rsidRDefault="00614252" w:rsidP="00614252">
      <w:pPr>
        <w:pStyle w:val="ListParagraph"/>
        <w:ind w:left="1440"/>
        <w:rPr>
          <w:rFonts w:cs="Arial"/>
        </w:rPr>
      </w:pPr>
    </w:p>
    <w:p w14:paraId="0D2B5D5F" w14:textId="77777777" w:rsidR="00614252" w:rsidRPr="00760590" w:rsidRDefault="00614252">
      <w:pPr>
        <w:rPr>
          <w:rFonts w:cs="Arial"/>
        </w:rPr>
      </w:pPr>
    </w:p>
    <w:sectPr w:rsidR="00614252" w:rsidRPr="0076059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4FB5F" w14:textId="77777777" w:rsidR="00FF00FD" w:rsidRDefault="00FF00FD" w:rsidP="00801EFD">
      <w:pPr>
        <w:spacing w:after="0" w:line="240" w:lineRule="auto"/>
      </w:pPr>
      <w:r>
        <w:separator/>
      </w:r>
    </w:p>
  </w:endnote>
  <w:endnote w:type="continuationSeparator" w:id="0">
    <w:p w14:paraId="142A34C8" w14:textId="77777777" w:rsidR="00FF00FD" w:rsidRDefault="00FF00FD" w:rsidP="008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C947B" w14:textId="300E7A6E" w:rsidR="00801EFD" w:rsidRPr="004A5DB4" w:rsidRDefault="00801EFD" w:rsidP="00801EFD">
    <w:pPr>
      <w:pStyle w:val="Footer"/>
      <w:pBdr>
        <w:top w:val="single" w:sz="4" w:space="1" w:color="660000"/>
      </w:pBdr>
      <w:jc w:val="both"/>
      <w:rPr>
        <w:rFonts w:cs="Times New Roman"/>
        <w:sz w:val="20"/>
      </w:rPr>
    </w:pPr>
    <w:r w:rsidRPr="004A5DB4">
      <w:rPr>
        <w:rFonts w:cs="Times New Roman"/>
        <w:sz w:val="20"/>
      </w:rPr>
      <w:t>IMPAQ International, LLC</w:t>
    </w:r>
    <w:r w:rsidRPr="004A5DB4">
      <w:rPr>
        <w:rFonts w:cs="Times New Roman"/>
        <w:sz w:val="20"/>
      </w:rPr>
      <w:tab/>
      <w:t xml:space="preserve">Page </w:t>
    </w:r>
    <w:r w:rsidRPr="004A5DB4">
      <w:rPr>
        <w:rFonts w:cs="Times New Roman"/>
        <w:sz w:val="20"/>
      </w:rPr>
      <w:fldChar w:fldCharType="begin"/>
    </w:r>
    <w:r w:rsidRPr="004A5DB4">
      <w:rPr>
        <w:rFonts w:cs="Times New Roman"/>
        <w:sz w:val="20"/>
      </w:rPr>
      <w:instrText xml:space="preserve"> PAGE   \* MERGEFORMAT </w:instrText>
    </w:r>
    <w:r w:rsidRPr="004A5DB4">
      <w:rPr>
        <w:rFonts w:cs="Times New Roman"/>
        <w:sz w:val="20"/>
      </w:rPr>
      <w:fldChar w:fldCharType="separate"/>
    </w:r>
    <w:r w:rsidR="00CE5316">
      <w:rPr>
        <w:rFonts w:cs="Times New Roman"/>
        <w:noProof/>
        <w:sz w:val="20"/>
      </w:rPr>
      <w:t>1</w:t>
    </w:r>
    <w:r w:rsidRPr="004A5DB4">
      <w:rPr>
        <w:rFonts w:cs="Times New Roman"/>
        <w:sz w:val="20"/>
      </w:rPr>
      <w:fldChar w:fldCharType="end"/>
    </w:r>
    <w:r w:rsidRPr="004A5DB4">
      <w:rPr>
        <w:rFonts w:cs="Times New Roman"/>
        <w:sz w:val="20"/>
      </w:rPr>
      <w:tab/>
      <w:t xml:space="preserve"> Paid Leave Microsimulation Model</w:t>
    </w:r>
  </w:p>
  <w:p w14:paraId="752F1AD1" w14:textId="07442F9C" w:rsidR="00801EFD" w:rsidRPr="004A5DB4" w:rsidRDefault="00801EFD" w:rsidP="00801EFD">
    <w:pPr>
      <w:pStyle w:val="Footer"/>
      <w:pBdr>
        <w:top w:val="single" w:sz="4" w:space="1" w:color="660000"/>
      </w:pBdr>
      <w:jc w:val="both"/>
      <w:rPr>
        <w:rFonts w:cs="Times New Roman"/>
        <w:sz w:val="20"/>
      </w:rPr>
    </w:pPr>
    <w:r w:rsidRPr="004A5DB4">
      <w:rPr>
        <w:rFonts w:cs="Times New Roman"/>
        <w:sz w:val="20"/>
      </w:rPr>
      <w:tab/>
    </w:r>
    <w:r w:rsidRPr="004A5DB4">
      <w:rPr>
        <w:rFonts w:cs="Times New Roman"/>
        <w:sz w:val="20"/>
      </w:rPr>
      <w:tab/>
    </w:r>
    <w:r w:rsidR="00FF220F" w:rsidRPr="004A5DB4">
      <w:rPr>
        <w:rFonts w:cs="Times New Roman"/>
        <w:sz w:val="20"/>
      </w:rPr>
      <w:t xml:space="preserve">Benchmarking </w:t>
    </w:r>
    <w:r w:rsidRPr="004A5DB4">
      <w:rPr>
        <w:rFonts w:cs="Times New Roman"/>
        <w:sz w:val="20"/>
      </w:rPr>
      <w:t>Issue Brief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AFFEFA" w14:textId="77777777" w:rsidR="00FF00FD" w:rsidRDefault="00FF00FD" w:rsidP="00801EFD">
      <w:pPr>
        <w:spacing w:after="0" w:line="240" w:lineRule="auto"/>
      </w:pPr>
      <w:r>
        <w:separator/>
      </w:r>
    </w:p>
  </w:footnote>
  <w:footnote w:type="continuationSeparator" w:id="0">
    <w:p w14:paraId="795EDAFF" w14:textId="77777777" w:rsidR="00FF00FD" w:rsidRDefault="00FF00FD" w:rsidP="00801EFD">
      <w:pPr>
        <w:spacing w:after="0" w:line="240" w:lineRule="auto"/>
      </w:pPr>
      <w:r>
        <w:continuationSeparator/>
      </w:r>
    </w:p>
  </w:footnote>
  <w:footnote w:id="1">
    <w:p w14:paraId="473E81ED" w14:textId="4B338A9F" w:rsidR="004F1424" w:rsidRPr="004F1424" w:rsidRDefault="004F1424">
      <w:pPr>
        <w:pStyle w:val="FootnoteText"/>
        <w:rPr>
          <w:rFonts w:cs="Arial"/>
        </w:rPr>
      </w:pPr>
      <w:r>
        <w:rPr>
          <w:rStyle w:val="FootnoteReference"/>
        </w:rPr>
        <w:footnoteRef/>
      </w:r>
      <w:r>
        <w:t xml:space="preserve"> </w:t>
      </w:r>
      <w:r w:rsidRPr="004F1424">
        <w:rPr>
          <w:rFonts w:cs="Arial"/>
        </w:rPr>
        <w:t>California:</w:t>
      </w:r>
    </w:p>
    <w:tbl>
      <w:tblPr>
        <w:tblW w:w="8144" w:type="dxa"/>
        <w:tblLook w:val="04A0" w:firstRow="1" w:lastRow="0" w:firstColumn="1" w:lastColumn="0" w:noHBand="0" w:noVBand="1"/>
      </w:tblPr>
      <w:tblGrid>
        <w:gridCol w:w="8144"/>
      </w:tblGrid>
      <w:tr w:rsidR="004F1424" w:rsidRPr="004F1424" w14:paraId="7F8767D8" w14:textId="77777777" w:rsidTr="004F1424">
        <w:trPr>
          <w:trHeight w:val="300"/>
        </w:trPr>
        <w:tc>
          <w:tcPr>
            <w:tcW w:w="8144" w:type="dxa"/>
            <w:tcBorders>
              <w:top w:val="nil"/>
              <w:left w:val="nil"/>
              <w:bottom w:val="nil"/>
              <w:right w:val="nil"/>
            </w:tcBorders>
            <w:shd w:val="clear" w:color="auto" w:fill="auto"/>
            <w:noWrap/>
            <w:vAlign w:val="bottom"/>
            <w:hideMark/>
          </w:tcPr>
          <w:p w14:paraId="440B45F4" w14:textId="77777777" w:rsidR="004F1424" w:rsidRPr="004F1424" w:rsidRDefault="00FF00FD" w:rsidP="004F1424">
            <w:pPr>
              <w:spacing w:after="0" w:line="240" w:lineRule="auto"/>
              <w:rPr>
                <w:rFonts w:eastAsia="Times New Roman" w:cs="Arial"/>
                <w:color w:val="0563C1"/>
                <w:sz w:val="20"/>
                <w:szCs w:val="20"/>
                <w:u w:val="single"/>
              </w:rPr>
            </w:pPr>
            <w:hyperlink r:id="rId1" w:history="1">
              <w:r w:rsidR="004F1424" w:rsidRPr="004F1424">
                <w:rPr>
                  <w:rFonts w:eastAsia="Times New Roman" w:cs="Arial"/>
                  <w:color w:val="0563C1"/>
                  <w:sz w:val="20"/>
                  <w:szCs w:val="20"/>
                  <w:u w:val="single"/>
                </w:rPr>
                <w:t>https://www.edd.ca.gov/about_edd/pdf/qsdi_DI_Program_Statistics.pdf</w:t>
              </w:r>
            </w:hyperlink>
          </w:p>
        </w:tc>
      </w:tr>
      <w:tr w:rsidR="004F1424" w:rsidRPr="004F1424" w14:paraId="2912F019" w14:textId="77777777" w:rsidTr="004F1424">
        <w:trPr>
          <w:trHeight w:val="300"/>
        </w:trPr>
        <w:tc>
          <w:tcPr>
            <w:tcW w:w="8144" w:type="dxa"/>
            <w:tcBorders>
              <w:top w:val="nil"/>
              <w:left w:val="nil"/>
              <w:bottom w:val="nil"/>
              <w:right w:val="nil"/>
            </w:tcBorders>
            <w:shd w:val="clear" w:color="auto" w:fill="auto"/>
            <w:noWrap/>
            <w:vAlign w:val="bottom"/>
            <w:hideMark/>
          </w:tcPr>
          <w:p w14:paraId="63676706" w14:textId="77777777" w:rsidR="004F1424" w:rsidRPr="004F1424" w:rsidRDefault="00FF00FD" w:rsidP="004F1424">
            <w:pPr>
              <w:spacing w:after="0" w:line="240" w:lineRule="auto"/>
              <w:rPr>
                <w:rFonts w:eastAsia="Times New Roman" w:cs="Arial"/>
                <w:color w:val="0563C1"/>
                <w:sz w:val="20"/>
                <w:szCs w:val="20"/>
                <w:u w:val="single"/>
              </w:rPr>
            </w:pPr>
            <w:hyperlink r:id="rId2" w:history="1">
              <w:r w:rsidR="004F1424" w:rsidRPr="004F1424">
                <w:rPr>
                  <w:rFonts w:eastAsia="Times New Roman" w:cs="Arial"/>
                  <w:color w:val="0563C1"/>
                  <w:sz w:val="20"/>
                  <w:szCs w:val="20"/>
                  <w:u w:val="single"/>
                </w:rPr>
                <w:t>https://www.edd.ca.gov/about_edd/pdf/qspfl_PFL_Program_Statistics.pdf</w:t>
              </w:r>
            </w:hyperlink>
          </w:p>
          <w:p w14:paraId="08A7D13E" w14:textId="2D37EC49" w:rsidR="004F1424" w:rsidRPr="004F1424" w:rsidRDefault="004F1424" w:rsidP="004F1424">
            <w:pPr>
              <w:spacing w:after="0" w:line="240" w:lineRule="auto"/>
              <w:rPr>
                <w:rFonts w:eastAsia="Times New Roman" w:cs="Arial"/>
                <w:color w:val="0563C1"/>
                <w:sz w:val="20"/>
                <w:szCs w:val="20"/>
                <w:u w:val="single"/>
              </w:rPr>
            </w:pPr>
            <w:r w:rsidRPr="004F1424">
              <w:rPr>
                <w:rFonts w:cs="Arial"/>
                <w:sz w:val="20"/>
                <w:szCs w:val="20"/>
              </w:rPr>
              <w:t>New Jersey:</w:t>
            </w:r>
          </w:p>
        </w:tc>
      </w:tr>
      <w:tr w:rsidR="004F1424" w:rsidRPr="004F1424" w14:paraId="2CE23071" w14:textId="77777777" w:rsidTr="004F1424">
        <w:trPr>
          <w:trHeight w:val="300"/>
        </w:trPr>
        <w:tc>
          <w:tcPr>
            <w:tcW w:w="8144" w:type="dxa"/>
            <w:tcBorders>
              <w:top w:val="nil"/>
              <w:left w:val="nil"/>
              <w:bottom w:val="nil"/>
              <w:right w:val="nil"/>
            </w:tcBorders>
            <w:shd w:val="clear" w:color="auto" w:fill="auto"/>
            <w:noWrap/>
            <w:vAlign w:val="center"/>
            <w:hideMark/>
          </w:tcPr>
          <w:p w14:paraId="5691A7E0" w14:textId="77777777" w:rsidR="004F1424" w:rsidRPr="004F1424" w:rsidRDefault="00FF00FD" w:rsidP="004F1424">
            <w:pPr>
              <w:spacing w:after="0" w:line="240" w:lineRule="auto"/>
              <w:rPr>
                <w:rFonts w:eastAsia="Times New Roman" w:cs="Arial"/>
                <w:color w:val="0563C1"/>
                <w:sz w:val="20"/>
                <w:szCs w:val="20"/>
                <w:u w:val="single"/>
              </w:rPr>
            </w:pPr>
            <w:hyperlink r:id="rId3" w:history="1">
              <w:r w:rsidR="004F1424" w:rsidRPr="004F1424">
                <w:rPr>
                  <w:rFonts w:eastAsia="Times New Roman" w:cs="Arial"/>
                  <w:color w:val="0563C1"/>
                  <w:sz w:val="20"/>
                  <w:szCs w:val="20"/>
                  <w:u w:val="single"/>
                </w:rPr>
                <w:t xml:space="preserve">https://www.nj.gov/labor/forms_pdfs/tdi/FLI%20Summary%20Report%20for%202016.pdf </w:t>
              </w:r>
            </w:hyperlink>
          </w:p>
        </w:tc>
      </w:tr>
      <w:tr w:rsidR="004F1424" w:rsidRPr="004F1424" w14:paraId="680C5ECA" w14:textId="77777777" w:rsidTr="00A0764C">
        <w:trPr>
          <w:trHeight w:val="80"/>
        </w:trPr>
        <w:tc>
          <w:tcPr>
            <w:tcW w:w="8144" w:type="dxa"/>
            <w:tcBorders>
              <w:top w:val="nil"/>
              <w:left w:val="nil"/>
              <w:bottom w:val="nil"/>
              <w:right w:val="nil"/>
            </w:tcBorders>
            <w:shd w:val="clear" w:color="auto" w:fill="auto"/>
            <w:noWrap/>
            <w:vAlign w:val="center"/>
            <w:hideMark/>
          </w:tcPr>
          <w:p w14:paraId="428C7A8F" w14:textId="77777777" w:rsidR="004F1424" w:rsidRPr="004F1424" w:rsidRDefault="00FF00FD" w:rsidP="004F1424">
            <w:pPr>
              <w:spacing w:after="0" w:line="240" w:lineRule="auto"/>
              <w:rPr>
                <w:rFonts w:eastAsia="Times New Roman" w:cs="Arial"/>
                <w:color w:val="0563C1"/>
                <w:sz w:val="20"/>
                <w:szCs w:val="20"/>
                <w:u w:val="single"/>
              </w:rPr>
            </w:pPr>
            <w:hyperlink r:id="rId4" w:history="1">
              <w:r w:rsidR="004F1424" w:rsidRPr="004F1424">
                <w:rPr>
                  <w:rFonts w:eastAsia="Times New Roman" w:cs="Arial"/>
                  <w:color w:val="0563C1"/>
                  <w:sz w:val="20"/>
                  <w:szCs w:val="20"/>
                  <w:u w:val="single"/>
                </w:rPr>
                <w:t xml:space="preserve">https://www.nj.gov/labor/forms_pdfs/tdi/TDI%20Report%20for%202016.pdf </w:t>
              </w:r>
            </w:hyperlink>
          </w:p>
          <w:p w14:paraId="7C692063" w14:textId="600F46E6" w:rsidR="004F1424" w:rsidRPr="004F1424" w:rsidRDefault="004F1424" w:rsidP="004F1424">
            <w:pPr>
              <w:spacing w:after="0" w:line="240" w:lineRule="auto"/>
              <w:rPr>
                <w:rFonts w:eastAsia="Times New Roman" w:cs="Arial"/>
                <w:color w:val="0563C1"/>
                <w:sz w:val="20"/>
                <w:szCs w:val="20"/>
                <w:u w:val="single"/>
              </w:rPr>
            </w:pPr>
            <w:r w:rsidRPr="004F1424">
              <w:rPr>
                <w:rFonts w:cs="Arial"/>
                <w:sz w:val="20"/>
                <w:szCs w:val="20"/>
              </w:rPr>
              <w:t>Rhode Island:</w:t>
            </w:r>
          </w:p>
        </w:tc>
      </w:tr>
      <w:tr w:rsidR="004F1424" w:rsidRPr="004F1424" w14:paraId="5621E59E" w14:textId="77777777" w:rsidTr="004F1424">
        <w:trPr>
          <w:trHeight w:val="300"/>
        </w:trPr>
        <w:tc>
          <w:tcPr>
            <w:tcW w:w="8144" w:type="dxa"/>
            <w:tcBorders>
              <w:top w:val="nil"/>
              <w:left w:val="nil"/>
              <w:bottom w:val="nil"/>
              <w:right w:val="nil"/>
            </w:tcBorders>
            <w:shd w:val="clear" w:color="auto" w:fill="auto"/>
            <w:noWrap/>
            <w:vAlign w:val="bottom"/>
            <w:hideMark/>
          </w:tcPr>
          <w:p w14:paraId="3D9D49B8" w14:textId="77777777" w:rsidR="004F1424" w:rsidRPr="004F1424" w:rsidRDefault="00FF00FD" w:rsidP="004F1424">
            <w:pPr>
              <w:spacing w:after="0" w:line="240" w:lineRule="auto"/>
              <w:rPr>
                <w:rFonts w:eastAsia="Times New Roman" w:cs="Arial"/>
                <w:color w:val="0563C1"/>
                <w:sz w:val="20"/>
                <w:szCs w:val="20"/>
                <w:u w:val="single"/>
              </w:rPr>
            </w:pPr>
            <w:hyperlink r:id="rId5" w:history="1">
              <w:r w:rsidR="004F1424" w:rsidRPr="004F1424">
                <w:rPr>
                  <w:rFonts w:eastAsia="Times New Roman" w:cs="Arial"/>
                  <w:color w:val="0563C1"/>
                  <w:sz w:val="20"/>
                  <w:szCs w:val="20"/>
                  <w:u w:val="single"/>
                </w:rPr>
                <w:t>http://www.dlt.ri.gov/lmi/uiadmin.htm</w:t>
              </w:r>
            </w:hyperlink>
          </w:p>
        </w:tc>
      </w:tr>
    </w:tbl>
    <w:p w14:paraId="397C0024" w14:textId="30E7CA09" w:rsidR="004F1424" w:rsidRDefault="004F142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3C93AD6"/>
    <w:multiLevelType w:val="hybridMultilevel"/>
    <w:tmpl w:val="6F769F02"/>
    <w:lvl w:ilvl="0" w:tplc="FB129F2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0D"/>
    <w:rsid w:val="0000110C"/>
    <w:rsid w:val="00006DC3"/>
    <w:rsid w:val="00070B3F"/>
    <w:rsid w:val="000B1F5A"/>
    <w:rsid w:val="000C1127"/>
    <w:rsid w:val="000C54B2"/>
    <w:rsid w:val="000F53EA"/>
    <w:rsid w:val="0010471D"/>
    <w:rsid w:val="00126CE8"/>
    <w:rsid w:val="0017525B"/>
    <w:rsid w:val="00183C6B"/>
    <w:rsid w:val="001B15C0"/>
    <w:rsid w:val="001D7F0D"/>
    <w:rsid w:val="00222B92"/>
    <w:rsid w:val="00276CA6"/>
    <w:rsid w:val="00293164"/>
    <w:rsid w:val="002D0AFA"/>
    <w:rsid w:val="003152A5"/>
    <w:rsid w:val="003264E9"/>
    <w:rsid w:val="0034397B"/>
    <w:rsid w:val="003813EC"/>
    <w:rsid w:val="003857C7"/>
    <w:rsid w:val="003F079D"/>
    <w:rsid w:val="003F4968"/>
    <w:rsid w:val="00402539"/>
    <w:rsid w:val="00404BE9"/>
    <w:rsid w:val="00405C5A"/>
    <w:rsid w:val="004121A0"/>
    <w:rsid w:val="004243FF"/>
    <w:rsid w:val="00431FEF"/>
    <w:rsid w:val="00463D42"/>
    <w:rsid w:val="004A489D"/>
    <w:rsid w:val="004A5DB4"/>
    <w:rsid w:val="004C5318"/>
    <w:rsid w:val="004C7EB9"/>
    <w:rsid w:val="004D792D"/>
    <w:rsid w:val="004F0463"/>
    <w:rsid w:val="004F0F5C"/>
    <w:rsid w:val="004F1424"/>
    <w:rsid w:val="005133AF"/>
    <w:rsid w:val="00523813"/>
    <w:rsid w:val="005501F3"/>
    <w:rsid w:val="00557064"/>
    <w:rsid w:val="00575516"/>
    <w:rsid w:val="00580B94"/>
    <w:rsid w:val="005D5DFC"/>
    <w:rsid w:val="00614252"/>
    <w:rsid w:val="00636CC4"/>
    <w:rsid w:val="006463D4"/>
    <w:rsid w:val="00667F27"/>
    <w:rsid w:val="00673154"/>
    <w:rsid w:val="00675D2A"/>
    <w:rsid w:val="006C7BA3"/>
    <w:rsid w:val="006F13AA"/>
    <w:rsid w:val="0070312E"/>
    <w:rsid w:val="007410B2"/>
    <w:rsid w:val="00760590"/>
    <w:rsid w:val="007679D9"/>
    <w:rsid w:val="00773476"/>
    <w:rsid w:val="007759B1"/>
    <w:rsid w:val="007B4748"/>
    <w:rsid w:val="007C0954"/>
    <w:rsid w:val="007C13DD"/>
    <w:rsid w:val="007C33A8"/>
    <w:rsid w:val="007E39A1"/>
    <w:rsid w:val="007F45D1"/>
    <w:rsid w:val="00801EFD"/>
    <w:rsid w:val="00845F82"/>
    <w:rsid w:val="00857561"/>
    <w:rsid w:val="00862953"/>
    <w:rsid w:val="0086636B"/>
    <w:rsid w:val="008720EC"/>
    <w:rsid w:val="008840D0"/>
    <w:rsid w:val="008923E6"/>
    <w:rsid w:val="008A5E8D"/>
    <w:rsid w:val="008B3A00"/>
    <w:rsid w:val="008E4C89"/>
    <w:rsid w:val="00906B91"/>
    <w:rsid w:val="00906F68"/>
    <w:rsid w:val="009171F2"/>
    <w:rsid w:val="009343BA"/>
    <w:rsid w:val="0093750D"/>
    <w:rsid w:val="009767A3"/>
    <w:rsid w:val="00980BA7"/>
    <w:rsid w:val="00985A73"/>
    <w:rsid w:val="00985DAB"/>
    <w:rsid w:val="009C31AA"/>
    <w:rsid w:val="009F4021"/>
    <w:rsid w:val="00A0564B"/>
    <w:rsid w:val="00A0764C"/>
    <w:rsid w:val="00A36CC1"/>
    <w:rsid w:val="00A40C43"/>
    <w:rsid w:val="00A7187B"/>
    <w:rsid w:val="00A804BD"/>
    <w:rsid w:val="00AD6621"/>
    <w:rsid w:val="00B10952"/>
    <w:rsid w:val="00B1730C"/>
    <w:rsid w:val="00B21BEC"/>
    <w:rsid w:val="00B47F52"/>
    <w:rsid w:val="00B70368"/>
    <w:rsid w:val="00B70B94"/>
    <w:rsid w:val="00B9036F"/>
    <w:rsid w:val="00BA0524"/>
    <w:rsid w:val="00BC42F8"/>
    <w:rsid w:val="00BD0D2F"/>
    <w:rsid w:val="00BD37E7"/>
    <w:rsid w:val="00BF3788"/>
    <w:rsid w:val="00C041F2"/>
    <w:rsid w:val="00C12C8F"/>
    <w:rsid w:val="00C401E5"/>
    <w:rsid w:val="00C510CB"/>
    <w:rsid w:val="00C65214"/>
    <w:rsid w:val="00C6650B"/>
    <w:rsid w:val="00C71E6D"/>
    <w:rsid w:val="00CE3C6F"/>
    <w:rsid w:val="00CE5316"/>
    <w:rsid w:val="00D65E02"/>
    <w:rsid w:val="00D73CE5"/>
    <w:rsid w:val="00D94C3F"/>
    <w:rsid w:val="00DD03BA"/>
    <w:rsid w:val="00DE04AB"/>
    <w:rsid w:val="00E35CD9"/>
    <w:rsid w:val="00E40ABE"/>
    <w:rsid w:val="00E47925"/>
    <w:rsid w:val="00E51A70"/>
    <w:rsid w:val="00E710C2"/>
    <w:rsid w:val="00E76066"/>
    <w:rsid w:val="00E85ED7"/>
    <w:rsid w:val="00E92310"/>
    <w:rsid w:val="00EB7A90"/>
    <w:rsid w:val="00EC287C"/>
    <w:rsid w:val="00F033F7"/>
    <w:rsid w:val="00F05F5B"/>
    <w:rsid w:val="00F15D60"/>
    <w:rsid w:val="00F60DC9"/>
    <w:rsid w:val="00F75A10"/>
    <w:rsid w:val="00F90909"/>
    <w:rsid w:val="00FD3AFC"/>
    <w:rsid w:val="00FF00FD"/>
    <w:rsid w:val="00FF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633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EFD"/>
    <w:rPr>
      <w:rFonts w:ascii="Arial" w:hAnsi="Arial"/>
      <w:sz w:val="24"/>
    </w:rPr>
  </w:style>
  <w:style w:type="paragraph" w:styleId="Heading1">
    <w:name w:val="heading 1"/>
    <w:basedOn w:val="Normal"/>
    <w:next w:val="Normal"/>
    <w:link w:val="Heading1Char"/>
    <w:uiPriority w:val="9"/>
    <w:qFormat/>
    <w:rsid w:val="005501F3"/>
    <w:pPr>
      <w:keepNext/>
      <w:keepLines/>
      <w:spacing w:before="240" w:after="240"/>
      <w:outlineLvl w:val="0"/>
    </w:pPr>
    <w:rPr>
      <w:rFonts w:eastAsiaTheme="majorEastAsia" w:cstheme="majorBidi"/>
      <w:b/>
      <w:color w:val="6C0000"/>
      <w:szCs w:val="32"/>
    </w:rPr>
  </w:style>
  <w:style w:type="paragraph" w:styleId="Heading2">
    <w:name w:val="heading 2"/>
    <w:basedOn w:val="Normal"/>
    <w:next w:val="Normal"/>
    <w:link w:val="Heading2Char"/>
    <w:uiPriority w:val="9"/>
    <w:unhideWhenUsed/>
    <w:qFormat/>
    <w:rsid w:val="005501F3"/>
    <w:pPr>
      <w:keepNext/>
      <w:keepLines/>
      <w:spacing w:before="240" w:after="2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 w:type="character" w:customStyle="1" w:styleId="Heading1Char">
    <w:name w:val="Heading 1 Char"/>
    <w:basedOn w:val="DefaultParagraphFont"/>
    <w:link w:val="Heading1"/>
    <w:uiPriority w:val="9"/>
    <w:rsid w:val="005501F3"/>
    <w:rPr>
      <w:rFonts w:ascii="Arial" w:eastAsiaTheme="majorEastAsia" w:hAnsi="Arial" w:cstheme="majorBidi"/>
      <w:b/>
      <w:color w:val="6C0000"/>
      <w:sz w:val="24"/>
      <w:szCs w:val="32"/>
    </w:rPr>
  </w:style>
  <w:style w:type="character" w:customStyle="1" w:styleId="Heading2Char">
    <w:name w:val="Heading 2 Char"/>
    <w:basedOn w:val="DefaultParagraphFont"/>
    <w:link w:val="Heading2"/>
    <w:uiPriority w:val="9"/>
    <w:rsid w:val="005501F3"/>
    <w:rPr>
      <w:rFonts w:ascii="Arial" w:eastAsiaTheme="majorEastAsia" w:hAnsi="Arial" w:cstheme="majorBidi"/>
      <w:b/>
      <w:color w:val="000000" w:themeColor="text1"/>
      <w:sz w:val="24"/>
      <w:szCs w:val="26"/>
    </w:rPr>
  </w:style>
  <w:style w:type="character" w:styleId="Hyperlink">
    <w:name w:val="Hyperlink"/>
    <w:basedOn w:val="DefaultParagraphFont"/>
    <w:uiPriority w:val="99"/>
    <w:unhideWhenUsed/>
    <w:rsid w:val="009343BA"/>
    <w:rPr>
      <w:color w:val="0000FF"/>
      <w:u w:val="single"/>
    </w:rPr>
  </w:style>
  <w:style w:type="character" w:styleId="FollowedHyperlink">
    <w:name w:val="FollowedHyperlink"/>
    <w:basedOn w:val="DefaultParagraphFont"/>
    <w:uiPriority w:val="99"/>
    <w:semiHidden/>
    <w:unhideWhenUsed/>
    <w:rsid w:val="00E51A70"/>
    <w:rPr>
      <w:color w:val="954F72" w:themeColor="followedHyperlink"/>
      <w:u w:val="single"/>
    </w:rPr>
  </w:style>
  <w:style w:type="paragraph" w:styleId="Header">
    <w:name w:val="header"/>
    <w:basedOn w:val="Normal"/>
    <w:link w:val="HeaderChar"/>
    <w:uiPriority w:val="99"/>
    <w:unhideWhenUsed/>
    <w:rsid w:val="0080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D"/>
    <w:rPr>
      <w:rFonts w:ascii="Arial" w:hAnsi="Arial"/>
      <w:sz w:val="24"/>
    </w:rPr>
  </w:style>
  <w:style w:type="paragraph" w:styleId="Footer">
    <w:name w:val="footer"/>
    <w:basedOn w:val="Normal"/>
    <w:link w:val="FooterChar"/>
    <w:uiPriority w:val="99"/>
    <w:unhideWhenUsed/>
    <w:rsid w:val="0080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D"/>
    <w:rPr>
      <w:rFonts w:ascii="Arial" w:hAnsi="Arial"/>
      <w:sz w:val="24"/>
    </w:rPr>
  </w:style>
  <w:style w:type="paragraph" w:styleId="FootnoteText">
    <w:name w:val="footnote text"/>
    <w:basedOn w:val="Normal"/>
    <w:link w:val="FootnoteTextChar"/>
    <w:uiPriority w:val="99"/>
    <w:semiHidden/>
    <w:unhideWhenUsed/>
    <w:rsid w:val="004F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424"/>
    <w:rPr>
      <w:rFonts w:ascii="Arial" w:hAnsi="Arial"/>
      <w:sz w:val="20"/>
      <w:szCs w:val="20"/>
    </w:rPr>
  </w:style>
  <w:style w:type="character" w:styleId="FootnoteReference">
    <w:name w:val="footnote reference"/>
    <w:basedOn w:val="DefaultParagraphFont"/>
    <w:uiPriority w:val="99"/>
    <w:semiHidden/>
    <w:unhideWhenUsed/>
    <w:rsid w:val="004F14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943415331">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543714146">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ims.dccouncil.us/Download/34613/B21-0415-Economic-and-Policy-Impact-Statement-UPLAA3.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2.census.gov/programs-surveys/acs/methodology/design_and_methodology/acs_design_methodology_report_201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j.gov/labor/forms_pdfs/tdi/FLI%20Summary%20Report%20for%202016.pdf" TargetMode="External"/><Relationship Id="rId2" Type="http://schemas.openxmlformats.org/officeDocument/2006/relationships/hyperlink" Target="https://www.edd.ca.gov/about_edd/pdf/qspfl_PFL_Program_Statistics.pdf" TargetMode="External"/><Relationship Id="rId1" Type="http://schemas.openxmlformats.org/officeDocument/2006/relationships/hyperlink" Target="https://www.edd.ca.gov/about_edd/pdf/qsdi_DI_Program_Statistics.pdf" TargetMode="External"/><Relationship Id="rId5" Type="http://schemas.openxmlformats.org/officeDocument/2006/relationships/hyperlink" Target="http://www.dlt.ri.gov/lmi/uiadmin.htm" TargetMode="External"/><Relationship Id="rId4" Type="http://schemas.openxmlformats.org/officeDocument/2006/relationships/hyperlink" Target="https://www.nj.gov/labor/forms_pdfs/tdi/TDI%20Report%20for%20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22E2C-97C7-41A1-B7BA-EA484D489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6560</TotalTime>
  <Pages>11</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110</cp:revision>
  <dcterms:created xsi:type="dcterms:W3CDTF">2019-12-16T20:26:00Z</dcterms:created>
  <dcterms:modified xsi:type="dcterms:W3CDTF">2019-12-31T22:00:00Z</dcterms:modified>
</cp:coreProperties>
</file>