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72" w:rsidRDefault="0011791D" w:rsidP="00A61C72">
      <w:r>
        <w:rPr>
          <w:b/>
        </w:rPr>
        <w:t xml:space="preserve">Article </w:t>
      </w:r>
      <w:r w:rsidR="00A61C72" w:rsidRPr="00A61C72">
        <w:rPr>
          <w:b/>
        </w:rPr>
        <w:t>Title:</w:t>
      </w:r>
      <w:r w:rsidR="00A61C72">
        <w:t xml:space="preserve"> </w:t>
      </w:r>
      <w:r w:rsidR="00A61C72">
        <w:t xml:space="preserve">Deploying Community Paramedics </w:t>
      </w:r>
      <w:r>
        <w:t>to</w:t>
      </w:r>
      <w:r w:rsidR="00A61C72">
        <w:t xml:space="preserve"> Address Medication Complexity At Home</w:t>
      </w:r>
    </w:p>
    <w:p w:rsidR="00A61C72" w:rsidRDefault="00A61C72" w:rsidP="00A61C72"/>
    <w:p w:rsidR="00A61C72" w:rsidRDefault="00A61C72" w:rsidP="00A61C72">
      <w:r w:rsidRPr="00A61C72">
        <w:rPr>
          <w:b/>
        </w:rPr>
        <w:t>Full Article:</w:t>
      </w:r>
      <w:r w:rsidRPr="00A61C72">
        <w:t xml:space="preserve"> </w:t>
      </w:r>
      <w:hyperlink r:id="rId5" w:history="1">
        <w:r>
          <w:rPr>
            <w:rStyle w:val="Hyperlink"/>
          </w:rPr>
          <w:t>https://www.healthaffairs.org/do/10.1377/hblog20190129.181994/full/</w:t>
        </w:r>
      </w:hyperlink>
    </w:p>
    <w:p w:rsidR="00A61C72" w:rsidRDefault="00A61C72" w:rsidP="00A61C72"/>
    <w:p w:rsidR="00A61C72" w:rsidRPr="00A61C72" w:rsidRDefault="00A61C72" w:rsidP="00A61C72">
      <w:r>
        <w:rPr>
          <w:b/>
        </w:rPr>
        <w:t xml:space="preserve">Published: </w:t>
      </w:r>
      <w:r>
        <w:t>January 30, 2019</w:t>
      </w:r>
    </w:p>
    <w:p w:rsidR="00A61C72" w:rsidRDefault="00A61C72" w:rsidP="00A61C72"/>
    <w:p w:rsidR="00A61C72" w:rsidRDefault="0011791D" w:rsidP="00A61C72">
      <w:r>
        <w:rPr>
          <w:b/>
        </w:rPr>
        <w:t xml:space="preserve">Article </w:t>
      </w:r>
      <w:r w:rsidR="00A61C72" w:rsidRPr="00A61C72">
        <w:rPr>
          <w:b/>
        </w:rPr>
        <w:t>Summary:</w:t>
      </w:r>
      <w:r w:rsidR="00A61C72">
        <w:t xml:space="preserve"> </w:t>
      </w:r>
      <w:r w:rsidR="00A61C72">
        <w:t>Addressing medication complexity requires a holistic approach, which should include deploying providers, such as community paramedics, in new or expanded roles.</w:t>
      </w:r>
      <w:r w:rsidR="00A61C72">
        <w:t xml:space="preserve"> </w:t>
      </w:r>
      <w:r w:rsidR="00A61C72">
        <w:t>Barriers related to medication complexity may include prescription drugs being stored incorrectly, patients taking expired medications or over-the-counter supplements that have not been reported to their provider(s), or patients having difficulties adhering to complicated medication instructions.</w:t>
      </w:r>
    </w:p>
    <w:p w:rsidR="00A61C72" w:rsidRDefault="00A61C72" w:rsidP="00A61C72"/>
    <w:p w:rsidR="00A61C72" w:rsidRDefault="00A61C72" w:rsidP="00A61C72">
      <w:r>
        <w:t xml:space="preserve">One promising community paramedicine model that is beginning to show results for individuals with complicated medication routines is </w:t>
      </w:r>
      <w:proofErr w:type="spellStart"/>
      <w:r>
        <w:t>ThedaCare's</w:t>
      </w:r>
      <w:proofErr w:type="spellEnd"/>
      <w:r>
        <w:t xml:space="preserve"> community paramedicine pilot program in eastern Wisconsin.</w:t>
      </w:r>
      <w:r>
        <w:t xml:space="preserve"> </w:t>
      </w:r>
      <w:r>
        <w:t xml:space="preserve">Through funding from the Gordon and Betty Moore Foundation's Community Management of Medication Complexity Innovation Lab, </w:t>
      </w:r>
      <w:proofErr w:type="spellStart"/>
      <w:r>
        <w:t>ThedaCare</w:t>
      </w:r>
      <w:proofErr w:type="spellEnd"/>
      <w:r>
        <w:t xml:space="preserve"> expanded the paramedicine pilot to</w:t>
      </w:r>
      <w:r w:rsidR="00A9667A">
        <w:t xml:space="preserve"> address medication complexity. </w:t>
      </w:r>
      <w:r>
        <w:t>With this legislative buy-in, the role of community paramedics is strengthened and officially recognized as a needed addition to solving local health care issues, including medication complexity and the myriad problems it creates for patients and providers.</w:t>
      </w:r>
      <w:r>
        <w:t xml:space="preserve"> </w:t>
      </w:r>
      <w:r>
        <w:t xml:space="preserve">As recognition of the importance of addressing medication complexity among our most vulnerable </w:t>
      </w:r>
      <w:proofErr w:type="gramStart"/>
      <w:r>
        <w:t>populations</w:t>
      </w:r>
      <w:proofErr w:type="gramEnd"/>
      <w:r>
        <w:t xml:space="preserve"> increases, community-based innovations in medication management will undoubtedly flourish.</w:t>
      </w:r>
    </w:p>
    <w:p w:rsidR="00A61C72" w:rsidRDefault="00A61C72" w:rsidP="00A61C72"/>
    <w:p w:rsidR="009D2DB8" w:rsidRPr="009D2DB8" w:rsidRDefault="009D2DB8" w:rsidP="009D2DB8">
      <w:pPr>
        <w:rPr>
          <w:b/>
        </w:rPr>
      </w:pPr>
      <w:r w:rsidRPr="009D2DB8">
        <w:rPr>
          <w:b/>
        </w:rPr>
        <w:t>Twitter Query Specifications</w:t>
      </w:r>
    </w:p>
    <w:p w:rsidR="009D2DB8" w:rsidRDefault="009D2DB8" w:rsidP="009D2DB8"/>
    <w:tbl>
      <w:tblPr>
        <w:tblStyle w:val="TableGrid"/>
        <w:tblW w:w="0" w:type="auto"/>
        <w:tblLook w:val="04A0" w:firstRow="1" w:lastRow="0" w:firstColumn="1" w:lastColumn="0" w:noHBand="0" w:noVBand="1"/>
      </w:tblPr>
      <w:tblGrid>
        <w:gridCol w:w="1525"/>
        <w:gridCol w:w="6660"/>
        <w:gridCol w:w="1165"/>
      </w:tblGrid>
      <w:tr w:rsidR="009D2DB8" w:rsidRPr="00531DEE" w:rsidTr="007C391F">
        <w:trPr>
          <w:trHeight w:val="254"/>
        </w:trPr>
        <w:tc>
          <w:tcPr>
            <w:tcW w:w="1525" w:type="dxa"/>
          </w:tcPr>
          <w:p w:rsidR="009D2DB8" w:rsidRPr="00531DEE" w:rsidRDefault="009D2DB8" w:rsidP="007C391F">
            <w:pPr>
              <w:rPr>
                <w:rFonts w:cs="Times New Roman"/>
                <w:sz w:val="20"/>
                <w:szCs w:val="20"/>
              </w:rPr>
            </w:pPr>
            <w:r>
              <w:rPr>
                <w:rFonts w:cs="Times New Roman"/>
                <w:sz w:val="20"/>
                <w:szCs w:val="20"/>
              </w:rPr>
              <w:t>Type</w:t>
            </w:r>
          </w:p>
        </w:tc>
        <w:tc>
          <w:tcPr>
            <w:tcW w:w="6660" w:type="dxa"/>
          </w:tcPr>
          <w:p w:rsidR="009D2DB8" w:rsidRPr="00531DEE" w:rsidRDefault="009D2DB8" w:rsidP="007C391F">
            <w:pPr>
              <w:rPr>
                <w:rFonts w:cs="Times New Roman"/>
                <w:sz w:val="20"/>
                <w:szCs w:val="20"/>
              </w:rPr>
            </w:pPr>
            <w:r w:rsidRPr="00531DEE">
              <w:rPr>
                <w:rFonts w:cs="Times New Roman"/>
                <w:sz w:val="20"/>
                <w:szCs w:val="20"/>
              </w:rPr>
              <w:t>Query</w:t>
            </w:r>
          </w:p>
        </w:tc>
        <w:tc>
          <w:tcPr>
            <w:tcW w:w="1165" w:type="dxa"/>
          </w:tcPr>
          <w:p w:rsidR="009D2DB8" w:rsidRPr="00531DEE" w:rsidRDefault="009D2DB8" w:rsidP="007C391F">
            <w:pPr>
              <w:rPr>
                <w:rFonts w:cs="Times New Roman"/>
                <w:sz w:val="20"/>
                <w:szCs w:val="20"/>
              </w:rPr>
            </w:pPr>
            <w:r>
              <w:rPr>
                <w:rFonts w:cs="Times New Roman"/>
                <w:sz w:val="20"/>
                <w:szCs w:val="20"/>
              </w:rPr>
              <w:t># of tweets returned</w:t>
            </w:r>
          </w:p>
        </w:tc>
      </w:tr>
      <w:tr w:rsidR="009D2DB8" w:rsidRPr="00531DEE" w:rsidTr="007C391F">
        <w:trPr>
          <w:trHeight w:val="254"/>
        </w:trPr>
        <w:tc>
          <w:tcPr>
            <w:tcW w:w="1525" w:type="dxa"/>
          </w:tcPr>
          <w:p w:rsidR="009D2DB8" w:rsidRPr="00531DEE" w:rsidRDefault="009D2DB8" w:rsidP="007C391F">
            <w:pPr>
              <w:rPr>
                <w:rFonts w:cs="Times New Roman"/>
                <w:sz w:val="20"/>
                <w:szCs w:val="20"/>
              </w:rPr>
            </w:pPr>
            <w:r>
              <w:rPr>
                <w:rFonts w:cs="Times New Roman"/>
                <w:sz w:val="20"/>
                <w:szCs w:val="20"/>
              </w:rPr>
              <w:t xml:space="preserve">Tweets about </w:t>
            </w:r>
            <w:r>
              <w:rPr>
                <w:rFonts w:cs="Times New Roman"/>
                <w:sz w:val="20"/>
                <w:szCs w:val="20"/>
              </w:rPr>
              <w:t>Article</w:t>
            </w:r>
          </w:p>
        </w:tc>
        <w:tc>
          <w:tcPr>
            <w:tcW w:w="6660" w:type="dxa"/>
          </w:tcPr>
          <w:p w:rsidR="009D2DB8" w:rsidRDefault="009D2DB8" w:rsidP="007C391F">
            <w:pPr>
              <w:rPr>
                <w:rFonts w:cs="Times New Roman"/>
                <w:sz w:val="20"/>
                <w:szCs w:val="20"/>
              </w:rPr>
            </w:pPr>
            <w:r>
              <w:rPr>
                <w:rFonts w:cs="Times New Roman"/>
                <w:sz w:val="20"/>
                <w:szCs w:val="20"/>
              </w:rPr>
              <w:t>Exact phrase:</w:t>
            </w:r>
          </w:p>
          <w:p w:rsidR="009D2DB8" w:rsidRDefault="009D2DB8" w:rsidP="007C391F">
            <w:pPr>
              <w:rPr>
                <w:rFonts w:cs="Times New Roman"/>
                <w:sz w:val="20"/>
                <w:szCs w:val="20"/>
              </w:rPr>
            </w:pPr>
            <w:r>
              <w:rPr>
                <w:rFonts w:cs="Times New Roman"/>
                <w:sz w:val="20"/>
                <w:szCs w:val="20"/>
              </w:rPr>
              <w:t>“</w:t>
            </w:r>
            <w:r w:rsidRPr="00287FA8">
              <w:rPr>
                <w:rFonts w:cs="Times New Roman"/>
                <w:sz w:val="20"/>
                <w:szCs w:val="20"/>
              </w:rPr>
              <w:t>Deploying Community Paramedics To Addres</w:t>
            </w:r>
            <w:r>
              <w:rPr>
                <w:rFonts w:cs="Times New Roman"/>
                <w:sz w:val="20"/>
                <w:szCs w:val="20"/>
              </w:rPr>
              <w:t>s Medication Complexity At Home”</w:t>
            </w:r>
          </w:p>
          <w:p w:rsidR="009D2DB8" w:rsidRDefault="009D2DB8" w:rsidP="007C391F">
            <w:pPr>
              <w:rPr>
                <w:rFonts w:cs="Times New Roman"/>
                <w:sz w:val="20"/>
                <w:szCs w:val="20"/>
              </w:rPr>
            </w:pPr>
            <w:r>
              <w:rPr>
                <w:rFonts w:cs="Times New Roman"/>
                <w:sz w:val="20"/>
                <w:szCs w:val="20"/>
              </w:rPr>
              <w:t>“</w:t>
            </w:r>
            <w:r w:rsidRPr="00287FA8">
              <w:rPr>
                <w:rFonts w:cs="Times New Roman"/>
                <w:sz w:val="20"/>
                <w:szCs w:val="20"/>
              </w:rPr>
              <w:t>'healthaffairs.org/do/10.</w:t>
            </w:r>
            <w:r>
              <w:rPr>
                <w:rFonts w:cs="Times New Roman"/>
                <w:sz w:val="20"/>
                <w:szCs w:val="20"/>
              </w:rPr>
              <w:t>1377/hblog20190129.181994/full/”</w:t>
            </w:r>
          </w:p>
          <w:p w:rsidR="009D2DB8" w:rsidRPr="00531DEE" w:rsidRDefault="009D2DB8" w:rsidP="007C391F">
            <w:pPr>
              <w:rPr>
                <w:rFonts w:cs="Times New Roman"/>
                <w:sz w:val="20"/>
                <w:szCs w:val="20"/>
              </w:rPr>
            </w:pPr>
          </w:p>
          <w:p w:rsidR="009D2DB8" w:rsidRPr="00531DEE" w:rsidRDefault="009D2DB8" w:rsidP="007C391F">
            <w:pPr>
              <w:rPr>
                <w:rFonts w:cs="Times New Roman"/>
                <w:sz w:val="20"/>
                <w:szCs w:val="20"/>
              </w:rPr>
            </w:pPr>
            <w:r>
              <w:rPr>
                <w:rFonts w:cs="Times New Roman"/>
                <w:sz w:val="20"/>
                <w:szCs w:val="20"/>
              </w:rPr>
              <w:t>Date Parameter: 1</w:t>
            </w:r>
            <w:r w:rsidRPr="00531DEE">
              <w:rPr>
                <w:rFonts w:cs="Times New Roman"/>
                <w:sz w:val="20"/>
                <w:szCs w:val="20"/>
              </w:rPr>
              <w:t>/</w:t>
            </w:r>
            <w:r>
              <w:rPr>
                <w:rFonts w:cs="Times New Roman"/>
                <w:sz w:val="20"/>
                <w:szCs w:val="20"/>
              </w:rPr>
              <w:t>30</w:t>
            </w:r>
            <w:r w:rsidRPr="00531DEE">
              <w:rPr>
                <w:rFonts w:cs="Times New Roman"/>
                <w:sz w:val="20"/>
                <w:szCs w:val="20"/>
              </w:rPr>
              <w:t xml:space="preserve">/2019 </w:t>
            </w:r>
            <w:r>
              <w:rPr>
                <w:rFonts w:cs="Times New Roman"/>
                <w:sz w:val="20"/>
                <w:szCs w:val="20"/>
              </w:rPr>
              <w:t>–</w:t>
            </w:r>
            <w:r w:rsidRPr="00531DEE">
              <w:rPr>
                <w:rFonts w:cs="Times New Roman"/>
                <w:sz w:val="20"/>
                <w:szCs w:val="20"/>
              </w:rPr>
              <w:t xml:space="preserve"> </w:t>
            </w:r>
            <w:r>
              <w:rPr>
                <w:rFonts w:cs="Times New Roman"/>
                <w:sz w:val="20"/>
                <w:szCs w:val="20"/>
              </w:rPr>
              <w:t>Unbounded</w:t>
            </w:r>
          </w:p>
        </w:tc>
        <w:tc>
          <w:tcPr>
            <w:tcW w:w="1165" w:type="dxa"/>
          </w:tcPr>
          <w:p w:rsidR="009D2DB8" w:rsidRPr="00531DEE" w:rsidRDefault="009D2DB8" w:rsidP="007C391F">
            <w:pPr>
              <w:rPr>
                <w:rFonts w:cs="Times New Roman"/>
                <w:sz w:val="20"/>
                <w:szCs w:val="20"/>
              </w:rPr>
            </w:pPr>
            <w:r>
              <w:rPr>
                <w:rFonts w:cs="Times New Roman"/>
                <w:sz w:val="20"/>
                <w:szCs w:val="20"/>
              </w:rPr>
              <w:t>21</w:t>
            </w:r>
          </w:p>
        </w:tc>
      </w:tr>
      <w:tr w:rsidR="009D2DB8" w:rsidRPr="00531DEE" w:rsidTr="007C391F">
        <w:trPr>
          <w:trHeight w:val="254"/>
        </w:trPr>
        <w:tc>
          <w:tcPr>
            <w:tcW w:w="1525" w:type="dxa"/>
          </w:tcPr>
          <w:p w:rsidR="009D2DB8" w:rsidRDefault="009D2DB8" w:rsidP="007C391F">
            <w:pPr>
              <w:rPr>
                <w:rFonts w:cs="Times New Roman"/>
                <w:sz w:val="20"/>
                <w:szCs w:val="20"/>
              </w:rPr>
            </w:pPr>
            <w:r>
              <w:rPr>
                <w:rFonts w:cs="Times New Roman"/>
                <w:sz w:val="20"/>
                <w:szCs w:val="20"/>
              </w:rPr>
              <w:t xml:space="preserve">Tweets about </w:t>
            </w:r>
            <w:r>
              <w:rPr>
                <w:rFonts w:cs="Times New Roman"/>
                <w:sz w:val="20"/>
                <w:szCs w:val="20"/>
              </w:rPr>
              <w:t>Topic</w:t>
            </w:r>
            <w:r>
              <w:rPr>
                <w:rFonts w:cs="Times New Roman"/>
                <w:sz w:val="20"/>
                <w:szCs w:val="20"/>
              </w:rPr>
              <w:t xml:space="preserve"> prior to Article</w:t>
            </w:r>
          </w:p>
        </w:tc>
        <w:tc>
          <w:tcPr>
            <w:tcW w:w="6660" w:type="dxa"/>
          </w:tcPr>
          <w:p w:rsidR="009D2DB8" w:rsidRDefault="009D2DB8" w:rsidP="007C391F">
            <w:pPr>
              <w:rPr>
                <w:rFonts w:cs="Times New Roman"/>
                <w:sz w:val="20"/>
                <w:szCs w:val="20"/>
              </w:rPr>
            </w:pPr>
            <w:r>
              <w:rPr>
                <w:rFonts w:cs="Times New Roman"/>
                <w:sz w:val="20"/>
                <w:szCs w:val="20"/>
              </w:rPr>
              <w:t>Exact phrase: “Community Paramedic”</w:t>
            </w:r>
          </w:p>
          <w:p w:rsidR="009D2DB8" w:rsidRDefault="009D2DB8" w:rsidP="007C391F">
            <w:pPr>
              <w:rPr>
                <w:rFonts w:cs="Times New Roman"/>
                <w:sz w:val="20"/>
                <w:szCs w:val="20"/>
              </w:rPr>
            </w:pPr>
            <w:r>
              <w:rPr>
                <w:rFonts w:cs="Times New Roman"/>
                <w:sz w:val="20"/>
                <w:szCs w:val="20"/>
              </w:rPr>
              <w:t>Any of these words: Medication, Drug, Medicate</w:t>
            </w:r>
          </w:p>
          <w:p w:rsidR="009D2DB8" w:rsidRPr="00531DEE" w:rsidRDefault="009D2DB8" w:rsidP="007C391F">
            <w:pPr>
              <w:rPr>
                <w:rFonts w:cs="Times New Roman"/>
                <w:sz w:val="20"/>
                <w:szCs w:val="20"/>
              </w:rPr>
            </w:pPr>
            <w:r>
              <w:rPr>
                <w:rFonts w:cs="Times New Roman"/>
                <w:sz w:val="20"/>
                <w:szCs w:val="20"/>
              </w:rPr>
              <w:t>Date Parameter: Unbounded - 1</w:t>
            </w:r>
            <w:r w:rsidRPr="00531DEE">
              <w:rPr>
                <w:rFonts w:cs="Times New Roman"/>
                <w:sz w:val="20"/>
                <w:szCs w:val="20"/>
              </w:rPr>
              <w:t>/</w:t>
            </w:r>
            <w:r>
              <w:rPr>
                <w:rFonts w:cs="Times New Roman"/>
                <w:sz w:val="20"/>
                <w:szCs w:val="20"/>
              </w:rPr>
              <w:t xml:space="preserve">30/2019 </w:t>
            </w:r>
          </w:p>
        </w:tc>
        <w:tc>
          <w:tcPr>
            <w:tcW w:w="1165" w:type="dxa"/>
          </w:tcPr>
          <w:p w:rsidR="009D2DB8" w:rsidRDefault="009D2DB8" w:rsidP="007C391F">
            <w:pPr>
              <w:rPr>
                <w:rFonts w:cs="Times New Roman"/>
                <w:sz w:val="20"/>
                <w:szCs w:val="20"/>
              </w:rPr>
            </w:pPr>
            <w:r>
              <w:rPr>
                <w:rFonts w:cs="Times New Roman"/>
                <w:sz w:val="20"/>
                <w:szCs w:val="20"/>
              </w:rPr>
              <w:t>30</w:t>
            </w:r>
          </w:p>
        </w:tc>
      </w:tr>
    </w:tbl>
    <w:p w:rsidR="009D2DB8" w:rsidRDefault="009D2DB8" w:rsidP="00A61C72"/>
    <w:p w:rsidR="00FA4095" w:rsidRDefault="00FA4095">
      <w:pPr>
        <w:rPr>
          <w:b/>
        </w:rPr>
      </w:pPr>
      <w:r>
        <w:rPr>
          <w:b/>
        </w:rPr>
        <w:br w:type="page"/>
      </w:r>
    </w:p>
    <w:p w:rsidR="0011791D" w:rsidRDefault="009C4AA8" w:rsidP="00A61C72">
      <w:r>
        <w:rPr>
          <w:b/>
        </w:rPr>
        <w:lastRenderedPageBreak/>
        <w:t xml:space="preserve">Prospective </w:t>
      </w:r>
      <w:r w:rsidR="007231D6">
        <w:rPr>
          <w:b/>
        </w:rPr>
        <w:t xml:space="preserve">Qualitative </w:t>
      </w:r>
      <w:r w:rsidR="00A61C72">
        <w:rPr>
          <w:b/>
        </w:rPr>
        <w:t xml:space="preserve">Analysis </w:t>
      </w:r>
      <w:r>
        <w:rPr>
          <w:b/>
        </w:rPr>
        <w:t>(</w:t>
      </w:r>
      <w:r w:rsidR="00A61C72">
        <w:rPr>
          <w:b/>
        </w:rPr>
        <w:t>Tweets</w:t>
      </w:r>
      <w:r w:rsidR="00601FDC">
        <w:rPr>
          <w:b/>
        </w:rPr>
        <w:t xml:space="preserve"> about a</w:t>
      </w:r>
      <w:r>
        <w:rPr>
          <w:b/>
        </w:rPr>
        <w:t>rticle)</w:t>
      </w:r>
      <w:r w:rsidR="00A61C72">
        <w:rPr>
          <w:b/>
        </w:rPr>
        <w:t xml:space="preserve">: </w:t>
      </w:r>
      <w:r w:rsidR="00A61C72">
        <w:t xml:space="preserve">After the article was published on Health Affairs, the </w:t>
      </w:r>
      <w:proofErr w:type="spellStart"/>
      <w:r w:rsidR="00A61C72">
        <w:t>Health_Affairs</w:t>
      </w:r>
      <w:proofErr w:type="spellEnd"/>
      <w:r w:rsidR="00A61C72">
        <w:t xml:space="preserve"> Twitter account sent a tweet out with linking to it.</w:t>
      </w:r>
      <w:r>
        <w:t xml:space="preserve"> </w:t>
      </w:r>
    </w:p>
    <w:p w:rsidR="0011791D" w:rsidRDefault="0011791D" w:rsidP="00A61C72"/>
    <w:p w:rsidR="0011791D" w:rsidRDefault="0011791D" w:rsidP="00A61C72">
      <w:r>
        <w:rPr>
          <w:noProof/>
        </w:rPr>
        <w:drawing>
          <wp:inline distT="0" distB="0" distL="0" distR="0" wp14:anchorId="6ADA3718" wp14:editId="4E5C4F77">
            <wp:extent cx="3157870" cy="17779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7870" cy="1777960"/>
                    </a:xfrm>
                    <a:prstGeom prst="rect">
                      <a:avLst/>
                    </a:prstGeom>
                  </pic:spPr>
                </pic:pic>
              </a:graphicData>
            </a:graphic>
          </wp:inline>
        </w:drawing>
      </w:r>
    </w:p>
    <w:p w:rsidR="0011791D" w:rsidRDefault="0011791D" w:rsidP="00A61C72"/>
    <w:p w:rsidR="00A61C72" w:rsidRDefault="009C4AA8" w:rsidP="00A61C72">
      <w:r>
        <w:t>From there, 20 users wrote original tweets, and 21 users retweeted existing tweets about the article. The breakdown of the types of stakeholders writing original tweets are in the table below:</w:t>
      </w:r>
    </w:p>
    <w:p w:rsidR="009C4AA8" w:rsidRDefault="009C4AA8" w:rsidP="00A61C72"/>
    <w:p w:rsidR="009C4AA8" w:rsidRPr="007231D6" w:rsidRDefault="00CC6420" w:rsidP="00A61C72">
      <w:pPr>
        <w:rPr>
          <w:u w:val="single"/>
        </w:rPr>
      </w:pPr>
      <w:r w:rsidRPr="007231D6">
        <w:rPr>
          <w:u w:val="single"/>
        </w:rPr>
        <w:t>Tabulation</w:t>
      </w:r>
      <w:r w:rsidR="009C4AA8" w:rsidRPr="007231D6">
        <w:rPr>
          <w:u w:val="single"/>
        </w:rPr>
        <w:t xml:space="preserve"> of Stakeholder Types</w:t>
      </w:r>
      <w:r w:rsidR="007231D6">
        <w:rPr>
          <w:u w:val="single"/>
        </w:rPr>
        <w:t xml:space="preserve"> (Manually Labeled) Writing Original Tweets</w:t>
      </w:r>
    </w:p>
    <w:p w:rsidR="009C4AA8" w:rsidRPr="009C4AA8" w:rsidRDefault="009C4AA8" w:rsidP="00A61C72">
      <w:pPr>
        <w:rPr>
          <w:b/>
          <w:u w:val="single"/>
        </w:rPr>
      </w:pPr>
    </w:p>
    <w:tbl>
      <w:tblPr>
        <w:tblW w:w="3780" w:type="dxa"/>
        <w:tblInd w:w="-5" w:type="dxa"/>
        <w:tblLook w:val="04A0" w:firstRow="1" w:lastRow="0" w:firstColumn="1" w:lastColumn="0" w:noHBand="0" w:noVBand="1"/>
      </w:tblPr>
      <w:tblGrid>
        <w:gridCol w:w="2520"/>
        <w:gridCol w:w="1260"/>
      </w:tblGrid>
      <w:tr w:rsidR="009C4AA8" w:rsidRPr="00A61C72" w:rsidTr="009C4AA8">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4AA8" w:rsidRPr="009C4AA8" w:rsidRDefault="009C4AA8" w:rsidP="009C4AA8">
            <w:pPr>
              <w:rPr>
                <w:rFonts w:ascii="Calibri" w:eastAsia="Times New Roman" w:hAnsi="Calibri" w:cs="Times New Roman"/>
                <w:b/>
                <w:color w:val="000000"/>
                <w:sz w:val="22"/>
                <w:szCs w:val="22"/>
              </w:rPr>
            </w:pPr>
            <w:r>
              <w:rPr>
                <w:rFonts w:ascii="Calibri" w:eastAsia="Times New Roman" w:hAnsi="Calibri" w:cs="Times New Roman"/>
                <w:b/>
                <w:color w:val="000000"/>
                <w:sz w:val="22"/>
                <w:szCs w:val="22"/>
              </w:rPr>
              <w:t>Stakeholder Type</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4AA8" w:rsidRPr="009C4AA8" w:rsidRDefault="009C4AA8" w:rsidP="009C4AA8">
            <w:pPr>
              <w:jc w:val="right"/>
              <w:rPr>
                <w:rFonts w:ascii="Calibri" w:eastAsia="Times New Roman" w:hAnsi="Calibri" w:cs="Times New Roman"/>
                <w:b/>
                <w:color w:val="000000"/>
                <w:sz w:val="22"/>
                <w:szCs w:val="22"/>
              </w:rPr>
            </w:pPr>
            <w:r w:rsidRPr="009C4AA8">
              <w:rPr>
                <w:rFonts w:ascii="Calibri" w:eastAsia="Times New Roman" w:hAnsi="Calibri" w:cs="Times New Roman"/>
                <w:b/>
                <w:color w:val="000000"/>
                <w:sz w:val="22"/>
                <w:szCs w:val="22"/>
              </w:rPr>
              <w:t># of users</w:t>
            </w:r>
          </w:p>
        </w:tc>
      </w:tr>
      <w:tr w:rsidR="009C4AA8" w:rsidRPr="00A61C72" w:rsidTr="009C4AA8">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4AA8" w:rsidRPr="00A61C72" w:rsidRDefault="009C4AA8" w:rsidP="009C4AA8">
            <w:pPr>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Individual Practitioner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4AA8" w:rsidRPr="00A61C72" w:rsidRDefault="009C4AA8" w:rsidP="009C4AA8">
            <w:pPr>
              <w:jc w:val="right"/>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6</w:t>
            </w:r>
          </w:p>
        </w:tc>
      </w:tr>
      <w:tr w:rsidR="009C4AA8" w:rsidRPr="00A61C72" w:rsidTr="009C4AA8">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 xml:space="preserve">Healthcare </w:t>
            </w:r>
            <w:r>
              <w:rPr>
                <w:rFonts w:ascii="Calibri" w:eastAsia="Times New Roman" w:hAnsi="Calibri" w:cs="Times New Roman"/>
                <w:color w:val="000000"/>
                <w:sz w:val="22"/>
                <w:szCs w:val="22"/>
              </w:rPr>
              <w:t>A</w:t>
            </w:r>
            <w:r w:rsidRPr="00A61C72">
              <w:rPr>
                <w:rFonts w:ascii="Calibri" w:eastAsia="Times New Roman" w:hAnsi="Calibri" w:cs="Times New Roman"/>
                <w:color w:val="000000"/>
                <w:sz w:val="22"/>
                <w:szCs w:val="22"/>
              </w:rPr>
              <w:t>ssociation</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jc w:val="right"/>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5</w:t>
            </w:r>
          </w:p>
        </w:tc>
      </w:tr>
      <w:tr w:rsidR="009C4AA8" w:rsidRPr="00A61C72" w:rsidTr="009C4AA8">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4AA8" w:rsidRPr="00A61C72" w:rsidRDefault="009C4AA8" w:rsidP="009C4AA8">
            <w:pPr>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General Public</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4AA8" w:rsidRPr="00A61C72" w:rsidRDefault="009C4AA8" w:rsidP="009C4AA8">
            <w:pPr>
              <w:jc w:val="right"/>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3</w:t>
            </w:r>
          </w:p>
        </w:tc>
      </w:tr>
      <w:tr w:rsidR="009C4AA8" w:rsidRPr="00A61C72" w:rsidTr="009C4AA8">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Healthcare Provider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jc w:val="right"/>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3</w:t>
            </w:r>
          </w:p>
        </w:tc>
      </w:tr>
      <w:tr w:rsidR="009C4AA8" w:rsidRPr="00A61C72" w:rsidTr="009C4AA8">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Individual Researcher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jc w:val="right"/>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1</w:t>
            </w:r>
          </w:p>
        </w:tc>
      </w:tr>
      <w:tr w:rsidR="009C4AA8" w:rsidRPr="00A61C72" w:rsidTr="009C4AA8">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146B9F" w:rsidP="009C4AA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Health Affairs Journal</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jc w:val="right"/>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1</w:t>
            </w:r>
          </w:p>
        </w:tc>
      </w:tr>
      <w:tr w:rsidR="009C4AA8" w:rsidRPr="00A61C72" w:rsidTr="009C4AA8">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News Aggregator</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jc w:val="right"/>
              <w:rPr>
                <w:rFonts w:ascii="Calibri" w:eastAsia="Times New Roman" w:hAnsi="Calibri" w:cs="Times New Roman"/>
                <w:color w:val="000000"/>
                <w:sz w:val="22"/>
                <w:szCs w:val="22"/>
              </w:rPr>
            </w:pPr>
            <w:r w:rsidRPr="00A61C72">
              <w:rPr>
                <w:rFonts w:ascii="Calibri" w:eastAsia="Times New Roman" w:hAnsi="Calibri" w:cs="Times New Roman"/>
                <w:color w:val="000000"/>
                <w:sz w:val="22"/>
                <w:szCs w:val="22"/>
              </w:rPr>
              <w:t>1</w:t>
            </w:r>
          </w:p>
        </w:tc>
      </w:tr>
      <w:tr w:rsidR="009C4AA8" w:rsidRPr="00A61C72" w:rsidTr="009C4AA8">
        <w:trPr>
          <w:trHeight w:val="300"/>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T</w:t>
            </w:r>
            <w:r w:rsidRPr="00A61C72">
              <w:rPr>
                <w:rFonts w:ascii="Calibri" w:eastAsia="Times New Roman" w:hAnsi="Calibri" w:cs="Times New Roman"/>
                <w:b/>
                <w:bCs/>
                <w:color w:val="000000"/>
                <w:sz w:val="22"/>
                <w:szCs w:val="22"/>
              </w:rPr>
              <w:t>otal</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AA8" w:rsidRPr="00A61C72" w:rsidRDefault="009C4AA8" w:rsidP="009C4AA8">
            <w:pPr>
              <w:jc w:val="right"/>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20</w:t>
            </w:r>
          </w:p>
        </w:tc>
      </w:tr>
    </w:tbl>
    <w:p w:rsidR="00A61C72" w:rsidRDefault="00A61C72" w:rsidP="00A61C72"/>
    <w:p w:rsidR="004B0B08" w:rsidRDefault="00951AF5">
      <w:r>
        <w:t xml:space="preserve">A </w:t>
      </w:r>
      <w:proofErr w:type="spellStart"/>
      <w:r>
        <w:t>liitle</w:t>
      </w:r>
      <w:proofErr w:type="spellEnd"/>
      <w:r>
        <w:t xml:space="preserve"> over half of </w:t>
      </w:r>
      <w:r w:rsidR="00146B9F">
        <w:t xml:space="preserve">users </w:t>
      </w:r>
      <w:r w:rsidR="009D2DB8">
        <w:t>(</w:t>
      </w:r>
      <w:r w:rsidR="00146B9F">
        <w:t>1</w:t>
      </w:r>
      <w:r w:rsidR="00122B6A">
        <w:t>2</w:t>
      </w:r>
      <w:r w:rsidR="00146B9F">
        <w:t xml:space="preserve"> of them</w:t>
      </w:r>
      <w:r w:rsidR="009D2DB8">
        <w:t xml:space="preserve">) </w:t>
      </w:r>
      <w:r w:rsidR="007231D6">
        <w:t xml:space="preserve">simply </w:t>
      </w:r>
      <w:r w:rsidR="009D2DB8">
        <w:t>included the name/title of the article without adding any additional commentary.</w:t>
      </w:r>
      <w:r w:rsidR="004B0B08">
        <w:t xml:space="preserve"> The remaining 8 users tweeted largely to express support for the practice, though a couple users used the opportunity to criticize other parts of the healthcare system.  </w:t>
      </w:r>
      <w:bookmarkStart w:id="0" w:name="_GoBack"/>
      <w:bookmarkEnd w:id="0"/>
    </w:p>
    <w:p w:rsidR="004B0B08" w:rsidRDefault="004B0B08">
      <w:pPr>
        <w:sectPr w:rsidR="004B0B08">
          <w:pgSz w:w="12240" w:h="15840"/>
          <w:pgMar w:top="1440" w:right="1440" w:bottom="1440" w:left="1440" w:header="720" w:footer="720" w:gutter="0"/>
          <w:cols w:space="720"/>
          <w:docGrid w:linePitch="360"/>
        </w:sectPr>
      </w:pPr>
    </w:p>
    <w:p w:rsidR="00A61C72" w:rsidRDefault="004B0B08" w:rsidP="004B0B08">
      <w:pPr>
        <w:jc w:val="center"/>
        <w:rPr>
          <w:u w:val="single"/>
        </w:rPr>
      </w:pPr>
      <w:r>
        <w:rPr>
          <w:u w:val="single"/>
        </w:rPr>
        <w:lastRenderedPageBreak/>
        <w:t>Commentary Tweets about Article</w:t>
      </w:r>
    </w:p>
    <w:p w:rsidR="004B0B08" w:rsidRDefault="004B0B08" w:rsidP="004B0B08">
      <w:pPr>
        <w:jc w:val="center"/>
        <w:rPr>
          <w:u w:val="single"/>
        </w:rPr>
      </w:pPr>
    </w:p>
    <w:tbl>
      <w:tblPr>
        <w:tblStyle w:val="TableGrid"/>
        <w:tblW w:w="12946" w:type="dxa"/>
        <w:tblLayout w:type="fixed"/>
        <w:tblLook w:val="04A0" w:firstRow="1" w:lastRow="0" w:firstColumn="1" w:lastColumn="0" w:noHBand="0" w:noVBand="1"/>
      </w:tblPr>
      <w:tblGrid>
        <w:gridCol w:w="1029"/>
        <w:gridCol w:w="1756"/>
        <w:gridCol w:w="2532"/>
        <w:gridCol w:w="7629"/>
      </w:tblGrid>
      <w:tr w:rsidR="00C76DBA" w:rsidTr="00C76DBA">
        <w:trPr>
          <w:trHeight w:val="224"/>
        </w:trPr>
        <w:tc>
          <w:tcPr>
            <w:tcW w:w="1029" w:type="dxa"/>
          </w:tcPr>
          <w:p w:rsidR="00C76DBA" w:rsidRDefault="00C76DBA" w:rsidP="004B0B08">
            <w:r>
              <w:t>Tweet #</w:t>
            </w:r>
          </w:p>
        </w:tc>
        <w:tc>
          <w:tcPr>
            <w:tcW w:w="1756" w:type="dxa"/>
          </w:tcPr>
          <w:p w:rsidR="00C76DBA" w:rsidRPr="004B0B08" w:rsidRDefault="00C76DBA" w:rsidP="004B0B08">
            <w:r>
              <w:t>Stakeholder Type</w:t>
            </w:r>
          </w:p>
        </w:tc>
        <w:tc>
          <w:tcPr>
            <w:tcW w:w="2532" w:type="dxa"/>
          </w:tcPr>
          <w:p w:rsidR="00C76DBA" w:rsidRPr="004B0B08" w:rsidRDefault="00C76DBA" w:rsidP="004B0B08">
            <w:r>
              <w:t>Summary of Sentiment</w:t>
            </w:r>
          </w:p>
        </w:tc>
        <w:tc>
          <w:tcPr>
            <w:tcW w:w="7629" w:type="dxa"/>
          </w:tcPr>
          <w:p w:rsidR="00C76DBA" w:rsidRPr="004B0B08" w:rsidRDefault="00C76DBA" w:rsidP="004B0B08">
            <w:r>
              <w:t>Full Text of Tweet</w:t>
            </w:r>
          </w:p>
        </w:tc>
      </w:tr>
      <w:tr w:rsidR="00C76DBA" w:rsidTr="00C76DBA">
        <w:trPr>
          <w:trHeight w:val="224"/>
        </w:trPr>
        <w:tc>
          <w:tcPr>
            <w:tcW w:w="1029" w:type="dxa"/>
          </w:tcPr>
          <w:p w:rsidR="00C76DBA" w:rsidRPr="004B0B08" w:rsidRDefault="00C76DBA" w:rsidP="004B0B08">
            <w:pPr>
              <w:rPr>
                <w:rFonts w:asciiTheme="minorHAnsi" w:hAnsiTheme="minorHAnsi"/>
                <w:color w:val="000000"/>
                <w:sz w:val="20"/>
                <w:szCs w:val="20"/>
              </w:rPr>
            </w:pPr>
            <w:r>
              <w:rPr>
                <w:rFonts w:asciiTheme="minorHAnsi" w:hAnsiTheme="minorHAnsi"/>
                <w:color w:val="000000"/>
                <w:sz w:val="20"/>
                <w:szCs w:val="20"/>
              </w:rPr>
              <w:t>1</w:t>
            </w:r>
          </w:p>
        </w:tc>
        <w:tc>
          <w:tcPr>
            <w:tcW w:w="1756" w:type="dxa"/>
          </w:tcPr>
          <w:p w:rsidR="00C76DBA" w:rsidRPr="004B0B08" w:rsidRDefault="00C76DBA" w:rsidP="004B0B08">
            <w:pPr>
              <w:rPr>
                <w:rFonts w:asciiTheme="minorHAnsi" w:hAnsiTheme="minorHAnsi"/>
                <w:color w:val="000000"/>
                <w:sz w:val="20"/>
                <w:szCs w:val="20"/>
              </w:rPr>
            </w:pPr>
            <w:r w:rsidRPr="004B0B08">
              <w:rPr>
                <w:rFonts w:asciiTheme="minorHAnsi" w:hAnsiTheme="minorHAnsi"/>
                <w:color w:val="000000"/>
                <w:sz w:val="20"/>
                <w:szCs w:val="20"/>
              </w:rPr>
              <w:t>Individual Practitioner</w:t>
            </w:r>
          </w:p>
        </w:tc>
        <w:tc>
          <w:tcPr>
            <w:tcW w:w="2532" w:type="dxa"/>
          </w:tcPr>
          <w:p w:rsidR="00C76DBA" w:rsidRPr="004B0B08" w:rsidRDefault="00C76DBA" w:rsidP="004B0B08">
            <w:pPr>
              <w:rPr>
                <w:rFonts w:asciiTheme="minorHAnsi" w:hAnsiTheme="minorHAnsi"/>
                <w:sz w:val="20"/>
                <w:szCs w:val="20"/>
              </w:rPr>
            </w:pPr>
            <w:r w:rsidRPr="004B0B08">
              <w:rPr>
                <w:rFonts w:asciiTheme="minorHAnsi" w:hAnsiTheme="minorHAnsi"/>
                <w:sz w:val="20"/>
                <w:szCs w:val="20"/>
              </w:rPr>
              <w:t>Positive Support</w:t>
            </w:r>
          </w:p>
        </w:tc>
        <w:tc>
          <w:tcPr>
            <w:tcW w:w="7629" w:type="dxa"/>
          </w:tcPr>
          <w:p w:rsidR="00C76DBA" w:rsidRPr="004B0B08" w:rsidRDefault="00C76DBA" w:rsidP="004B0B08">
            <w:pPr>
              <w:rPr>
                <w:rFonts w:asciiTheme="minorHAnsi" w:hAnsiTheme="minorHAnsi"/>
                <w:color w:val="000000"/>
                <w:sz w:val="20"/>
                <w:szCs w:val="20"/>
              </w:rPr>
            </w:pPr>
            <w:r w:rsidRPr="004B0B08">
              <w:rPr>
                <w:rFonts w:asciiTheme="minorHAnsi" w:hAnsiTheme="minorHAnsi"/>
                <w:color w:val="000000"/>
                <w:sz w:val="20"/>
                <w:szCs w:val="20"/>
              </w:rPr>
              <w:t>Closing the gap on preventable adverse drug events - Kudos @</w:t>
            </w:r>
            <w:proofErr w:type="spellStart"/>
            <w:r w:rsidRPr="004B0B08">
              <w:rPr>
                <w:rFonts w:asciiTheme="minorHAnsi" w:hAnsiTheme="minorHAnsi"/>
                <w:color w:val="000000"/>
                <w:sz w:val="20"/>
                <w:szCs w:val="20"/>
              </w:rPr>
              <w:t>CHCShealth</w:t>
            </w:r>
            <w:proofErr w:type="spellEnd"/>
            <w:r w:rsidRPr="004B0B08">
              <w:rPr>
                <w:rFonts w:asciiTheme="minorHAnsi" w:hAnsiTheme="minorHAnsi"/>
                <w:color w:val="000000"/>
                <w:sz w:val="20"/>
                <w:szCs w:val="20"/>
              </w:rPr>
              <w:t xml:space="preserve"> : Health Affairs Blog | Deploying Community Paramedics to Address Medication Complexity at Home http:// bit.ly/2FPCCTn via @</w:t>
            </w:r>
            <w:proofErr w:type="spellStart"/>
            <w:r w:rsidRPr="004B0B08">
              <w:rPr>
                <w:rFonts w:asciiTheme="minorHAnsi" w:hAnsiTheme="minorHAnsi"/>
                <w:color w:val="000000"/>
                <w:sz w:val="20"/>
                <w:szCs w:val="20"/>
              </w:rPr>
              <w:t>CHCShealth</w:t>
            </w:r>
            <w:proofErr w:type="spellEnd"/>
          </w:p>
        </w:tc>
      </w:tr>
      <w:tr w:rsidR="00C76DBA" w:rsidTr="00C76DBA">
        <w:trPr>
          <w:trHeight w:val="224"/>
        </w:trPr>
        <w:tc>
          <w:tcPr>
            <w:tcW w:w="1029" w:type="dxa"/>
          </w:tcPr>
          <w:p w:rsidR="00C76DBA" w:rsidRPr="004B0B08" w:rsidRDefault="00C76DBA" w:rsidP="004B0B08">
            <w:pPr>
              <w:rPr>
                <w:rFonts w:asciiTheme="minorHAnsi" w:hAnsiTheme="minorHAnsi"/>
                <w:color w:val="000000"/>
                <w:sz w:val="20"/>
                <w:szCs w:val="20"/>
              </w:rPr>
            </w:pPr>
            <w:r>
              <w:rPr>
                <w:rFonts w:asciiTheme="minorHAnsi" w:hAnsiTheme="minorHAnsi"/>
                <w:color w:val="000000"/>
                <w:sz w:val="20"/>
                <w:szCs w:val="20"/>
              </w:rPr>
              <w:t>2</w:t>
            </w:r>
          </w:p>
        </w:tc>
        <w:tc>
          <w:tcPr>
            <w:tcW w:w="1756" w:type="dxa"/>
          </w:tcPr>
          <w:p w:rsidR="00C76DBA" w:rsidRPr="004B0B08" w:rsidRDefault="00C76DBA" w:rsidP="004B0B08">
            <w:pPr>
              <w:rPr>
                <w:rFonts w:asciiTheme="minorHAnsi" w:hAnsiTheme="minorHAnsi"/>
                <w:color w:val="000000"/>
                <w:sz w:val="20"/>
                <w:szCs w:val="20"/>
              </w:rPr>
            </w:pPr>
            <w:r w:rsidRPr="004B0B08">
              <w:rPr>
                <w:rFonts w:asciiTheme="minorHAnsi" w:hAnsiTheme="minorHAnsi"/>
                <w:color w:val="000000"/>
                <w:sz w:val="20"/>
                <w:szCs w:val="20"/>
              </w:rPr>
              <w:t>Individual Practitioner</w:t>
            </w:r>
          </w:p>
        </w:tc>
        <w:tc>
          <w:tcPr>
            <w:tcW w:w="2532" w:type="dxa"/>
          </w:tcPr>
          <w:p w:rsidR="00C76DBA" w:rsidRPr="00122B6A" w:rsidRDefault="00C76DBA" w:rsidP="00122B6A">
            <w:pPr>
              <w:rPr>
                <w:rFonts w:asciiTheme="minorHAnsi" w:hAnsiTheme="minorHAnsi"/>
                <w:sz w:val="20"/>
                <w:szCs w:val="20"/>
              </w:rPr>
            </w:pPr>
            <w:r>
              <w:rPr>
                <w:rFonts w:asciiTheme="minorHAnsi" w:hAnsiTheme="minorHAnsi"/>
                <w:sz w:val="20"/>
                <w:szCs w:val="20"/>
              </w:rPr>
              <w:t>Negative Criticism, believes pharmacists are better suited for this role</w:t>
            </w:r>
          </w:p>
        </w:tc>
        <w:tc>
          <w:tcPr>
            <w:tcW w:w="7629" w:type="dxa"/>
          </w:tcPr>
          <w:p w:rsidR="00C76DBA" w:rsidRPr="004B0B08" w:rsidRDefault="00C76DBA" w:rsidP="004B0B08">
            <w:pPr>
              <w:rPr>
                <w:rFonts w:asciiTheme="minorHAnsi" w:hAnsiTheme="minorHAnsi"/>
                <w:color w:val="000000"/>
                <w:sz w:val="20"/>
                <w:szCs w:val="20"/>
              </w:rPr>
            </w:pPr>
            <w:r w:rsidRPr="004B0B08">
              <w:rPr>
                <w:rFonts w:asciiTheme="minorHAnsi" w:hAnsiTheme="minorHAnsi"/>
                <w:color w:val="000000"/>
                <w:sz w:val="20"/>
                <w:szCs w:val="20"/>
              </w:rPr>
              <w:t>Deploying Community Paramedics To Address Medication Complexity At Home http:// disq.us/t/3b0salv #</w:t>
            </w:r>
            <w:proofErr w:type="spellStart"/>
            <w:proofErr w:type="gramStart"/>
            <w:r w:rsidRPr="004B0B08">
              <w:rPr>
                <w:rFonts w:asciiTheme="minorHAnsi" w:hAnsiTheme="minorHAnsi"/>
                <w:color w:val="000000"/>
                <w:sz w:val="20"/>
                <w:szCs w:val="20"/>
              </w:rPr>
              <w:t>Pharmacistswakeup</w:t>
            </w:r>
            <w:proofErr w:type="spellEnd"/>
            <w:r w:rsidRPr="004B0B08">
              <w:rPr>
                <w:rFonts w:asciiTheme="minorHAnsi" w:hAnsiTheme="minorHAnsi"/>
                <w:color w:val="000000"/>
                <w:sz w:val="20"/>
                <w:szCs w:val="20"/>
              </w:rPr>
              <w:t xml:space="preserve"> !</w:t>
            </w:r>
            <w:proofErr w:type="gramEnd"/>
            <w:r w:rsidRPr="004B0B08">
              <w:rPr>
                <w:rFonts w:asciiTheme="minorHAnsi" w:hAnsiTheme="minorHAnsi"/>
                <w:color w:val="000000"/>
                <w:sz w:val="20"/>
                <w:szCs w:val="20"/>
              </w:rPr>
              <w:t xml:space="preserve"> #</w:t>
            </w:r>
            <w:proofErr w:type="spellStart"/>
            <w:r w:rsidRPr="004B0B08">
              <w:rPr>
                <w:rFonts w:asciiTheme="minorHAnsi" w:hAnsiTheme="minorHAnsi"/>
                <w:color w:val="000000"/>
                <w:sz w:val="20"/>
                <w:szCs w:val="20"/>
              </w:rPr>
              <w:t>Pharmacistsprovidecare</w:t>
            </w:r>
            <w:proofErr w:type="spellEnd"/>
            <w:r w:rsidRPr="004B0B08">
              <w:rPr>
                <w:rFonts w:asciiTheme="minorHAnsi" w:hAnsiTheme="minorHAnsi"/>
                <w:color w:val="000000"/>
                <w:sz w:val="20"/>
                <w:szCs w:val="20"/>
              </w:rPr>
              <w:t xml:space="preserve"> #</w:t>
            </w:r>
            <w:proofErr w:type="spellStart"/>
            <w:r w:rsidRPr="004B0B08">
              <w:rPr>
                <w:rFonts w:asciiTheme="minorHAnsi" w:hAnsiTheme="minorHAnsi"/>
                <w:color w:val="000000"/>
                <w:sz w:val="20"/>
                <w:szCs w:val="20"/>
              </w:rPr>
              <w:t>ifyoupayparamedicsyoucouldpaypharmacists</w:t>
            </w:r>
            <w:proofErr w:type="spellEnd"/>
            <w:r w:rsidRPr="004B0B08">
              <w:rPr>
                <w:rFonts w:asciiTheme="minorHAnsi" w:hAnsiTheme="minorHAnsi"/>
                <w:color w:val="000000"/>
                <w:sz w:val="20"/>
                <w:szCs w:val="20"/>
              </w:rPr>
              <w:t xml:space="preserve"> #</w:t>
            </w:r>
            <w:proofErr w:type="spellStart"/>
            <w:r w:rsidRPr="004B0B08">
              <w:rPr>
                <w:rFonts w:asciiTheme="minorHAnsi" w:hAnsiTheme="minorHAnsi"/>
                <w:color w:val="000000"/>
                <w:sz w:val="20"/>
                <w:szCs w:val="20"/>
              </w:rPr>
              <w:t>pharmacistsarethemedicationexperts</w:t>
            </w:r>
            <w:proofErr w:type="spellEnd"/>
          </w:p>
        </w:tc>
      </w:tr>
      <w:tr w:rsidR="00C76DBA" w:rsidTr="00C76DBA">
        <w:trPr>
          <w:trHeight w:val="224"/>
        </w:trPr>
        <w:tc>
          <w:tcPr>
            <w:tcW w:w="1029" w:type="dxa"/>
          </w:tcPr>
          <w:p w:rsidR="00C76DBA" w:rsidRPr="004B0B08" w:rsidRDefault="00C76DBA" w:rsidP="00122B6A">
            <w:pPr>
              <w:rPr>
                <w:rFonts w:asciiTheme="minorHAnsi" w:hAnsiTheme="minorHAnsi"/>
                <w:color w:val="000000"/>
                <w:sz w:val="20"/>
                <w:szCs w:val="20"/>
              </w:rPr>
            </w:pPr>
            <w:r>
              <w:rPr>
                <w:rFonts w:asciiTheme="minorHAnsi" w:hAnsiTheme="minorHAnsi"/>
                <w:color w:val="000000"/>
                <w:sz w:val="20"/>
                <w:szCs w:val="20"/>
              </w:rPr>
              <w:t>3</w:t>
            </w:r>
          </w:p>
        </w:tc>
        <w:tc>
          <w:tcPr>
            <w:tcW w:w="1756"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Individual Practitioner</w:t>
            </w:r>
          </w:p>
        </w:tc>
        <w:tc>
          <w:tcPr>
            <w:tcW w:w="2532" w:type="dxa"/>
          </w:tcPr>
          <w:p w:rsidR="00C76DBA" w:rsidRPr="004B0B08" w:rsidRDefault="00C76DBA" w:rsidP="00122B6A">
            <w:pPr>
              <w:rPr>
                <w:rFonts w:asciiTheme="minorHAnsi" w:hAnsiTheme="minorHAnsi"/>
                <w:sz w:val="20"/>
                <w:szCs w:val="20"/>
              </w:rPr>
            </w:pPr>
            <w:r w:rsidRPr="004B0B08">
              <w:rPr>
                <w:rFonts w:asciiTheme="minorHAnsi" w:hAnsiTheme="minorHAnsi"/>
                <w:sz w:val="20"/>
                <w:szCs w:val="20"/>
              </w:rPr>
              <w:t>Positive Support</w:t>
            </w:r>
          </w:p>
        </w:tc>
        <w:tc>
          <w:tcPr>
            <w:tcW w:w="7629"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We could not agree more and love the community paramedic program in Durham; we need to work even more closely together. https://www. healthaffairs.org/do/10.1377/</w:t>
            </w:r>
            <w:proofErr w:type="spellStart"/>
            <w:r w:rsidRPr="004B0B08">
              <w:rPr>
                <w:rFonts w:asciiTheme="minorHAnsi" w:hAnsiTheme="minorHAnsi"/>
                <w:color w:val="000000"/>
                <w:sz w:val="20"/>
                <w:szCs w:val="20"/>
              </w:rPr>
              <w:t>hbl</w:t>
            </w:r>
            <w:proofErr w:type="spellEnd"/>
            <w:r w:rsidRPr="004B0B08">
              <w:rPr>
                <w:rFonts w:asciiTheme="minorHAnsi" w:hAnsiTheme="minorHAnsi"/>
                <w:color w:val="000000"/>
                <w:sz w:val="20"/>
                <w:szCs w:val="20"/>
              </w:rPr>
              <w:t xml:space="preserve"> og20190129.181994/full/</w:t>
            </w:r>
          </w:p>
        </w:tc>
      </w:tr>
      <w:tr w:rsidR="00C76DBA" w:rsidTr="00C76DBA">
        <w:trPr>
          <w:trHeight w:val="224"/>
        </w:trPr>
        <w:tc>
          <w:tcPr>
            <w:tcW w:w="1029" w:type="dxa"/>
          </w:tcPr>
          <w:p w:rsidR="00C76DBA" w:rsidRPr="004B0B08" w:rsidRDefault="00C76DBA" w:rsidP="00122B6A">
            <w:pPr>
              <w:rPr>
                <w:rFonts w:asciiTheme="minorHAnsi" w:hAnsiTheme="minorHAnsi"/>
                <w:color w:val="000000"/>
                <w:sz w:val="20"/>
                <w:szCs w:val="20"/>
              </w:rPr>
            </w:pPr>
            <w:r>
              <w:rPr>
                <w:rFonts w:asciiTheme="minorHAnsi" w:hAnsiTheme="minorHAnsi"/>
                <w:color w:val="000000"/>
                <w:sz w:val="20"/>
                <w:szCs w:val="20"/>
              </w:rPr>
              <w:t>4</w:t>
            </w:r>
          </w:p>
        </w:tc>
        <w:tc>
          <w:tcPr>
            <w:tcW w:w="1756"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General Public</w:t>
            </w:r>
          </w:p>
          <w:p w:rsidR="00C76DBA" w:rsidRPr="004B0B08" w:rsidRDefault="00C76DBA" w:rsidP="00122B6A">
            <w:pPr>
              <w:rPr>
                <w:rFonts w:asciiTheme="minorHAnsi" w:hAnsiTheme="minorHAnsi"/>
                <w:sz w:val="20"/>
                <w:szCs w:val="20"/>
                <w:u w:val="single"/>
              </w:rPr>
            </w:pPr>
          </w:p>
        </w:tc>
        <w:tc>
          <w:tcPr>
            <w:tcW w:w="2532" w:type="dxa"/>
          </w:tcPr>
          <w:p w:rsidR="00C76DBA" w:rsidRPr="004B0B08" w:rsidRDefault="00C76DBA" w:rsidP="00122B6A">
            <w:pPr>
              <w:rPr>
                <w:rFonts w:asciiTheme="minorHAnsi" w:hAnsiTheme="minorHAnsi"/>
                <w:sz w:val="20"/>
                <w:szCs w:val="20"/>
              </w:rPr>
            </w:pPr>
            <w:r w:rsidRPr="004B0B08">
              <w:rPr>
                <w:rFonts w:asciiTheme="minorHAnsi" w:hAnsiTheme="minorHAnsi"/>
                <w:sz w:val="20"/>
                <w:szCs w:val="20"/>
              </w:rPr>
              <w:t>Positive Support</w:t>
            </w:r>
          </w:p>
        </w:tc>
        <w:tc>
          <w:tcPr>
            <w:tcW w:w="7629"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Using community paramedics to prevent some of the 119k annual deaths in the US due to medication errors #</w:t>
            </w:r>
            <w:proofErr w:type="spellStart"/>
            <w:r w:rsidRPr="004B0B08">
              <w:rPr>
                <w:rFonts w:asciiTheme="minorHAnsi" w:hAnsiTheme="minorHAnsi"/>
                <w:color w:val="000000"/>
                <w:sz w:val="20"/>
                <w:szCs w:val="20"/>
              </w:rPr>
              <w:t>HomeVisitingWorks</w:t>
            </w:r>
            <w:proofErr w:type="spellEnd"/>
            <w:r w:rsidRPr="004B0B08">
              <w:rPr>
                <w:rFonts w:asciiTheme="minorHAnsi" w:hAnsiTheme="minorHAnsi"/>
                <w:color w:val="000000"/>
                <w:sz w:val="20"/>
                <w:szCs w:val="20"/>
              </w:rPr>
              <w:t xml:space="preserve"> https://www. healthaffairs.org/do/10.1377/</w:t>
            </w:r>
            <w:proofErr w:type="spellStart"/>
            <w:r w:rsidRPr="004B0B08">
              <w:rPr>
                <w:rFonts w:asciiTheme="minorHAnsi" w:hAnsiTheme="minorHAnsi"/>
                <w:color w:val="000000"/>
                <w:sz w:val="20"/>
                <w:szCs w:val="20"/>
              </w:rPr>
              <w:t>hbl</w:t>
            </w:r>
            <w:proofErr w:type="spellEnd"/>
            <w:r w:rsidRPr="004B0B08">
              <w:rPr>
                <w:rFonts w:asciiTheme="minorHAnsi" w:hAnsiTheme="minorHAnsi"/>
                <w:color w:val="000000"/>
                <w:sz w:val="20"/>
                <w:szCs w:val="20"/>
              </w:rPr>
              <w:t xml:space="preserve"> og20190129.181994/full â€¦ @</w:t>
            </w:r>
            <w:proofErr w:type="spellStart"/>
            <w:r w:rsidRPr="004B0B08">
              <w:rPr>
                <w:rFonts w:asciiTheme="minorHAnsi" w:hAnsiTheme="minorHAnsi"/>
                <w:color w:val="000000"/>
                <w:sz w:val="20"/>
                <w:szCs w:val="20"/>
              </w:rPr>
              <w:t>CHCShealth</w:t>
            </w:r>
            <w:proofErr w:type="spellEnd"/>
            <w:r w:rsidRPr="004B0B08">
              <w:rPr>
                <w:rFonts w:asciiTheme="minorHAnsi" w:hAnsiTheme="minorHAnsi"/>
                <w:color w:val="000000"/>
                <w:sz w:val="20"/>
                <w:szCs w:val="20"/>
              </w:rPr>
              <w:t xml:space="preserve"> @ctswim00</w:t>
            </w:r>
          </w:p>
        </w:tc>
      </w:tr>
      <w:tr w:rsidR="00C76DBA" w:rsidTr="00C76DBA">
        <w:trPr>
          <w:trHeight w:val="224"/>
        </w:trPr>
        <w:tc>
          <w:tcPr>
            <w:tcW w:w="1029" w:type="dxa"/>
          </w:tcPr>
          <w:p w:rsidR="00C76DBA" w:rsidRPr="004B0B08" w:rsidRDefault="00C76DBA" w:rsidP="00122B6A">
            <w:pPr>
              <w:rPr>
                <w:rFonts w:asciiTheme="minorHAnsi" w:hAnsiTheme="minorHAnsi"/>
                <w:color w:val="000000"/>
                <w:sz w:val="20"/>
                <w:szCs w:val="20"/>
              </w:rPr>
            </w:pPr>
            <w:r>
              <w:rPr>
                <w:rFonts w:asciiTheme="minorHAnsi" w:hAnsiTheme="minorHAnsi"/>
                <w:color w:val="000000"/>
                <w:sz w:val="20"/>
                <w:szCs w:val="20"/>
              </w:rPr>
              <w:t>5</w:t>
            </w:r>
          </w:p>
        </w:tc>
        <w:tc>
          <w:tcPr>
            <w:tcW w:w="1756"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Individual Researcher</w:t>
            </w:r>
          </w:p>
          <w:p w:rsidR="00C76DBA" w:rsidRPr="004B0B08" w:rsidRDefault="00C76DBA" w:rsidP="00122B6A">
            <w:pPr>
              <w:rPr>
                <w:rFonts w:asciiTheme="minorHAnsi" w:hAnsiTheme="minorHAnsi"/>
                <w:sz w:val="20"/>
                <w:szCs w:val="20"/>
                <w:u w:val="single"/>
              </w:rPr>
            </w:pPr>
          </w:p>
        </w:tc>
        <w:tc>
          <w:tcPr>
            <w:tcW w:w="2532" w:type="dxa"/>
          </w:tcPr>
          <w:p w:rsidR="00C76DBA" w:rsidRPr="004B0B08" w:rsidRDefault="00C76DBA" w:rsidP="00122B6A">
            <w:pPr>
              <w:rPr>
                <w:rFonts w:asciiTheme="minorHAnsi" w:hAnsiTheme="minorHAnsi"/>
                <w:sz w:val="20"/>
                <w:szCs w:val="20"/>
              </w:rPr>
            </w:pPr>
            <w:r w:rsidRPr="004B0B08">
              <w:rPr>
                <w:rFonts w:asciiTheme="minorHAnsi" w:hAnsiTheme="minorHAnsi"/>
                <w:sz w:val="20"/>
                <w:szCs w:val="20"/>
              </w:rPr>
              <w:t>Positive Support</w:t>
            </w:r>
          </w:p>
        </w:tc>
        <w:tc>
          <w:tcPr>
            <w:tcW w:w="7629"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Time for Aussies to step up! Deploying Community Paramedics To Address Medication Complexity At Home | Health Affairs https://www. healthaffairs.org/do/10.1377/</w:t>
            </w:r>
            <w:proofErr w:type="spellStart"/>
            <w:r w:rsidRPr="004B0B08">
              <w:rPr>
                <w:rFonts w:asciiTheme="minorHAnsi" w:hAnsiTheme="minorHAnsi"/>
                <w:color w:val="000000"/>
                <w:sz w:val="20"/>
                <w:szCs w:val="20"/>
              </w:rPr>
              <w:t>hbl</w:t>
            </w:r>
            <w:proofErr w:type="spellEnd"/>
            <w:r w:rsidRPr="004B0B08">
              <w:rPr>
                <w:rFonts w:asciiTheme="minorHAnsi" w:hAnsiTheme="minorHAnsi"/>
                <w:color w:val="000000"/>
                <w:sz w:val="20"/>
                <w:szCs w:val="20"/>
              </w:rPr>
              <w:t xml:space="preserve"> og20190129.181994/full/#.XFP1zFg8VnE.twitter â€¦</w:t>
            </w:r>
          </w:p>
        </w:tc>
      </w:tr>
      <w:tr w:rsidR="00C76DBA" w:rsidTr="00C76DBA">
        <w:trPr>
          <w:trHeight w:val="238"/>
        </w:trPr>
        <w:tc>
          <w:tcPr>
            <w:tcW w:w="1029" w:type="dxa"/>
          </w:tcPr>
          <w:p w:rsidR="00C76DBA" w:rsidRPr="004B0B08" w:rsidRDefault="00C76DBA" w:rsidP="00122B6A">
            <w:pPr>
              <w:rPr>
                <w:rFonts w:asciiTheme="minorHAnsi" w:hAnsiTheme="minorHAnsi"/>
                <w:color w:val="000000"/>
                <w:sz w:val="20"/>
                <w:szCs w:val="20"/>
              </w:rPr>
            </w:pPr>
            <w:r>
              <w:rPr>
                <w:rFonts w:asciiTheme="minorHAnsi" w:hAnsiTheme="minorHAnsi"/>
                <w:color w:val="000000"/>
                <w:sz w:val="20"/>
                <w:szCs w:val="20"/>
              </w:rPr>
              <w:t>6</w:t>
            </w:r>
          </w:p>
        </w:tc>
        <w:tc>
          <w:tcPr>
            <w:tcW w:w="1756"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General Public</w:t>
            </w:r>
          </w:p>
          <w:p w:rsidR="00C76DBA" w:rsidRPr="004B0B08" w:rsidRDefault="00C76DBA" w:rsidP="00122B6A">
            <w:pPr>
              <w:rPr>
                <w:rFonts w:asciiTheme="minorHAnsi" w:hAnsiTheme="minorHAnsi"/>
                <w:sz w:val="20"/>
                <w:szCs w:val="20"/>
                <w:u w:val="single"/>
              </w:rPr>
            </w:pPr>
          </w:p>
        </w:tc>
        <w:tc>
          <w:tcPr>
            <w:tcW w:w="2532" w:type="dxa"/>
          </w:tcPr>
          <w:p w:rsidR="00C76DBA" w:rsidRPr="00122B6A" w:rsidRDefault="00C76DBA" w:rsidP="00122B6A">
            <w:pPr>
              <w:rPr>
                <w:rFonts w:asciiTheme="minorHAnsi" w:hAnsiTheme="minorHAnsi"/>
                <w:sz w:val="20"/>
                <w:szCs w:val="20"/>
              </w:rPr>
            </w:pPr>
            <w:r>
              <w:rPr>
                <w:rFonts w:asciiTheme="minorHAnsi" w:hAnsiTheme="minorHAnsi"/>
                <w:sz w:val="20"/>
                <w:szCs w:val="20"/>
              </w:rPr>
              <w:t>Unclear</w:t>
            </w:r>
          </w:p>
        </w:tc>
        <w:tc>
          <w:tcPr>
            <w:tcW w:w="7629"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 xml:space="preserve">Small ball, go to fire station for your pills or better yet, paramedics will just come to you. City Fire </w:t>
            </w:r>
            <w:proofErr w:type="spellStart"/>
            <w:r w:rsidRPr="004B0B08">
              <w:rPr>
                <w:rFonts w:asciiTheme="minorHAnsi" w:hAnsiTheme="minorHAnsi"/>
                <w:color w:val="000000"/>
                <w:sz w:val="20"/>
                <w:szCs w:val="20"/>
              </w:rPr>
              <w:t>Depts</w:t>
            </w:r>
            <w:proofErr w:type="spellEnd"/>
            <w:r w:rsidRPr="004B0B08">
              <w:rPr>
                <w:rFonts w:asciiTheme="minorHAnsi" w:hAnsiTheme="minorHAnsi"/>
                <w:color w:val="000000"/>
                <w:sz w:val="20"/>
                <w:szCs w:val="20"/>
              </w:rPr>
              <w:t xml:space="preserve"> are more &amp; more overstaffed as buildings become more fire-resistant. Providing primary/chronic care is a good side business for them to go into. https://www. healthaffairs.org/do/10.1377/</w:t>
            </w:r>
            <w:proofErr w:type="spellStart"/>
            <w:r w:rsidRPr="004B0B08">
              <w:rPr>
                <w:rFonts w:asciiTheme="minorHAnsi" w:hAnsiTheme="minorHAnsi"/>
                <w:color w:val="000000"/>
                <w:sz w:val="20"/>
                <w:szCs w:val="20"/>
              </w:rPr>
              <w:t>hbl</w:t>
            </w:r>
            <w:proofErr w:type="spellEnd"/>
            <w:r w:rsidRPr="004B0B08">
              <w:rPr>
                <w:rFonts w:asciiTheme="minorHAnsi" w:hAnsiTheme="minorHAnsi"/>
                <w:color w:val="000000"/>
                <w:sz w:val="20"/>
                <w:szCs w:val="20"/>
              </w:rPr>
              <w:t xml:space="preserve"> og20190129.181994/full/ â€¦</w:t>
            </w:r>
          </w:p>
        </w:tc>
      </w:tr>
      <w:tr w:rsidR="00C76DBA" w:rsidTr="00C76DBA">
        <w:trPr>
          <w:trHeight w:val="210"/>
        </w:trPr>
        <w:tc>
          <w:tcPr>
            <w:tcW w:w="1029" w:type="dxa"/>
          </w:tcPr>
          <w:p w:rsidR="00C76DBA" w:rsidRPr="004B0B08" w:rsidRDefault="00C76DBA" w:rsidP="00122B6A">
            <w:pPr>
              <w:rPr>
                <w:rFonts w:asciiTheme="minorHAnsi" w:hAnsiTheme="minorHAnsi"/>
                <w:color w:val="000000"/>
                <w:sz w:val="20"/>
                <w:szCs w:val="20"/>
              </w:rPr>
            </w:pPr>
            <w:r>
              <w:rPr>
                <w:rFonts w:asciiTheme="minorHAnsi" w:hAnsiTheme="minorHAnsi"/>
                <w:color w:val="000000"/>
                <w:sz w:val="20"/>
                <w:szCs w:val="20"/>
              </w:rPr>
              <w:t>7</w:t>
            </w:r>
          </w:p>
        </w:tc>
        <w:tc>
          <w:tcPr>
            <w:tcW w:w="1756"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Healthcare Association</w:t>
            </w:r>
          </w:p>
          <w:p w:rsidR="00C76DBA" w:rsidRPr="004B0B08" w:rsidRDefault="00C76DBA" w:rsidP="00122B6A">
            <w:pPr>
              <w:rPr>
                <w:rFonts w:asciiTheme="minorHAnsi" w:hAnsiTheme="minorHAnsi"/>
                <w:sz w:val="20"/>
                <w:szCs w:val="20"/>
                <w:u w:val="single"/>
              </w:rPr>
            </w:pPr>
          </w:p>
        </w:tc>
        <w:tc>
          <w:tcPr>
            <w:tcW w:w="2532" w:type="dxa"/>
          </w:tcPr>
          <w:p w:rsidR="00C76DBA" w:rsidRPr="004B0B08" w:rsidRDefault="00C76DBA" w:rsidP="00122B6A">
            <w:pPr>
              <w:rPr>
                <w:rFonts w:asciiTheme="minorHAnsi" w:hAnsiTheme="minorHAnsi"/>
                <w:sz w:val="20"/>
                <w:szCs w:val="20"/>
              </w:rPr>
            </w:pPr>
            <w:r w:rsidRPr="004B0B08">
              <w:rPr>
                <w:rFonts w:asciiTheme="minorHAnsi" w:hAnsiTheme="minorHAnsi"/>
                <w:sz w:val="20"/>
                <w:szCs w:val="20"/>
              </w:rPr>
              <w:t>Positive Support</w:t>
            </w:r>
          </w:p>
        </w:tc>
        <w:tc>
          <w:tcPr>
            <w:tcW w:w="7629"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Many of our grantees use Community Health Workers in their efforts to reduce disparities in diabetes. A new pilot employs Community Paramedics to help patients interpret and develop medication schedules by developing a therapeutic rapport w/patients. http:// ow.ly/MiWf50kxxB0</w:t>
            </w:r>
          </w:p>
        </w:tc>
      </w:tr>
      <w:tr w:rsidR="00C76DBA" w:rsidTr="00C76DBA">
        <w:trPr>
          <w:trHeight w:val="210"/>
        </w:trPr>
        <w:tc>
          <w:tcPr>
            <w:tcW w:w="1029" w:type="dxa"/>
          </w:tcPr>
          <w:p w:rsidR="00C76DBA" w:rsidRDefault="00951AF5" w:rsidP="00122B6A">
            <w:pPr>
              <w:rPr>
                <w:rFonts w:ascii="Calibri" w:hAnsi="Calibri"/>
                <w:color w:val="000000"/>
                <w:sz w:val="22"/>
                <w:szCs w:val="22"/>
              </w:rPr>
            </w:pPr>
            <w:r>
              <w:rPr>
                <w:rFonts w:ascii="Calibri" w:hAnsi="Calibri"/>
                <w:color w:val="000000"/>
                <w:sz w:val="22"/>
                <w:szCs w:val="22"/>
              </w:rPr>
              <w:t>8</w:t>
            </w:r>
          </w:p>
        </w:tc>
        <w:tc>
          <w:tcPr>
            <w:tcW w:w="1756" w:type="dxa"/>
          </w:tcPr>
          <w:p w:rsidR="00C76DBA" w:rsidRPr="00122B6A" w:rsidRDefault="00C76DBA" w:rsidP="00122B6A">
            <w:pPr>
              <w:rPr>
                <w:rFonts w:ascii="Calibri" w:hAnsi="Calibri"/>
                <w:color w:val="000000"/>
                <w:sz w:val="22"/>
                <w:szCs w:val="22"/>
              </w:rPr>
            </w:pPr>
            <w:r>
              <w:rPr>
                <w:rFonts w:ascii="Calibri" w:hAnsi="Calibri"/>
                <w:color w:val="000000"/>
                <w:sz w:val="22"/>
                <w:szCs w:val="22"/>
              </w:rPr>
              <w:t>Individual Practitioner</w:t>
            </w:r>
          </w:p>
        </w:tc>
        <w:tc>
          <w:tcPr>
            <w:tcW w:w="2532" w:type="dxa"/>
          </w:tcPr>
          <w:p w:rsidR="00C76DBA" w:rsidRPr="004B0B08" w:rsidRDefault="00C76DBA" w:rsidP="00122B6A">
            <w:pPr>
              <w:rPr>
                <w:rFonts w:asciiTheme="minorHAnsi" w:hAnsiTheme="minorHAnsi"/>
                <w:sz w:val="20"/>
                <w:szCs w:val="20"/>
              </w:rPr>
            </w:pPr>
            <w:r w:rsidRPr="004B0B08">
              <w:rPr>
                <w:rFonts w:asciiTheme="minorHAnsi" w:hAnsiTheme="minorHAnsi"/>
                <w:sz w:val="20"/>
                <w:szCs w:val="20"/>
              </w:rPr>
              <w:t>Positive Support</w:t>
            </w:r>
          </w:p>
        </w:tc>
        <w:tc>
          <w:tcPr>
            <w:tcW w:w="7629" w:type="dxa"/>
          </w:tcPr>
          <w:p w:rsidR="00C76DBA" w:rsidRPr="004B0B08" w:rsidRDefault="00C76DBA" w:rsidP="00122B6A">
            <w:pPr>
              <w:rPr>
                <w:rFonts w:asciiTheme="minorHAnsi" w:hAnsiTheme="minorHAnsi"/>
                <w:color w:val="000000"/>
                <w:sz w:val="20"/>
                <w:szCs w:val="20"/>
              </w:rPr>
            </w:pPr>
            <w:r w:rsidRPr="004B0B08">
              <w:rPr>
                <w:rFonts w:asciiTheme="minorHAnsi" w:hAnsiTheme="minorHAnsi"/>
                <w:color w:val="000000"/>
                <w:sz w:val="20"/>
                <w:szCs w:val="20"/>
              </w:rPr>
              <w:t xml:space="preserve">Unlike a traditional paramedic, whose goal is to quickly triage and process an emergency situation, a community paramedic builds a therapeutic rapport with patients to understand what is going on </w:t>
            </w:r>
            <w:proofErr w:type="spellStart"/>
            <w:r w:rsidRPr="004B0B08">
              <w:rPr>
                <w:rFonts w:asciiTheme="minorHAnsi" w:hAnsiTheme="minorHAnsi"/>
                <w:color w:val="000000"/>
                <w:sz w:val="20"/>
                <w:szCs w:val="20"/>
              </w:rPr>
              <w:t>â€œbelow</w:t>
            </w:r>
            <w:proofErr w:type="spellEnd"/>
            <w:r w:rsidRPr="004B0B08">
              <w:rPr>
                <w:rFonts w:asciiTheme="minorHAnsi" w:hAnsiTheme="minorHAnsi"/>
                <w:color w:val="000000"/>
                <w:sz w:val="20"/>
                <w:szCs w:val="20"/>
              </w:rPr>
              <w:t xml:space="preserve"> the </w:t>
            </w:r>
            <w:proofErr w:type="spellStart"/>
            <w:r w:rsidRPr="004B0B08">
              <w:rPr>
                <w:rFonts w:asciiTheme="minorHAnsi" w:hAnsiTheme="minorHAnsi"/>
                <w:color w:val="000000"/>
                <w:sz w:val="20"/>
                <w:szCs w:val="20"/>
              </w:rPr>
              <w:t>surface.â</w:t>
            </w:r>
            <w:proofErr w:type="spellEnd"/>
            <w:r w:rsidRPr="004B0B08">
              <w:rPr>
                <w:rFonts w:asciiTheme="minorHAnsi" w:hAnsiTheme="minorHAnsi"/>
                <w:color w:val="000000"/>
                <w:sz w:val="20"/>
                <w:szCs w:val="20"/>
              </w:rPr>
              <w:t>€</w:t>
            </w:r>
            <w:r w:rsidRPr="004B0B08">
              <w:rPr>
                <w:rFonts w:ascii="Calibri" w:hAnsi="Calibri" w:cs="Calibri"/>
                <w:color w:val="000000"/>
                <w:sz w:val="20"/>
                <w:szCs w:val="20"/>
              </w:rPr>
              <w:t></w:t>
            </w:r>
            <w:r w:rsidRPr="004B0B08">
              <w:rPr>
                <w:rFonts w:asciiTheme="minorHAnsi" w:hAnsiTheme="minorHAnsi"/>
                <w:color w:val="000000"/>
                <w:sz w:val="20"/>
                <w:szCs w:val="20"/>
              </w:rPr>
              <w:t xml:space="preserve"> http:// bit.ly/2TwTUb0</w:t>
            </w:r>
          </w:p>
        </w:tc>
      </w:tr>
    </w:tbl>
    <w:p w:rsidR="004B0B08" w:rsidRDefault="004B0B08" w:rsidP="004B0B08">
      <w:pPr>
        <w:rPr>
          <w:u w:val="single"/>
        </w:rPr>
      </w:pPr>
    </w:p>
    <w:p w:rsidR="004B0B08" w:rsidRPr="004B0B08" w:rsidRDefault="004B0B08" w:rsidP="004B0B08"/>
    <w:p w:rsidR="0014658D" w:rsidRDefault="0014658D" w:rsidP="00A61C72"/>
    <w:p w:rsidR="004B0B08" w:rsidRDefault="004B0B08">
      <w:pPr>
        <w:rPr>
          <w:b/>
        </w:rPr>
      </w:pPr>
      <w:r>
        <w:rPr>
          <w:b/>
        </w:rPr>
        <w:br w:type="page"/>
      </w:r>
    </w:p>
    <w:p w:rsidR="0014658D" w:rsidRDefault="0014658D" w:rsidP="00A61C72">
      <w:r>
        <w:rPr>
          <w:b/>
        </w:rPr>
        <w:lastRenderedPageBreak/>
        <w:t xml:space="preserve">Retrospective </w:t>
      </w:r>
      <w:r>
        <w:rPr>
          <w:b/>
        </w:rPr>
        <w:t xml:space="preserve">Qualitative Analysis (Tweets about </w:t>
      </w:r>
      <w:r>
        <w:rPr>
          <w:b/>
        </w:rPr>
        <w:t>topic prior to article being published</w:t>
      </w:r>
      <w:r>
        <w:rPr>
          <w:b/>
        </w:rPr>
        <w:t>):</w:t>
      </w:r>
    </w:p>
    <w:p w:rsidR="007231D6" w:rsidRDefault="007231D6" w:rsidP="00A61C72"/>
    <w:p w:rsidR="007231D6" w:rsidRDefault="007231D6" w:rsidP="00A61C72"/>
    <w:p w:rsidR="007231D6" w:rsidRDefault="007231D6" w:rsidP="00A61C72"/>
    <w:p w:rsidR="00A61C72" w:rsidRDefault="00A9667A" w:rsidP="00A61C72">
      <w:r>
        <w:t>Additionally</w:t>
      </w:r>
      <w:r w:rsidR="0014658D">
        <w:t xml:space="preserve">, several articles </w:t>
      </w:r>
      <w:r w:rsidR="0014658D">
        <w:t xml:space="preserve">related </w:t>
      </w:r>
      <w:r w:rsidR="0014658D">
        <w:t>to th</w:t>
      </w:r>
      <w:r w:rsidR="007231D6">
        <w:t xml:space="preserve">is topic were published prior to this: </w:t>
      </w:r>
      <w:hyperlink r:id="rId7" w:history="1">
        <w:r w:rsidR="00A61C72">
          <w:rPr>
            <w:rStyle w:val="Hyperlink"/>
          </w:rPr>
          <w:t>https://www.chcs.org/resource/addressing-medication-complexity-through-community-based-strategies/?_lrsc=322dd987-1c4c-4669-8537-aa54967e85bb&amp;utm_source=Elevate&amp;utm_medium=social&amp;utm_campaign=Associates</w:t>
        </w:r>
      </w:hyperlink>
    </w:p>
    <w:p w:rsidR="00A9667A" w:rsidRDefault="00A9667A" w:rsidP="00A61C72"/>
    <w:p w:rsidR="00A9667A" w:rsidRDefault="00A9667A" w:rsidP="00A61C72"/>
    <w:p w:rsidR="00287FA8" w:rsidRPr="00A61C72" w:rsidRDefault="00287FA8" w:rsidP="00A61C72"/>
    <w:sectPr w:rsidR="00287FA8" w:rsidRPr="00A61C72" w:rsidSect="004B0B0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A82"/>
    <w:rsid w:val="0011791D"/>
    <w:rsid w:val="00122B6A"/>
    <w:rsid w:val="0014658D"/>
    <w:rsid w:val="00146B9F"/>
    <w:rsid w:val="00233652"/>
    <w:rsid w:val="00277A7B"/>
    <w:rsid w:val="00287FA8"/>
    <w:rsid w:val="003C1BFC"/>
    <w:rsid w:val="004312BC"/>
    <w:rsid w:val="004B0B08"/>
    <w:rsid w:val="00563257"/>
    <w:rsid w:val="00601FDC"/>
    <w:rsid w:val="007231D6"/>
    <w:rsid w:val="00836A82"/>
    <w:rsid w:val="00951AF5"/>
    <w:rsid w:val="00961E90"/>
    <w:rsid w:val="00986F5B"/>
    <w:rsid w:val="009C4AA8"/>
    <w:rsid w:val="009D2DB8"/>
    <w:rsid w:val="00A61C72"/>
    <w:rsid w:val="00A9667A"/>
    <w:rsid w:val="00C76DBA"/>
    <w:rsid w:val="00CC6420"/>
    <w:rsid w:val="00E9090C"/>
    <w:rsid w:val="00EF5CA8"/>
    <w:rsid w:val="00FA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1915D-35BE-4E6C-89BD-E4D37AF5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1C72"/>
    <w:rPr>
      <w:color w:val="0000FF"/>
      <w:u w:val="single"/>
    </w:rPr>
  </w:style>
  <w:style w:type="table" w:styleId="TableGrid">
    <w:name w:val="Table Grid"/>
    <w:basedOn w:val="TableNormal"/>
    <w:uiPriority w:val="39"/>
    <w:rsid w:val="00287F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492737">
      <w:bodyDiv w:val="1"/>
      <w:marLeft w:val="0"/>
      <w:marRight w:val="0"/>
      <w:marTop w:val="0"/>
      <w:marBottom w:val="0"/>
      <w:divBdr>
        <w:top w:val="none" w:sz="0" w:space="0" w:color="auto"/>
        <w:left w:val="none" w:sz="0" w:space="0" w:color="auto"/>
        <w:bottom w:val="none" w:sz="0" w:space="0" w:color="auto"/>
        <w:right w:val="none" w:sz="0" w:space="0" w:color="auto"/>
      </w:divBdr>
    </w:div>
    <w:div w:id="1075591343">
      <w:bodyDiv w:val="1"/>
      <w:marLeft w:val="0"/>
      <w:marRight w:val="0"/>
      <w:marTop w:val="0"/>
      <w:marBottom w:val="0"/>
      <w:divBdr>
        <w:top w:val="none" w:sz="0" w:space="0" w:color="auto"/>
        <w:left w:val="none" w:sz="0" w:space="0" w:color="auto"/>
        <w:bottom w:val="none" w:sz="0" w:space="0" w:color="auto"/>
        <w:right w:val="none" w:sz="0" w:space="0" w:color="auto"/>
      </w:divBdr>
    </w:div>
    <w:div w:id="1270048848">
      <w:bodyDiv w:val="1"/>
      <w:marLeft w:val="0"/>
      <w:marRight w:val="0"/>
      <w:marTop w:val="0"/>
      <w:marBottom w:val="0"/>
      <w:divBdr>
        <w:top w:val="none" w:sz="0" w:space="0" w:color="auto"/>
        <w:left w:val="none" w:sz="0" w:space="0" w:color="auto"/>
        <w:bottom w:val="none" w:sz="0" w:space="0" w:color="auto"/>
        <w:right w:val="none" w:sz="0" w:space="0" w:color="auto"/>
      </w:divBdr>
    </w:div>
    <w:div w:id="1297951178">
      <w:bodyDiv w:val="1"/>
      <w:marLeft w:val="0"/>
      <w:marRight w:val="0"/>
      <w:marTop w:val="0"/>
      <w:marBottom w:val="0"/>
      <w:divBdr>
        <w:top w:val="none" w:sz="0" w:space="0" w:color="auto"/>
        <w:left w:val="none" w:sz="0" w:space="0" w:color="auto"/>
        <w:bottom w:val="none" w:sz="0" w:space="0" w:color="auto"/>
        <w:right w:val="none" w:sz="0" w:space="0" w:color="auto"/>
      </w:divBdr>
    </w:div>
    <w:div w:id="1551380797">
      <w:bodyDiv w:val="1"/>
      <w:marLeft w:val="0"/>
      <w:marRight w:val="0"/>
      <w:marTop w:val="0"/>
      <w:marBottom w:val="0"/>
      <w:divBdr>
        <w:top w:val="none" w:sz="0" w:space="0" w:color="auto"/>
        <w:left w:val="none" w:sz="0" w:space="0" w:color="auto"/>
        <w:bottom w:val="none" w:sz="0" w:space="0" w:color="auto"/>
        <w:right w:val="none" w:sz="0" w:space="0" w:color="auto"/>
      </w:divBdr>
    </w:div>
    <w:div w:id="1593852017">
      <w:bodyDiv w:val="1"/>
      <w:marLeft w:val="0"/>
      <w:marRight w:val="0"/>
      <w:marTop w:val="0"/>
      <w:marBottom w:val="0"/>
      <w:divBdr>
        <w:top w:val="none" w:sz="0" w:space="0" w:color="auto"/>
        <w:left w:val="none" w:sz="0" w:space="0" w:color="auto"/>
        <w:bottom w:val="none" w:sz="0" w:space="0" w:color="auto"/>
        <w:right w:val="none" w:sz="0" w:space="0" w:color="auto"/>
      </w:divBdr>
    </w:div>
    <w:div w:id="1951086364">
      <w:bodyDiv w:val="1"/>
      <w:marLeft w:val="0"/>
      <w:marRight w:val="0"/>
      <w:marTop w:val="0"/>
      <w:marBottom w:val="0"/>
      <w:divBdr>
        <w:top w:val="none" w:sz="0" w:space="0" w:color="auto"/>
        <w:left w:val="none" w:sz="0" w:space="0" w:color="auto"/>
        <w:bottom w:val="none" w:sz="0" w:space="0" w:color="auto"/>
        <w:right w:val="none" w:sz="0" w:space="0" w:color="auto"/>
      </w:divBdr>
    </w:div>
    <w:div w:id="19710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cs.org/resource/addressing-medication-complexity-through-community-based-strategies/?_lrsc=322dd987-1c4c-4669-8537-aa54967e85bb&amp;utm_source=Elevate&amp;utm_medium=social&amp;utm_campaign=Associat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healthaffairs.org/do/10.1377/hblog20190129.181994/f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4F72-3DD2-49BB-9309-16E23A86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5572</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13</cp:revision>
  <dcterms:created xsi:type="dcterms:W3CDTF">2019-05-09T20:40:00Z</dcterms:created>
  <dcterms:modified xsi:type="dcterms:W3CDTF">2019-05-13T18:47:00Z</dcterms:modified>
</cp:coreProperties>
</file>