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B56C0" w14:textId="77777777" w:rsidR="001B7909" w:rsidRPr="00045390" w:rsidRDefault="001B7909" w:rsidP="001B7909">
      <w:pPr>
        <w:rPr>
          <w:b/>
          <w:bCs/>
        </w:rPr>
      </w:pPr>
      <w:r w:rsidRPr="00045390">
        <w:rPr>
          <w:b/>
          <w:bCs/>
        </w:rPr>
        <w:t>Section 09: Library Versioning</w:t>
      </w:r>
    </w:p>
    <w:p w14:paraId="066BDE1E" w14:textId="77777777" w:rsidR="001B7909" w:rsidRPr="00045390" w:rsidRDefault="001B7909" w:rsidP="001B7909">
      <w:r w:rsidRPr="00045390">
        <w:pict w14:anchorId="375E49BC">
          <v:rect id="_x0000_i1039" style="width:0;height:1.5pt" o:hralign="center" o:hrstd="t" o:hr="t" fillcolor="#a0a0a0" stroked="f"/>
        </w:pict>
      </w:r>
    </w:p>
    <w:p w14:paraId="7334DA9F" w14:textId="77777777" w:rsidR="001B7909" w:rsidRPr="00045390" w:rsidRDefault="001B7909" w:rsidP="001B7909">
      <w:pPr>
        <w:rPr>
          <w:b/>
          <w:bCs/>
        </w:rPr>
      </w:pPr>
      <w:r w:rsidRPr="00045390">
        <w:rPr>
          <w:b/>
          <w:bCs/>
        </w:rPr>
        <w:t>Overview</w:t>
      </w:r>
    </w:p>
    <w:p w14:paraId="4DB3E8AB" w14:textId="77777777" w:rsidR="001B7909" w:rsidRPr="00045390" w:rsidRDefault="001B7909" w:rsidP="001B7909">
      <w:r w:rsidRPr="00045390">
        <w:t xml:space="preserve">Mango’s CryptoLib versioning system is built for </w:t>
      </w:r>
      <w:r w:rsidRPr="00045390">
        <w:rPr>
          <w:b/>
          <w:bCs/>
        </w:rPr>
        <w:t>stability</w:t>
      </w:r>
      <w:r w:rsidRPr="00045390">
        <w:t xml:space="preserve">, </w:t>
      </w:r>
      <w:r w:rsidRPr="00045390">
        <w:rPr>
          <w:b/>
          <w:bCs/>
        </w:rPr>
        <w:t>compatibility</w:t>
      </w:r>
      <w:r w:rsidRPr="00045390">
        <w:t xml:space="preserve">, and </w:t>
      </w:r>
      <w:r w:rsidRPr="00045390">
        <w:rPr>
          <w:b/>
          <w:bCs/>
        </w:rPr>
        <w:t>transparency</w:t>
      </w:r>
      <w:r w:rsidRPr="00045390">
        <w:t>. It anchors versioning to the number of transforms known to the library, ensuring that the version of the cryptographic engine directly reflects its capabilities. Every encrypted packet carries its version metadata, enabling forward and backward compatibility checks during decryption.</w:t>
      </w:r>
    </w:p>
    <w:p w14:paraId="09F1B8F9" w14:textId="77777777" w:rsidR="001B7909" w:rsidRPr="00045390" w:rsidRDefault="001B7909" w:rsidP="001B7909">
      <w:r w:rsidRPr="00045390">
        <w:pict w14:anchorId="373F7003">
          <v:rect id="_x0000_i1040" style="width:0;height:1.5pt" o:hralign="center" o:hrstd="t" o:hr="t" fillcolor="#a0a0a0" stroked="f"/>
        </w:pict>
      </w:r>
    </w:p>
    <w:p w14:paraId="1951DB90" w14:textId="77777777" w:rsidR="001B7909" w:rsidRPr="00045390" w:rsidRDefault="001B7909" w:rsidP="001B7909">
      <w:pPr>
        <w:rPr>
          <w:b/>
          <w:bCs/>
        </w:rPr>
      </w:pPr>
      <w:r w:rsidRPr="00045390">
        <w:rPr>
          <w:b/>
          <w:bCs/>
        </w:rPr>
        <w:t>Versioning Model</w:t>
      </w:r>
    </w:p>
    <w:p w14:paraId="7460D224" w14:textId="77777777" w:rsidR="001B7909" w:rsidRPr="00045390" w:rsidRDefault="001B7909" w:rsidP="001B7909">
      <w:pPr>
        <w:numPr>
          <w:ilvl w:val="0"/>
          <w:numId w:val="4"/>
        </w:numPr>
      </w:pPr>
      <w:r w:rsidRPr="00045390">
        <w:rPr>
          <w:b/>
          <w:bCs/>
        </w:rPr>
        <w:t>Transform IDs</w:t>
      </w:r>
      <w:r w:rsidRPr="00045390">
        <w:br/>
        <w:t>Each transform is assigned a stable and unique numeric ID, starting at 1.</w:t>
      </w:r>
    </w:p>
    <w:p w14:paraId="416A9D13" w14:textId="77777777" w:rsidR="001B7909" w:rsidRPr="00045390" w:rsidRDefault="001B7909" w:rsidP="001B7909">
      <w:pPr>
        <w:numPr>
          <w:ilvl w:val="0"/>
          <w:numId w:val="4"/>
        </w:numPr>
      </w:pPr>
      <w:r w:rsidRPr="00045390">
        <w:rPr>
          <w:b/>
          <w:bCs/>
        </w:rPr>
        <w:t>Transform Registry</w:t>
      </w:r>
      <w:r w:rsidRPr="00045390">
        <w:br/>
        <w:t>The library internally maintains a registry of known transforms. The number of registered transforms directly maps to the version.</w:t>
      </w:r>
    </w:p>
    <w:p w14:paraId="3218AE41" w14:textId="77777777" w:rsidR="001B7909" w:rsidRPr="00045390" w:rsidRDefault="001B7909" w:rsidP="001B7909">
      <w:pPr>
        <w:numPr>
          <w:ilvl w:val="0"/>
          <w:numId w:val="4"/>
        </w:numPr>
      </w:pPr>
      <w:r w:rsidRPr="00045390">
        <w:rPr>
          <w:b/>
          <w:bCs/>
        </w:rPr>
        <w:t>Core Version Anchor</w:t>
      </w:r>
    </w:p>
    <w:p w14:paraId="77E1D0F9" w14:textId="77777777" w:rsidR="001B7909" w:rsidRPr="00045390" w:rsidRDefault="001B7909" w:rsidP="001B7909">
      <w:pPr>
        <w:numPr>
          <w:ilvl w:val="1"/>
          <w:numId w:val="4"/>
        </w:numPr>
      </w:pPr>
      <w:r w:rsidRPr="00045390">
        <w:t xml:space="preserve">Version 1 (v1) is defined as supporting transform IDs </w:t>
      </w:r>
      <w:r w:rsidRPr="00045390">
        <w:rPr>
          <w:b/>
          <w:bCs/>
        </w:rPr>
        <w:t>1 through 40</w:t>
      </w:r>
      <w:r w:rsidRPr="00045390">
        <w:t>.</w:t>
      </w:r>
    </w:p>
    <w:p w14:paraId="2D1AC6BC" w14:textId="77777777" w:rsidR="001B7909" w:rsidRPr="00045390" w:rsidRDefault="001B7909" w:rsidP="001B7909">
      <w:pPr>
        <w:numPr>
          <w:ilvl w:val="1"/>
          <w:numId w:val="4"/>
        </w:numPr>
      </w:pPr>
      <w:r w:rsidRPr="00045390">
        <w:t xml:space="preserve">These 40 transforms are </w:t>
      </w:r>
      <w:r w:rsidRPr="00045390">
        <w:rPr>
          <w:b/>
          <w:bCs/>
        </w:rPr>
        <w:t>frozen</w:t>
      </w:r>
      <w:r w:rsidRPr="00045390">
        <w:t xml:space="preserve"> and will never be removed, reordered, or altered.</w:t>
      </w:r>
    </w:p>
    <w:p w14:paraId="7746F1E3" w14:textId="77777777" w:rsidR="001B7909" w:rsidRPr="00045390" w:rsidRDefault="001B7909" w:rsidP="001B7909">
      <w:pPr>
        <w:numPr>
          <w:ilvl w:val="0"/>
          <w:numId w:val="4"/>
        </w:numPr>
      </w:pPr>
      <w:r w:rsidRPr="00045390">
        <w:rPr>
          <w:b/>
          <w:bCs/>
        </w:rPr>
        <w:t>Version Calculation</w:t>
      </w:r>
      <w:r w:rsidRPr="00045390">
        <w:br/>
        <w:t>Let:</w:t>
      </w:r>
    </w:p>
    <w:p w14:paraId="77BA7843" w14:textId="77777777" w:rsidR="001B7909" w:rsidRPr="00045390" w:rsidRDefault="001B7909" w:rsidP="001B7909">
      <w:pPr>
        <w:numPr>
          <w:ilvl w:val="1"/>
          <w:numId w:val="4"/>
        </w:numPr>
      </w:pPr>
      <w:proofErr w:type="spellStart"/>
      <w:r w:rsidRPr="00045390">
        <w:t>CoreVersion</w:t>
      </w:r>
      <w:proofErr w:type="spellEnd"/>
      <w:r w:rsidRPr="00045390">
        <w:t xml:space="preserve"> = 40</w:t>
      </w:r>
    </w:p>
    <w:p w14:paraId="47A4AAA2" w14:textId="77777777" w:rsidR="001B7909" w:rsidRPr="00045390" w:rsidRDefault="001B7909" w:rsidP="001B7909">
      <w:pPr>
        <w:numPr>
          <w:ilvl w:val="1"/>
          <w:numId w:val="4"/>
        </w:numPr>
      </w:pPr>
      <w:proofErr w:type="spellStart"/>
      <w:r w:rsidRPr="00045390">
        <w:t>maxTransformID</w:t>
      </w:r>
      <w:proofErr w:type="spellEnd"/>
      <w:r w:rsidRPr="00045390">
        <w:t xml:space="preserve"> = the highest ID used in a given sequence</w:t>
      </w:r>
      <w:r w:rsidRPr="00045390">
        <w:br/>
        <w:t>Then:</w:t>
      </w:r>
    </w:p>
    <w:p w14:paraId="1332F247" w14:textId="77777777" w:rsidR="001B7909" w:rsidRDefault="001B7909" w:rsidP="001B7909">
      <w:pPr>
        <w:pStyle w:val="Code"/>
      </w:pPr>
      <w:proofErr w:type="spellStart"/>
      <w:r w:rsidRPr="00045390">
        <w:t>requiredVersion</w:t>
      </w:r>
      <w:proofErr w:type="spellEnd"/>
      <w:r w:rsidRPr="00045390">
        <w:t xml:space="preserve"> = </w:t>
      </w:r>
      <w:proofErr w:type="spellStart"/>
      <w:r w:rsidRPr="00045390">
        <w:t>maxTransformID</w:t>
      </w:r>
      <w:proofErr w:type="spellEnd"/>
      <w:r w:rsidRPr="00045390">
        <w:t xml:space="preserve"> - </w:t>
      </w:r>
      <w:proofErr w:type="spellStart"/>
      <w:r w:rsidRPr="00045390">
        <w:t>CoreVersion</w:t>
      </w:r>
      <w:proofErr w:type="spellEnd"/>
      <w:r w:rsidRPr="00045390">
        <w:t xml:space="preserve"> + 1</w:t>
      </w:r>
    </w:p>
    <w:p w14:paraId="24855713" w14:textId="77777777" w:rsidR="001B7909" w:rsidRPr="00045390" w:rsidRDefault="001B7909" w:rsidP="001B7909">
      <w:pPr>
        <w:pStyle w:val="Code"/>
      </w:pPr>
    </w:p>
    <w:p w14:paraId="2A6A401B" w14:textId="77777777" w:rsidR="001B7909" w:rsidRPr="00045390" w:rsidRDefault="001B7909" w:rsidP="001B7909">
      <w:pPr>
        <w:rPr>
          <w:b/>
          <w:bCs/>
        </w:rPr>
      </w:pPr>
      <w:r w:rsidRPr="00045390">
        <w:rPr>
          <w:b/>
          <w:bCs/>
        </w:rPr>
        <w:t>Examples: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354"/>
        <w:gridCol w:w="2806"/>
      </w:tblGrid>
      <w:tr w:rsidR="001B7909" w:rsidRPr="00045390" w14:paraId="5A562B68" w14:textId="77777777" w:rsidTr="009F2606">
        <w:trPr>
          <w:tblHeader/>
          <w:tblCellSpacing w:w="15" w:type="dxa"/>
        </w:trPr>
        <w:tc>
          <w:tcPr>
            <w:tcW w:w="0" w:type="auto"/>
            <w:vAlign w:val="center"/>
            <w:hideMark/>
          </w:tcPr>
          <w:p w14:paraId="492A1B3B" w14:textId="77777777" w:rsidR="001B7909" w:rsidRPr="00045390" w:rsidRDefault="001B7909" w:rsidP="009F2606">
            <w:pPr>
              <w:rPr>
                <w:b/>
                <w:bCs/>
              </w:rPr>
            </w:pPr>
            <w:r w:rsidRPr="00045390">
              <w:rPr>
                <w:b/>
                <w:bCs/>
              </w:rPr>
              <w:t>Transform ID</w:t>
            </w:r>
          </w:p>
        </w:tc>
        <w:tc>
          <w:tcPr>
            <w:tcW w:w="0" w:type="auto"/>
            <w:vAlign w:val="center"/>
            <w:hideMark/>
          </w:tcPr>
          <w:p w14:paraId="6F6394F3" w14:textId="77777777" w:rsidR="001B7909" w:rsidRPr="00045390" w:rsidRDefault="001B7909" w:rsidP="009F2606">
            <w:pPr>
              <w:rPr>
                <w:b/>
                <w:bCs/>
              </w:rPr>
            </w:pPr>
            <w:r w:rsidRPr="00045390">
              <w:rPr>
                <w:b/>
                <w:bCs/>
              </w:rPr>
              <w:t>Minimum Required Version</w:t>
            </w:r>
          </w:p>
        </w:tc>
      </w:tr>
      <w:tr w:rsidR="001B7909" w:rsidRPr="00045390" w14:paraId="56E13778" w14:textId="77777777" w:rsidTr="009F2606">
        <w:trPr>
          <w:tblCellSpacing w:w="15" w:type="dxa"/>
        </w:trPr>
        <w:tc>
          <w:tcPr>
            <w:tcW w:w="0" w:type="auto"/>
            <w:vAlign w:val="center"/>
            <w:hideMark/>
          </w:tcPr>
          <w:p w14:paraId="36CC1BCF" w14:textId="77777777" w:rsidR="001B7909" w:rsidRPr="00045390" w:rsidRDefault="001B7909" w:rsidP="009F2606">
            <w:r w:rsidRPr="00045390">
              <w:t>40</w:t>
            </w:r>
          </w:p>
        </w:tc>
        <w:tc>
          <w:tcPr>
            <w:tcW w:w="0" w:type="auto"/>
            <w:vAlign w:val="center"/>
            <w:hideMark/>
          </w:tcPr>
          <w:p w14:paraId="4F53A4AC" w14:textId="77777777" w:rsidR="001B7909" w:rsidRPr="00045390" w:rsidRDefault="001B7909" w:rsidP="009F2606">
            <w:r w:rsidRPr="00045390">
              <w:t>v1</w:t>
            </w:r>
          </w:p>
        </w:tc>
      </w:tr>
      <w:tr w:rsidR="001B7909" w:rsidRPr="00045390" w14:paraId="086241BE" w14:textId="77777777" w:rsidTr="009F2606">
        <w:trPr>
          <w:tblCellSpacing w:w="15" w:type="dxa"/>
        </w:trPr>
        <w:tc>
          <w:tcPr>
            <w:tcW w:w="0" w:type="auto"/>
            <w:vAlign w:val="center"/>
            <w:hideMark/>
          </w:tcPr>
          <w:p w14:paraId="1919E065" w14:textId="77777777" w:rsidR="001B7909" w:rsidRPr="00045390" w:rsidRDefault="001B7909" w:rsidP="009F2606">
            <w:r w:rsidRPr="00045390">
              <w:t>41</w:t>
            </w:r>
          </w:p>
        </w:tc>
        <w:tc>
          <w:tcPr>
            <w:tcW w:w="0" w:type="auto"/>
            <w:vAlign w:val="center"/>
            <w:hideMark/>
          </w:tcPr>
          <w:p w14:paraId="10C24874" w14:textId="77777777" w:rsidR="001B7909" w:rsidRPr="00045390" w:rsidRDefault="001B7909" w:rsidP="009F2606">
            <w:r w:rsidRPr="00045390">
              <w:t>v2</w:t>
            </w:r>
          </w:p>
        </w:tc>
      </w:tr>
      <w:tr w:rsidR="001B7909" w:rsidRPr="00045390" w14:paraId="26DB1AD7" w14:textId="77777777" w:rsidTr="009F2606">
        <w:trPr>
          <w:tblCellSpacing w:w="15" w:type="dxa"/>
        </w:trPr>
        <w:tc>
          <w:tcPr>
            <w:tcW w:w="0" w:type="auto"/>
            <w:vAlign w:val="center"/>
            <w:hideMark/>
          </w:tcPr>
          <w:p w14:paraId="3C80C0F5" w14:textId="77777777" w:rsidR="001B7909" w:rsidRPr="00045390" w:rsidRDefault="001B7909" w:rsidP="009F2606">
            <w:r w:rsidRPr="00045390">
              <w:t>42</w:t>
            </w:r>
          </w:p>
        </w:tc>
        <w:tc>
          <w:tcPr>
            <w:tcW w:w="0" w:type="auto"/>
            <w:vAlign w:val="center"/>
            <w:hideMark/>
          </w:tcPr>
          <w:p w14:paraId="327753EB" w14:textId="77777777" w:rsidR="001B7909" w:rsidRPr="00045390" w:rsidRDefault="001B7909" w:rsidP="009F2606">
            <w:r w:rsidRPr="00045390">
              <w:t>v3</w:t>
            </w:r>
          </w:p>
        </w:tc>
      </w:tr>
      <w:tr w:rsidR="001B7909" w:rsidRPr="00045390" w14:paraId="2C06B52C" w14:textId="77777777" w:rsidTr="009F2606">
        <w:trPr>
          <w:tblCellSpacing w:w="15" w:type="dxa"/>
        </w:trPr>
        <w:tc>
          <w:tcPr>
            <w:tcW w:w="0" w:type="auto"/>
            <w:vAlign w:val="center"/>
            <w:hideMark/>
          </w:tcPr>
          <w:p w14:paraId="3EA173FC" w14:textId="77777777" w:rsidR="001B7909" w:rsidRPr="00045390" w:rsidRDefault="001B7909" w:rsidP="009F2606">
            <w:r w:rsidRPr="00045390">
              <w:lastRenderedPageBreak/>
              <w:t>...</w:t>
            </w:r>
          </w:p>
        </w:tc>
        <w:tc>
          <w:tcPr>
            <w:tcW w:w="0" w:type="auto"/>
            <w:vAlign w:val="center"/>
            <w:hideMark/>
          </w:tcPr>
          <w:p w14:paraId="52EB6822" w14:textId="77777777" w:rsidR="001B7909" w:rsidRPr="00045390" w:rsidRDefault="001B7909" w:rsidP="009F2606">
            <w:r w:rsidRPr="00045390">
              <w:t>...</w:t>
            </w:r>
          </w:p>
        </w:tc>
      </w:tr>
    </w:tbl>
    <w:p w14:paraId="18612424" w14:textId="77777777" w:rsidR="001B7909" w:rsidRPr="00045390" w:rsidRDefault="001B7909" w:rsidP="001B7909">
      <w:r w:rsidRPr="00045390">
        <w:pict w14:anchorId="17B8FE35">
          <v:rect id="_x0000_i1041" style="width:0;height:1.5pt" o:hralign="center" o:hrstd="t" o:hr="t" fillcolor="#a0a0a0" stroked="f"/>
        </w:pict>
      </w:r>
    </w:p>
    <w:p w14:paraId="61B433AC" w14:textId="77777777" w:rsidR="001B7909" w:rsidRPr="00045390" w:rsidRDefault="001B7909" w:rsidP="001B7909">
      <w:pPr>
        <w:rPr>
          <w:b/>
          <w:bCs/>
        </w:rPr>
      </w:pPr>
      <w:r w:rsidRPr="00045390">
        <w:rPr>
          <w:b/>
          <w:bCs/>
        </w:rPr>
        <w:t>Embedded Version Header</w:t>
      </w:r>
    </w:p>
    <w:p w14:paraId="592F28F8" w14:textId="77777777" w:rsidR="001B7909" w:rsidRPr="00045390" w:rsidRDefault="001B7909" w:rsidP="001B7909">
      <w:r w:rsidRPr="00045390">
        <w:t xml:space="preserve">Each encrypted output contains a </w:t>
      </w:r>
      <w:r w:rsidRPr="00045390">
        <w:rPr>
          <w:b/>
          <w:bCs/>
        </w:rPr>
        <w:t>2-byte header</w:t>
      </w:r>
      <w:r w:rsidRPr="00045390">
        <w:t xml:space="preserve"> at the start of the payload:</w:t>
      </w:r>
    </w:p>
    <w:p w14:paraId="0143A9FC" w14:textId="77777777" w:rsidR="001B7909" w:rsidRPr="00045390" w:rsidRDefault="001B7909" w:rsidP="001B7909">
      <w:pPr>
        <w:numPr>
          <w:ilvl w:val="0"/>
          <w:numId w:val="5"/>
        </w:numPr>
      </w:pPr>
      <w:proofErr w:type="gramStart"/>
      <w:r w:rsidRPr="00045390">
        <w:t>byte[</w:t>
      </w:r>
      <w:proofErr w:type="gramEnd"/>
      <w:r w:rsidRPr="00045390">
        <w:t xml:space="preserve">0]: </w:t>
      </w:r>
      <w:r w:rsidRPr="00045390">
        <w:rPr>
          <w:b/>
          <w:bCs/>
        </w:rPr>
        <w:t>Major version</w:t>
      </w:r>
      <w:r w:rsidRPr="00045390">
        <w:t xml:space="preserve"> (based on </w:t>
      </w:r>
      <w:r>
        <w:t xml:space="preserve">the number of known </w:t>
      </w:r>
      <w:r w:rsidRPr="00045390">
        <w:t>transform</w:t>
      </w:r>
      <w:r>
        <w:t>s</w:t>
      </w:r>
      <w:r w:rsidRPr="00045390">
        <w:t>)</w:t>
      </w:r>
    </w:p>
    <w:p w14:paraId="1BDCCDA4" w14:textId="77777777" w:rsidR="001B7909" w:rsidRPr="00045390" w:rsidRDefault="001B7909" w:rsidP="001B7909">
      <w:pPr>
        <w:numPr>
          <w:ilvl w:val="0"/>
          <w:numId w:val="5"/>
        </w:numPr>
      </w:pPr>
      <w:proofErr w:type="gramStart"/>
      <w:r w:rsidRPr="00045390">
        <w:t>byte[</w:t>
      </w:r>
      <w:proofErr w:type="gramEnd"/>
      <w:r w:rsidRPr="00045390">
        <w:t xml:space="preserve">1]: </w:t>
      </w:r>
      <w:r w:rsidRPr="00045390">
        <w:rPr>
          <w:b/>
          <w:bCs/>
        </w:rPr>
        <w:t>Minor version</w:t>
      </w:r>
      <w:r w:rsidRPr="00045390">
        <w:t xml:space="preserve"> (reserved for future use, currently ignored during decryption)</w:t>
      </w:r>
    </w:p>
    <w:p w14:paraId="00C9BCB0" w14:textId="77777777" w:rsidR="001B7909" w:rsidRPr="00045390" w:rsidRDefault="001B7909" w:rsidP="001B7909">
      <w:r w:rsidRPr="00045390">
        <w:t>This header ensures that decryption tools can immediately verify compatibility.</w:t>
      </w:r>
    </w:p>
    <w:p w14:paraId="56585C14" w14:textId="77777777" w:rsidR="001B7909" w:rsidRPr="00045390" w:rsidRDefault="001B7909" w:rsidP="001B7909">
      <w:r w:rsidRPr="00045390">
        <w:pict w14:anchorId="2EFCE5F0">
          <v:rect id="_x0000_i1042" style="width:0;height:1.5pt" o:hralign="center" o:hrstd="t" o:hr="t" fillcolor="#a0a0a0" stroked="f"/>
        </w:pict>
      </w:r>
    </w:p>
    <w:p w14:paraId="16D14CF0" w14:textId="77777777" w:rsidR="001B7909" w:rsidRPr="00045390" w:rsidRDefault="001B7909" w:rsidP="001B7909">
      <w:pPr>
        <w:rPr>
          <w:b/>
          <w:bCs/>
        </w:rPr>
      </w:pPr>
      <w:r w:rsidRPr="00045390">
        <w:rPr>
          <w:b/>
          <w:bCs/>
        </w:rPr>
        <w:t>Backward Compatibility Promise</w:t>
      </w:r>
    </w:p>
    <w:p w14:paraId="76815C77" w14:textId="77777777" w:rsidR="001B7909" w:rsidRPr="00045390" w:rsidRDefault="001B7909" w:rsidP="001B7909">
      <w:r w:rsidRPr="00045390">
        <w:rPr>
          <w:rFonts w:ascii="Segoe UI Emoji" w:hAnsi="Segoe UI Emoji" w:cs="Segoe UI Emoji"/>
        </w:rPr>
        <w:t>💡</w:t>
      </w:r>
      <w:r w:rsidRPr="00045390">
        <w:t xml:space="preserve"> </w:t>
      </w:r>
      <w:r w:rsidRPr="00045390">
        <w:rPr>
          <w:b/>
          <w:bCs/>
        </w:rPr>
        <w:t>Mango guarantees graceful backward compatibility.</w:t>
      </w:r>
    </w:p>
    <w:p w14:paraId="5BC533CB" w14:textId="77777777" w:rsidR="001B7909" w:rsidRPr="00045390" w:rsidRDefault="001B7909" w:rsidP="001B7909">
      <w:r w:rsidRPr="00045390">
        <w:t xml:space="preserve">Any version of CryptoLib can decrypt an encrypted payload, </w:t>
      </w:r>
      <w:r w:rsidRPr="00045390">
        <w:rPr>
          <w:b/>
          <w:bCs/>
        </w:rPr>
        <w:t>as long as all transform IDs in the sequence fall within its supported range</w:t>
      </w:r>
      <w:r w:rsidRPr="00045390">
        <w:t>.</w:t>
      </w:r>
    </w:p>
    <w:p w14:paraId="3760E89C" w14:textId="77777777" w:rsidR="001B7909" w:rsidRPr="00045390" w:rsidRDefault="001B7909" w:rsidP="001B7909">
      <w:pPr>
        <w:rPr>
          <w:b/>
          <w:bCs/>
        </w:rPr>
      </w:pPr>
      <w:r w:rsidRPr="00045390">
        <w:rPr>
          <w:rFonts w:ascii="Segoe UI Emoji" w:hAnsi="Segoe UI Emoji" w:cs="Segoe UI Emoji"/>
          <w:b/>
          <w:bCs/>
        </w:rPr>
        <w:t>✅</w:t>
      </w:r>
      <w:r w:rsidRPr="00045390">
        <w:rPr>
          <w:b/>
          <w:bCs/>
        </w:rPr>
        <w:t xml:space="preserve"> Example:</w:t>
      </w:r>
    </w:p>
    <w:p w14:paraId="1BC877CC" w14:textId="77777777" w:rsidR="001B7909" w:rsidRPr="00045390" w:rsidRDefault="001B7909" w:rsidP="001B7909">
      <w:pPr>
        <w:numPr>
          <w:ilvl w:val="0"/>
          <w:numId w:val="6"/>
        </w:numPr>
      </w:pPr>
      <w:r w:rsidRPr="00045390">
        <w:t xml:space="preserve">A v1 library (with transforms 1–40) </w:t>
      </w:r>
      <w:r w:rsidRPr="00045390">
        <w:rPr>
          <w:b/>
          <w:bCs/>
        </w:rPr>
        <w:t>can</w:t>
      </w:r>
      <w:r w:rsidRPr="00045390">
        <w:t xml:space="preserve"> decrypt sequences composed entirely of IDs 1–40.</w:t>
      </w:r>
    </w:p>
    <w:p w14:paraId="74A89FC1" w14:textId="77777777" w:rsidR="001B7909" w:rsidRPr="00045390" w:rsidRDefault="001B7909" w:rsidP="001B7909">
      <w:pPr>
        <w:numPr>
          <w:ilvl w:val="0"/>
          <w:numId w:val="6"/>
        </w:numPr>
      </w:pPr>
      <w:r w:rsidRPr="00045390">
        <w:t xml:space="preserve">A sequence containing transform ID 42 </w:t>
      </w:r>
      <w:r w:rsidRPr="00045390">
        <w:rPr>
          <w:b/>
          <w:bCs/>
        </w:rPr>
        <w:t>requires v3</w:t>
      </w:r>
      <w:r w:rsidRPr="00045390">
        <w:t>, even if most transforms are from v1.</w:t>
      </w:r>
    </w:p>
    <w:p w14:paraId="0405965E" w14:textId="77777777" w:rsidR="001B7909" w:rsidRPr="00045390" w:rsidRDefault="001B7909" w:rsidP="001B7909">
      <w:r w:rsidRPr="00045390">
        <w:t xml:space="preserve">This model </w:t>
      </w:r>
      <w:r w:rsidRPr="00045390">
        <w:rPr>
          <w:b/>
          <w:bCs/>
        </w:rPr>
        <w:t>prevents unnecessary failures</w:t>
      </w:r>
      <w:r w:rsidRPr="00045390">
        <w:t xml:space="preserve"> while enabling secure collaboration across versioned environments.</w:t>
      </w:r>
    </w:p>
    <w:p w14:paraId="65665350" w14:textId="77777777" w:rsidR="001B7909" w:rsidRPr="00045390" w:rsidRDefault="001B7909" w:rsidP="001B7909">
      <w:r w:rsidRPr="00045390">
        <w:pict w14:anchorId="370DE1E2">
          <v:rect id="_x0000_i1043" style="width:0;height:1.5pt" o:hralign="center" o:hrstd="t" o:hr="t" fillcolor="#a0a0a0" stroked="f"/>
        </w:pict>
      </w:r>
    </w:p>
    <w:p w14:paraId="219702A0" w14:textId="77777777" w:rsidR="001B7909" w:rsidRPr="00045390" w:rsidRDefault="001B7909" w:rsidP="001B7909">
      <w:pPr>
        <w:rPr>
          <w:b/>
          <w:bCs/>
        </w:rPr>
      </w:pPr>
      <w:r w:rsidRPr="00045390">
        <w:rPr>
          <w:b/>
          <w:bCs/>
        </w:rPr>
        <w:t>Version Validation Example</w:t>
      </w:r>
    </w:p>
    <w:p w14:paraId="394C7071" w14:textId="77777777" w:rsidR="001B7909" w:rsidRPr="00045390" w:rsidRDefault="001B7909" w:rsidP="001B7909">
      <w:r w:rsidRPr="00045390">
        <w:t>CryptoLib includes a built-in check to validate transform compatibility before decryption.</w:t>
      </w:r>
    </w:p>
    <w:p w14:paraId="4482815B" w14:textId="77777777" w:rsidR="001B7909" w:rsidRPr="00045390" w:rsidRDefault="001B7909" w:rsidP="001B7909">
      <w:pPr>
        <w:pStyle w:val="Code"/>
      </w:pPr>
      <w:r w:rsidRPr="00045390">
        <w:t xml:space="preserve">if </w:t>
      </w:r>
      <w:proofErr w:type="gramStart"/>
      <w:r w:rsidRPr="00045390">
        <w:t>(!</w:t>
      </w:r>
      <w:proofErr w:type="spellStart"/>
      <w:r w:rsidRPr="00045390">
        <w:t>CheckVersion</w:t>
      </w:r>
      <w:proofErr w:type="spellEnd"/>
      <w:proofErr w:type="gramEnd"/>
      <w:r w:rsidRPr="00045390">
        <w:t>(</w:t>
      </w:r>
      <w:proofErr w:type="spellStart"/>
      <w:proofErr w:type="gramStart"/>
      <w:r w:rsidRPr="00045390">
        <w:t>profile.Sequence</w:t>
      </w:r>
      <w:proofErr w:type="spellEnd"/>
      <w:proofErr w:type="gramEnd"/>
      <w:r w:rsidRPr="00045390">
        <w:t xml:space="preserve">, out byte </w:t>
      </w:r>
      <w:proofErr w:type="spellStart"/>
      <w:r w:rsidRPr="00045390">
        <w:t>requiredVersion</w:t>
      </w:r>
      <w:proofErr w:type="spellEnd"/>
      <w:r w:rsidRPr="00045390">
        <w:t>))</w:t>
      </w:r>
    </w:p>
    <w:p w14:paraId="5DA965E2" w14:textId="77777777" w:rsidR="001B7909" w:rsidRPr="00045390" w:rsidRDefault="001B7909" w:rsidP="001B7909">
      <w:pPr>
        <w:pStyle w:val="Code"/>
      </w:pPr>
      <w:r w:rsidRPr="00045390">
        <w:t>{</w:t>
      </w:r>
    </w:p>
    <w:p w14:paraId="46B68989" w14:textId="77777777" w:rsidR="001B7909" w:rsidRPr="00045390" w:rsidRDefault="001B7909" w:rsidP="001B7909">
      <w:pPr>
        <w:pStyle w:val="Code"/>
      </w:pPr>
      <w:r w:rsidRPr="00045390">
        <w:t xml:space="preserve">    </w:t>
      </w:r>
      <w:proofErr w:type="spellStart"/>
      <w:r w:rsidRPr="00045390">
        <w:t>Console.WriteLine</w:t>
      </w:r>
      <w:proofErr w:type="spellEnd"/>
      <w:r w:rsidRPr="00045390">
        <w:t>($"</w:t>
      </w:r>
      <w:r w:rsidRPr="00045390">
        <w:rPr>
          <w:rFonts w:ascii="Segoe UI Emoji" w:hAnsi="Segoe UI Emoji" w:cs="Segoe UI Emoji"/>
        </w:rPr>
        <w:t>❌</w:t>
      </w:r>
      <w:r w:rsidRPr="00045390">
        <w:t xml:space="preserve"> Transform set requires CryptoLib version {</w:t>
      </w:r>
      <w:proofErr w:type="spellStart"/>
      <w:r w:rsidRPr="00045390">
        <w:t>requiredVersion</w:t>
      </w:r>
      <w:proofErr w:type="spellEnd"/>
      <w:r w:rsidRPr="00045390">
        <w:t>} or higher.");</w:t>
      </w:r>
    </w:p>
    <w:p w14:paraId="63C71EF7" w14:textId="77777777" w:rsidR="001B7909" w:rsidRPr="00045390" w:rsidRDefault="001B7909" w:rsidP="001B7909">
      <w:pPr>
        <w:pStyle w:val="Code"/>
      </w:pPr>
      <w:r w:rsidRPr="00045390">
        <w:t xml:space="preserve">    return;</w:t>
      </w:r>
    </w:p>
    <w:p w14:paraId="68FBCD88" w14:textId="77777777" w:rsidR="001B7909" w:rsidRPr="00045390" w:rsidRDefault="001B7909" w:rsidP="001B7909">
      <w:pPr>
        <w:pStyle w:val="Code"/>
      </w:pPr>
      <w:r w:rsidRPr="00045390">
        <w:t>}</w:t>
      </w:r>
    </w:p>
    <w:p w14:paraId="1F08D883" w14:textId="77777777" w:rsidR="001B7909" w:rsidRPr="00045390" w:rsidRDefault="001B7909" w:rsidP="001B7909">
      <w:pPr>
        <w:rPr>
          <w:b/>
          <w:bCs/>
        </w:rPr>
      </w:pPr>
      <w:r w:rsidRPr="00045390">
        <w:rPr>
          <w:b/>
          <w:bCs/>
        </w:rPr>
        <w:t>Sample Profile (with unsupported transform):</w:t>
      </w:r>
    </w:p>
    <w:p w14:paraId="3166E7F7" w14:textId="77777777" w:rsidR="001B7909" w:rsidRPr="00045390" w:rsidRDefault="001B7909" w:rsidP="001B7909">
      <w:pPr>
        <w:pStyle w:val="Code"/>
      </w:pPr>
      <w:r w:rsidRPr="00045390">
        <w:t xml:space="preserve">var profile = new </w:t>
      </w:r>
      <w:proofErr w:type="spellStart"/>
      <w:proofErr w:type="gramStart"/>
      <w:r w:rsidRPr="00045390">
        <w:t>InputProfile</w:t>
      </w:r>
      <w:proofErr w:type="spellEnd"/>
      <w:r w:rsidRPr="00045390">
        <w:t>(</w:t>
      </w:r>
      <w:proofErr w:type="gramEnd"/>
      <w:r w:rsidRPr="00045390">
        <w:t>"</w:t>
      </w:r>
      <w:proofErr w:type="spellStart"/>
      <w:r w:rsidRPr="00045390">
        <w:t>TestProfile</w:t>
      </w:r>
      <w:proofErr w:type="spellEnd"/>
      <w:r w:rsidRPr="00045390">
        <w:t xml:space="preserve">", new (byte, </w:t>
      </w:r>
      <w:proofErr w:type="gramStart"/>
      <w:r w:rsidRPr="00045390">
        <w:t>byte)[</w:t>
      </w:r>
      <w:proofErr w:type="gramEnd"/>
      <w:r w:rsidRPr="00045390">
        <w:t>]</w:t>
      </w:r>
    </w:p>
    <w:p w14:paraId="53DDC86B" w14:textId="77777777" w:rsidR="001B7909" w:rsidRPr="00045390" w:rsidRDefault="001B7909" w:rsidP="001B7909">
      <w:pPr>
        <w:pStyle w:val="Code"/>
      </w:pPr>
      <w:r w:rsidRPr="00045390">
        <w:lastRenderedPageBreak/>
        <w:t>{</w:t>
      </w:r>
    </w:p>
    <w:p w14:paraId="7E5E9AF7" w14:textId="77777777" w:rsidR="001B7909" w:rsidRPr="00045390" w:rsidRDefault="001B7909" w:rsidP="001B7909">
      <w:pPr>
        <w:pStyle w:val="Code"/>
      </w:pPr>
      <w:r w:rsidRPr="00045390">
        <w:t xml:space="preserve">    (42, 1), // ← Transform ID 42 requires v3</w:t>
      </w:r>
    </w:p>
    <w:p w14:paraId="0E6BFDBB" w14:textId="77777777" w:rsidR="001B7909" w:rsidRPr="00045390" w:rsidRDefault="001B7909" w:rsidP="001B7909">
      <w:pPr>
        <w:pStyle w:val="Code"/>
      </w:pPr>
      <w:r w:rsidRPr="00045390">
        <w:t xml:space="preserve">    (8, 1),</w:t>
      </w:r>
    </w:p>
    <w:p w14:paraId="5FF1961F" w14:textId="77777777" w:rsidR="001B7909" w:rsidRPr="00045390" w:rsidRDefault="001B7909" w:rsidP="001B7909">
      <w:pPr>
        <w:pStyle w:val="Code"/>
      </w:pPr>
      <w:r w:rsidRPr="00045390">
        <w:t xml:space="preserve">    (10, 1)</w:t>
      </w:r>
    </w:p>
    <w:p w14:paraId="5218FD06" w14:textId="77777777" w:rsidR="001B7909" w:rsidRDefault="001B7909" w:rsidP="001B7909">
      <w:pPr>
        <w:pStyle w:val="Code"/>
      </w:pPr>
      <w:r w:rsidRPr="00045390">
        <w:t xml:space="preserve">}, </w:t>
      </w:r>
      <w:proofErr w:type="spellStart"/>
      <w:r w:rsidRPr="00045390">
        <w:t>globalRounds</w:t>
      </w:r>
      <w:proofErr w:type="spellEnd"/>
      <w:r w:rsidRPr="00045390">
        <w:t>: 5);</w:t>
      </w:r>
    </w:p>
    <w:p w14:paraId="10536742" w14:textId="77777777" w:rsidR="001B7909" w:rsidRPr="00045390" w:rsidRDefault="001B7909" w:rsidP="001B7909">
      <w:pPr>
        <w:pStyle w:val="Code"/>
      </w:pPr>
    </w:p>
    <w:p w14:paraId="23AFC040" w14:textId="77777777" w:rsidR="001B7909" w:rsidRPr="00045390" w:rsidRDefault="001B7909" w:rsidP="001B7909">
      <w:r w:rsidRPr="00045390">
        <w:t xml:space="preserve">Running </w:t>
      </w:r>
      <w:proofErr w:type="spellStart"/>
      <w:proofErr w:type="gramStart"/>
      <w:r w:rsidRPr="00045390">
        <w:t>CheckVersion</w:t>
      </w:r>
      <w:proofErr w:type="spellEnd"/>
      <w:r w:rsidRPr="00045390">
        <w:t>(</w:t>
      </w:r>
      <w:proofErr w:type="gramEnd"/>
      <w:r w:rsidRPr="00045390">
        <w:t>) on this profile will detect that the current engine (if built with only 40 transforms) cannot decrypt it — and will gracefully report the required version.</w:t>
      </w:r>
    </w:p>
    <w:p w14:paraId="286F0E66" w14:textId="77777777" w:rsidR="001B7909" w:rsidRPr="00045390" w:rsidRDefault="001B7909" w:rsidP="001B7909">
      <w:r w:rsidRPr="00045390">
        <w:pict w14:anchorId="2A9F6FB2">
          <v:rect id="_x0000_i1044" style="width:0;height:1.5pt" o:hralign="center" o:hrstd="t" o:hr="t" fillcolor="#a0a0a0" stroked="f"/>
        </w:pict>
      </w:r>
    </w:p>
    <w:p w14:paraId="47882CE8" w14:textId="77777777" w:rsidR="001B7909" w:rsidRPr="00045390" w:rsidRDefault="001B7909" w:rsidP="001B7909">
      <w:pPr>
        <w:rPr>
          <w:b/>
          <w:bCs/>
        </w:rPr>
      </w:pPr>
      <w:r w:rsidRPr="00045390">
        <w:rPr>
          <w:b/>
          <w:bCs/>
        </w:rPr>
        <w:t>Benefits of the Versioning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4"/>
        <w:gridCol w:w="7833"/>
      </w:tblGrid>
      <w:tr w:rsidR="001B7909" w:rsidRPr="00045390" w14:paraId="39561FA2" w14:textId="77777777" w:rsidTr="009F2606">
        <w:trPr>
          <w:tblHeader/>
          <w:tblCellSpacing w:w="15" w:type="dxa"/>
        </w:trPr>
        <w:tc>
          <w:tcPr>
            <w:tcW w:w="0" w:type="auto"/>
            <w:vAlign w:val="center"/>
            <w:hideMark/>
          </w:tcPr>
          <w:p w14:paraId="4E2F8F8E" w14:textId="77777777" w:rsidR="001B7909" w:rsidRPr="00045390" w:rsidRDefault="001B7909" w:rsidP="009F2606">
            <w:pPr>
              <w:rPr>
                <w:b/>
                <w:bCs/>
              </w:rPr>
            </w:pPr>
            <w:r w:rsidRPr="00045390">
              <w:rPr>
                <w:rFonts w:ascii="Segoe UI Emoji" w:hAnsi="Segoe UI Emoji" w:cs="Segoe UI Emoji"/>
                <w:b/>
                <w:bCs/>
              </w:rPr>
              <w:t>✅</w:t>
            </w:r>
            <w:r w:rsidRPr="00045390">
              <w:rPr>
                <w:b/>
                <w:bCs/>
              </w:rPr>
              <w:t xml:space="preserve"> Feature</w:t>
            </w:r>
          </w:p>
        </w:tc>
        <w:tc>
          <w:tcPr>
            <w:tcW w:w="0" w:type="auto"/>
            <w:vAlign w:val="center"/>
            <w:hideMark/>
          </w:tcPr>
          <w:p w14:paraId="11A31B2C" w14:textId="77777777" w:rsidR="001B7909" w:rsidRPr="00045390" w:rsidRDefault="001B7909" w:rsidP="009F2606">
            <w:pPr>
              <w:rPr>
                <w:b/>
                <w:bCs/>
              </w:rPr>
            </w:pPr>
            <w:r w:rsidRPr="00045390">
              <w:rPr>
                <w:rFonts w:ascii="Segoe UI Emoji" w:hAnsi="Segoe UI Emoji" w:cs="Segoe UI Emoji"/>
                <w:b/>
                <w:bCs/>
              </w:rPr>
              <w:t>💬</w:t>
            </w:r>
            <w:r w:rsidRPr="00045390">
              <w:rPr>
                <w:b/>
                <w:bCs/>
              </w:rPr>
              <w:t xml:space="preserve"> Description</w:t>
            </w:r>
          </w:p>
        </w:tc>
      </w:tr>
      <w:tr w:rsidR="001B7909" w:rsidRPr="00045390" w14:paraId="745B8DE5" w14:textId="77777777" w:rsidTr="009F2606">
        <w:trPr>
          <w:tblCellSpacing w:w="15" w:type="dxa"/>
        </w:trPr>
        <w:tc>
          <w:tcPr>
            <w:tcW w:w="0" w:type="auto"/>
            <w:vAlign w:val="center"/>
            <w:hideMark/>
          </w:tcPr>
          <w:p w14:paraId="3808499E" w14:textId="77777777" w:rsidR="001B7909" w:rsidRPr="00045390" w:rsidRDefault="001B7909" w:rsidP="009F2606">
            <w:r w:rsidRPr="00045390">
              <w:rPr>
                <w:b/>
                <w:bCs/>
              </w:rPr>
              <w:t>Self-contained</w:t>
            </w:r>
          </w:p>
        </w:tc>
        <w:tc>
          <w:tcPr>
            <w:tcW w:w="0" w:type="auto"/>
            <w:vAlign w:val="center"/>
            <w:hideMark/>
          </w:tcPr>
          <w:p w14:paraId="30FCFBFB" w14:textId="77777777" w:rsidR="001B7909" w:rsidRPr="00045390" w:rsidRDefault="001B7909" w:rsidP="009F2606">
            <w:r w:rsidRPr="00045390">
              <w:t>No external manifests or version files required</w:t>
            </w:r>
          </w:p>
        </w:tc>
      </w:tr>
      <w:tr w:rsidR="001B7909" w:rsidRPr="00045390" w14:paraId="2EA14881" w14:textId="77777777" w:rsidTr="009F2606">
        <w:trPr>
          <w:tblCellSpacing w:w="15" w:type="dxa"/>
        </w:trPr>
        <w:tc>
          <w:tcPr>
            <w:tcW w:w="0" w:type="auto"/>
            <w:vAlign w:val="center"/>
            <w:hideMark/>
          </w:tcPr>
          <w:p w14:paraId="775F6F7E" w14:textId="77777777" w:rsidR="001B7909" w:rsidRPr="00045390" w:rsidRDefault="001B7909" w:rsidP="009F2606">
            <w:r w:rsidRPr="00045390">
              <w:rPr>
                <w:b/>
                <w:bCs/>
              </w:rPr>
              <w:t>Transparent</w:t>
            </w:r>
          </w:p>
        </w:tc>
        <w:tc>
          <w:tcPr>
            <w:tcW w:w="0" w:type="auto"/>
            <w:vAlign w:val="center"/>
            <w:hideMark/>
          </w:tcPr>
          <w:p w14:paraId="234524CB" w14:textId="77777777" w:rsidR="001B7909" w:rsidRPr="00045390" w:rsidRDefault="001B7909" w:rsidP="009F2606">
            <w:r w:rsidRPr="00045390">
              <w:t>Version is embedded within the encrypted output</w:t>
            </w:r>
          </w:p>
        </w:tc>
      </w:tr>
      <w:tr w:rsidR="001B7909" w:rsidRPr="00045390" w14:paraId="3BFBBD60" w14:textId="77777777" w:rsidTr="009F2606">
        <w:trPr>
          <w:tblCellSpacing w:w="15" w:type="dxa"/>
        </w:trPr>
        <w:tc>
          <w:tcPr>
            <w:tcW w:w="0" w:type="auto"/>
            <w:vAlign w:val="center"/>
            <w:hideMark/>
          </w:tcPr>
          <w:p w14:paraId="7C673EA6" w14:textId="77777777" w:rsidR="001B7909" w:rsidRPr="00045390" w:rsidRDefault="001B7909" w:rsidP="009F2606">
            <w:r w:rsidRPr="00045390">
              <w:rPr>
                <w:b/>
                <w:bCs/>
              </w:rPr>
              <w:t>Stable</w:t>
            </w:r>
          </w:p>
        </w:tc>
        <w:tc>
          <w:tcPr>
            <w:tcW w:w="0" w:type="auto"/>
            <w:vAlign w:val="center"/>
            <w:hideMark/>
          </w:tcPr>
          <w:p w14:paraId="1FDB5294" w14:textId="77777777" w:rsidR="001B7909" w:rsidRPr="00045390" w:rsidRDefault="001B7909" w:rsidP="009F2606">
            <w:r w:rsidRPr="00045390">
              <w:t xml:space="preserve">Transforms 1–40 </w:t>
            </w:r>
            <w:proofErr w:type="gramStart"/>
            <w:r w:rsidRPr="00045390">
              <w:t>are</w:t>
            </w:r>
            <w:proofErr w:type="gramEnd"/>
            <w:r w:rsidRPr="00045390">
              <w:t xml:space="preserve"> frozen, ensuring reproducibility across releases</w:t>
            </w:r>
          </w:p>
        </w:tc>
      </w:tr>
      <w:tr w:rsidR="001B7909" w:rsidRPr="00045390" w14:paraId="4A1DD4E1" w14:textId="77777777" w:rsidTr="009F2606">
        <w:trPr>
          <w:tblCellSpacing w:w="15" w:type="dxa"/>
        </w:trPr>
        <w:tc>
          <w:tcPr>
            <w:tcW w:w="0" w:type="auto"/>
            <w:vAlign w:val="center"/>
            <w:hideMark/>
          </w:tcPr>
          <w:p w14:paraId="439CDBE6" w14:textId="77777777" w:rsidR="001B7909" w:rsidRPr="00045390" w:rsidRDefault="001B7909" w:rsidP="009F2606">
            <w:r w:rsidRPr="00045390">
              <w:rPr>
                <w:b/>
                <w:bCs/>
              </w:rPr>
              <w:t>Predictable</w:t>
            </w:r>
          </w:p>
        </w:tc>
        <w:tc>
          <w:tcPr>
            <w:tcW w:w="0" w:type="auto"/>
            <w:vAlign w:val="center"/>
            <w:hideMark/>
          </w:tcPr>
          <w:p w14:paraId="73ACE017" w14:textId="77777777" w:rsidR="001B7909" w:rsidRPr="00045390" w:rsidRDefault="001B7909" w:rsidP="009F2606">
            <w:r w:rsidRPr="00045390">
              <w:t>Versioning is a natural function of the highest transform ID used</w:t>
            </w:r>
          </w:p>
        </w:tc>
      </w:tr>
      <w:tr w:rsidR="001B7909" w:rsidRPr="00045390" w14:paraId="17E99A9D" w14:textId="77777777" w:rsidTr="009F2606">
        <w:trPr>
          <w:tblCellSpacing w:w="15" w:type="dxa"/>
        </w:trPr>
        <w:tc>
          <w:tcPr>
            <w:tcW w:w="0" w:type="auto"/>
            <w:vAlign w:val="center"/>
            <w:hideMark/>
          </w:tcPr>
          <w:p w14:paraId="757CA5C2" w14:textId="77777777" w:rsidR="001B7909" w:rsidRPr="00045390" w:rsidRDefault="001B7909" w:rsidP="009F2606">
            <w:r w:rsidRPr="00045390">
              <w:rPr>
                <w:b/>
                <w:bCs/>
              </w:rPr>
              <w:t>Safe</w:t>
            </w:r>
          </w:p>
        </w:tc>
        <w:tc>
          <w:tcPr>
            <w:tcW w:w="0" w:type="auto"/>
            <w:vAlign w:val="center"/>
            <w:hideMark/>
          </w:tcPr>
          <w:p w14:paraId="49F00481" w14:textId="77777777" w:rsidR="001B7909" w:rsidRPr="00045390" w:rsidRDefault="001B7909" w:rsidP="009F2606">
            <w:r w:rsidRPr="00045390">
              <w:t>Decryption fails fast if transform support is insufficient</w:t>
            </w:r>
          </w:p>
        </w:tc>
      </w:tr>
      <w:tr w:rsidR="001B7909" w:rsidRPr="00045390" w14:paraId="7B04334A" w14:textId="77777777" w:rsidTr="009F2606">
        <w:trPr>
          <w:tblCellSpacing w:w="15" w:type="dxa"/>
        </w:trPr>
        <w:tc>
          <w:tcPr>
            <w:tcW w:w="0" w:type="auto"/>
            <w:vAlign w:val="center"/>
            <w:hideMark/>
          </w:tcPr>
          <w:p w14:paraId="77DD3307" w14:textId="77777777" w:rsidR="001B7909" w:rsidRPr="00045390" w:rsidRDefault="001B7909" w:rsidP="009F2606">
            <w:r w:rsidRPr="00045390">
              <w:rPr>
                <w:b/>
                <w:bCs/>
              </w:rPr>
              <w:t>Automatic</w:t>
            </w:r>
          </w:p>
        </w:tc>
        <w:tc>
          <w:tcPr>
            <w:tcW w:w="0" w:type="auto"/>
            <w:vAlign w:val="center"/>
            <w:hideMark/>
          </w:tcPr>
          <w:p w14:paraId="7BFB8402" w14:textId="77777777" w:rsidR="001B7909" w:rsidRPr="00045390" w:rsidRDefault="001B7909" w:rsidP="009F2606">
            <w:r w:rsidRPr="00045390">
              <w:t>Developers don’t need to manage versions manually — it’s built into the system</w:t>
            </w:r>
          </w:p>
        </w:tc>
      </w:tr>
    </w:tbl>
    <w:p w14:paraId="6B3093BE" w14:textId="77777777" w:rsidR="001B7909" w:rsidRPr="00045390" w:rsidRDefault="001B7909" w:rsidP="001B7909">
      <w:r w:rsidRPr="00045390">
        <w:pict w14:anchorId="418CDC47">
          <v:rect id="_x0000_i1045" style="width:0;height:1.5pt" o:hralign="center" o:hrstd="t" o:hr="t" fillcolor="#a0a0a0" stroked="f"/>
        </w:pict>
      </w:r>
    </w:p>
    <w:p w14:paraId="41A0D596" w14:textId="77777777" w:rsidR="001B7909" w:rsidRPr="00045390" w:rsidRDefault="001B7909" w:rsidP="001B7909">
      <w:pPr>
        <w:rPr>
          <w:b/>
          <w:bCs/>
        </w:rPr>
      </w:pPr>
      <w:r w:rsidRPr="00045390">
        <w:rPr>
          <w:b/>
          <w:bCs/>
        </w:rPr>
        <w:t>Conclusion</w:t>
      </w:r>
    </w:p>
    <w:p w14:paraId="522EB52E" w14:textId="77777777" w:rsidR="001B7909" w:rsidRPr="00045390" w:rsidRDefault="001B7909" w:rsidP="001B7909">
      <w:r w:rsidRPr="00045390">
        <w:t xml:space="preserve">Mango's transform-based versioning system is designed for </w:t>
      </w:r>
      <w:r w:rsidRPr="00045390">
        <w:rPr>
          <w:b/>
          <w:bCs/>
        </w:rPr>
        <w:t>future growth without fear of breakage</w:t>
      </w:r>
      <w:r w:rsidRPr="00045390">
        <w:t>. By linking version numbers directly to transform capabilities, the system ensures deterministic, inspectable, and forward-compatible encryption.</w:t>
      </w:r>
    </w:p>
    <w:p w14:paraId="64E98FCF" w14:textId="77777777" w:rsidR="001B7909" w:rsidRPr="00045390" w:rsidRDefault="001B7909" w:rsidP="001B7909">
      <w:r w:rsidRPr="00045390">
        <w:t xml:space="preserve">As long as your transform selections respect your recipients’ known version range, </w:t>
      </w:r>
      <w:r w:rsidRPr="00045390">
        <w:rPr>
          <w:b/>
          <w:bCs/>
        </w:rPr>
        <w:t>decryption is guaranteed</w:t>
      </w:r>
      <w:r w:rsidRPr="00045390">
        <w:t>.</w:t>
      </w:r>
    </w:p>
    <w:p w14:paraId="6F3ED9D4" w14:textId="77777777" w:rsidR="001B7909" w:rsidRPr="00045390" w:rsidRDefault="001B7909" w:rsidP="001B7909">
      <w:r w:rsidRPr="00045390">
        <w:rPr>
          <w:rFonts w:ascii="Segoe UI Emoji" w:hAnsi="Segoe UI Emoji" w:cs="Segoe UI Emoji"/>
        </w:rPr>
        <w:t>🛡️</w:t>
      </w:r>
      <w:r w:rsidRPr="00045390">
        <w:t xml:space="preserve"> </w:t>
      </w:r>
      <w:r w:rsidRPr="00045390">
        <w:rPr>
          <w:i/>
          <w:iCs/>
        </w:rPr>
        <w:t>Mango will evolve — but never at the cost of breaking your data.</w:t>
      </w:r>
    </w:p>
    <w:p w14:paraId="59378DDB" w14:textId="77777777" w:rsidR="001B7909" w:rsidRPr="007716EB" w:rsidRDefault="001B7909" w:rsidP="001B7909"/>
    <w:p w14:paraId="7F4F0E3A" w14:textId="77777777" w:rsidR="00A30940" w:rsidRDefault="00A30940"/>
    <w:sectPr w:rsidR="00A3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150B0"/>
    <w:multiLevelType w:val="multilevel"/>
    <w:tmpl w:val="8FF2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F773C"/>
    <w:multiLevelType w:val="multilevel"/>
    <w:tmpl w:val="15F00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451B3"/>
    <w:multiLevelType w:val="multilevel"/>
    <w:tmpl w:val="2B78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D74EB"/>
    <w:multiLevelType w:val="multilevel"/>
    <w:tmpl w:val="588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70F02"/>
    <w:multiLevelType w:val="multilevel"/>
    <w:tmpl w:val="ED74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64E67"/>
    <w:multiLevelType w:val="multilevel"/>
    <w:tmpl w:val="358C9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717090">
    <w:abstractNumId w:val="1"/>
  </w:num>
  <w:num w:numId="2" w16cid:durableId="843937620">
    <w:abstractNumId w:val="4"/>
  </w:num>
  <w:num w:numId="3" w16cid:durableId="349793634">
    <w:abstractNumId w:val="0"/>
  </w:num>
  <w:num w:numId="4" w16cid:durableId="2020310053">
    <w:abstractNumId w:val="5"/>
  </w:num>
  <w:num w:numId="5" w16cid:durableId="1265961656">
    <w:abstractNumId w:val="2"/>
  </w:num>
  <w:num w:numId="6" w16cid:durableId="1024479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5E"/>
    <w:rsid w:val="00063BC0"/>
    <w:rsid w:val="00073E55"/>
    <w:rsid w:val="001201F5"/>
    <w:rsid w:val="001B7909"/>
    <w:rsid w:val="00214004"/>
    <w:rsid w:val="003A0D00"/>
    <w:rsid w:val="003F01D8"/>
    <w:rsid w:val="00482452"/>
    <w:rsid w:val="005B175E"/>
    <w:rsid w:val="00961C4F"/>
    <w:rsid w:val="00A30940"/>
    <w:rsid w:val="00F5743B"/>
    <w:rsid w:val="00F6568F"/>
    <w:rsid w:val="00FE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5195C"/>
  <w15:chartTrackingRefBased/>
  <w15:docId w15:val="{EF2E6A4E-0FFF-40B3-B789-A87FF32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909"/>
  </w:style>
  <w:style w:type="paragraph" w:styleId="Heading1">
    <w:name w:val="heading 1"/>
    <w:basedOn w:val="Normal"/>
    <w:next w:val="Normal"/>
    <w:link w:val="Heading1Char"/>
    <w:uiPriority w:val="9"/>
    <w:qFormat/>
    <w:rsid w:val="005B1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1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1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1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1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1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Spacing"/>
    <w:link w:val="CodeChar"/>
    <w:qFormat/>
    <w:rsid w:val="00F6568F"/>
    <w:rPr>
      <w:rFonts w:ascii="Consolas" w:hAnsi="Consolas"/>
      <w:sz w:val="20"/>
    </w:rPr>
  </w:style>
  <w:style w:type="character" w:customStyle="1" w:styleId="CodeChar">
    <w:name w:val="Code Char"/>
    <w:basedOn w:val="DefaultParagraphFont"/>
    <w:link w:val="Code"/>
    <w:rsid w:val="00F6568F"/>
    <w:rPr>
      <w:rFonts w:ascii="Consolas" w:hAnsi="Consolas"/>
      <w:sz w:val="20"/>
    </w:rPr>
  </w:style>
  <w:style w:type="paragraph" w:styleId="NoSpacing">
    <w:name w:val="No Spacing"/>
    <w:uiPriority w:val="1"/>
    <w:qFormat/>
    <w:rsid w:val="00F6568F"/>
    <w:pPr>
      <w:spacing w:after="0" w:line="240" w:lineRule="auto"/>
    </w:pPr>
  </w:style>
  <w:style w:type="character" w:customStyle="1" w:styleId="Heading1Char">
    <w:name w:val="Heading 1 Char"/>
    <w:basedOn w:val="DefaultParagraphFont"/>
    <w:link w:val="Heading1"/>
    <w:uiPriority w:val="9"/>
    <w:rsid w:val="005B1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1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1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1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1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1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75E"/>
    <w:rPr>
      <w:rFonts w:eastAsiaTheme="majorEastAsia" w:cstheme="majorBidi"/>
      <w:color w:val="272727" w:themeColor="text1" w:themeTint="D8"/>
    </w:rPr>
  </w:style>
  <w:style w:type="paragraph" w:styleId="Title">
    <w:name w:val="Title"/>
    <w:basedOn w:val="Normal"/>
    <w:next w:val="Normal"/>
    <w:link w:val="TitleChar"/>
    <w:uiPriority w:val="10"/>
    <w:qFormat/>
    <w:rsid w:val="005B1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75E"/>
    <w:pPr>
      <w:spacing w:before="160"/>
      <w:jc w:val="center"/>
    </w:pPr>
    <w:rPr>
      <w:i/>
      <w:iCs/>
      <w:color w:val="404040" w:themeColor="text1" w:themeTint="BF"/>
    </w:rPr>
  </w:style>
  <w:style w:type="character" w:customStyle="1" w:styleId="QuoteChar">
    <w:name w:val="Quote Char"/>
    <w:basedOn w:val="DefaultParagraphFont"/>
    <w:link w:val="Quote"/>
    <w:uiPriority w:val="29"/>
    <w:rsid w:val="005B175E"/>
    <w:rPr>
      <w:i/>
      <w:iCs/>
      <w:color w:val="404040" w:themeColor="text1" w:themeTint="BF"/>
    </w:rPr>
  </w:style>
  <w:style w:type="paragraph" w:styleId="ListParagraph">
    <w:name w:val="List Paragraph"/>
    <w:basedOn w:val="Normal"/>
    <w:uiPriority w:val="34"/>
    <w:qFormat/>
    <w:rsid w:val="005B175E"/>
    <w:pPr>
      <w:ind w:left="720"/>
      <w:contextualSpacing/>
    </w:pPr>
  </w:style>
  <w:style w:type="character" w:styleId="IntenseEmphasis">
    <w:name w:val="Intense Emphasis"/>
    <w:basedOn w:val="DefaultParagraphFont"/>
    <w:uiPriority w:val="21"/>
    <w:qFormat/>
    <w:rsid w:val="005B175E"/>
    <w:rPr>
      <w:i/>
      <w:iCs/>
      <w:color w:val="2F5496" w:themeColor="accent1" w:themeShade="BF"/>
    </w:rPr>
  </w:style>
  <w:style w:type="paragraph" w:styleId="IntenseQuote">
    <w:name w:val="Intense Quote"/>
    <w:basedOn w:val="Normal"/>
    <w:next w:val="Normal"/>
    <w:link w:val="IntenseQuoteChar"/>
    <w:uiPriority w:val="30"/>
    <w:qFormat/>
    <w:rsid w:val="005B1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175E"/>
    <w:rPr>
      <w:i/>
      <w:iCs/>
      <w:color w:val="2F5496" w:themeColor="accent1" w:themeShade="BF"/>
    </w:rPr>
  </w:style>
  <w:style w:type="character" w:styleId="IntenseReference">
    <w:name w:val="Intense Reference"/>
    <w:basedOn w:val="DefaultParagraphFont"/>
    <w:uiPriority w:val="32"/>
    <w:qFormat/>
    <w:rsid w:val="005B175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247969">
      <w:bodyDiv w:val="1"/>
      <w:marLeft w:val="0"/>
      <w:marRight w:val="0"/>
      <w:marTop w:val="0"/>
      <w:marBottom w:val="0"/>
      <w:divBdr>
        <w:top w:val="none" w:sz="0" w:space="0" w:color="auto"/>
        <w:left w:val="none" w:sz="0" w:space="0" w:color="auto"/>
        <w:bottom w:val="none" w:sz="0" w:space="0" w:color="auto"/>
        <w:right w:val="none" w:sz="0" w:space="0" w:color="auto"/>
      </w:divBdr>
      <w:divsChild>
        <w:div w:id="78107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8764">
      <w:bodyDiv w:val="1"/>
      <w:marLeft w:val="0"/>
      <w:marRight w:val="0"/>
      <w:marTop w:val="0"/>
      <w:marBottom w:val="0"/>
      <w:divBdr>
        <w:top w:val="none" w:sz="0" w:space="0" w:color="auto"/>
        <w:left w:val="none" w:sz="0" w:space="0" w:color="auto"/>
        <w:bottom w:val="none" w:sz="0" w:space="0" w:color="auto"/>
        <w:right w:val="none" w:sz="0" w:space="0" w:color="auto"/>
      </w:divBdr>
      <w:divsChild>
        <w:div w:id="138571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tomasello</dc:creator>
  <cp:keywords/>
  <dc:description/>
  <cp:lastModifiedBy>luke tomasello</cp:lastModifiedBy>
  <cp:revision>3</cp:revision>
  <dcterms:created xsi:type="dcterms:W3CDTF">2025-04-19T16:42:00Z</dcterms:created>
  <dcterms:modified xsi:type="dcterms:W3CDTF">2025-05-23T17:19:00Z</dcterms:modified>
</cp:coreProperties>
</file>